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35" w:rsidRDefault="001724DA" w:rsidP="00E06E5C">
      <w:pPr>
        <w:rPr>
          <w:lang w:val="en-US"/>
        </w:rPr>
      </w:pPr>
      <w:proofErr w:type="gramStart"/>
      <w:r>
        <w:rPr>
          <w:b/>
          <w:lang w:val="en-US"/>
        </w:rPr>
        <w:t>Multimedia Appendix</w:t>
      </w:r>
      <w:r w:rsidR="006C2C61">
        <w:rPr>
          <w:b/>
          <w:lang w:val="en-US"/>
        </w:rPr>
        <w:t xml:space="preserve"> 1</w:t>
      </w:r>
      <w:r w:rsidR="00B82F35" w:rsidRPr="00D04F7F">
        <w:rPr>
          <w:b/>
          <w:lang w:val="en-US"/>
        </w:rPr>
        <w:t>.</w:t>
      </w:r>
      <w:proofErr w:type="gramEnd"/>
      <w:r w:rsidR="00B82F35" w:rsidRPr="00D04F7F">
        <w:rPr>
          <w:b/>
          <w:lang w:val="en-US"/>
        </w:rPr>
        <w:t xml:space="preserve"> </w:t>
      </w:r>
      <w:proofErr w:type="gramStart"/>
      <w:r>
        <w:rPr>
          <w:lang w:val="en-US"/>
        </w:rPr>
        <w:t>APPetite-f</w:t>
      </w:r>
      <w:r w:rsidR="0095010D">
        <w:rPr>
          <w:lang w:val="en-US"/>
        </w:rPr>
        <w:t xml:space="preserve">ood </w:t>
      </w:r>
      <w:r>
        <w:rPr>
          <w:lang w:val="en-US"/>
        </w:rPr>
        <w:t>r</w:t>
      </w:r>
      <w:r>
        <w:rPr>
          <w:lang w:val="en-US"/>
        </w:rPr>
        <w:t>ecord and nutritional value g</w:t>
      </w:r>
      <w:r w:rsidR="00E06E5C">
        <w:rPr>
          <w:lang w:val="en-US"/>
        </w:rPr>
        <w:t>eneration</w:t>
      </w:r>
      <w:r>
        <w:rPr>
          <w:lang w:val="en-US"/>
        </w:rPr>
        <w:t>.</w:t>
      </w:r>
      <w:proofErr w:type="gramEnd"/>
    </w:p>
    <w:p w:rsidR="00E06E5C" w:rsidRDefault="00E06E5C" w:rsidP="00E06E5C">
      <w:pPr>
        <w:rPr>
          <w:lang w:val="en-US"/>
        </w:rPr>
      </w:pPr>
    </w:p>
    <w:p w:rsidR="00E06E5C" w:rsidRPr="000A63CE" w:rsidRDefault="00DB2D54" w:rsidP="00E06E5C">
      <w:pPr>
        <w:rPr>
          <w:rFonts w:cs="Times New Roman"/>
          <w:lang w:val="en-US"/>
        </w:rPr>
      </w:pPr>
      <w:r>
        <w:rPr>
          <w:rFonts w:cs="Times New Roman"/>
          <w:lang w:val="en-US"/>
        </w:rPr>
        <w:t xml:space="preserve">Participants are asked to enter foods and drinks as soon as possible after consuming them. </w:t>
      </w:r>
      <w:r w:rsidR="00E06E5C" w:rsidRPr="009666EF">
        <w:rPr>
          <w:rFonts w:cs="Times New Roman"/>
          <w:lang w:val="en-US"/>
        </w:rPr>
        <w:t xml:space="preserve">The home-screen of the APPetite-mobile-app displays </w:t>
      </w:r>
      <w:r w:rsidR="00E06E5C">
        <w:rPr>
          <w:rFonts w:cs="Times New Roman"/>
          <w:lang w:val="en-US"/>
        </w:rPr>
        <w:t>5</w:t>
      </w:r>
      <w:r w:rsidR="00E06E5C" w:rsidRPr="009666EF">
        <w:rPr>
          <w:rFonts w:cs="Times New Roman"/>
          <w:lang w:val="en-US"/>
        </w:rPr>
        <w:t xml:space="preserve"> buttons “breakfast”, “lunch”, “dinner”, “snack”</w:t>
      </w:r>
      <w:r w:rsidR="00E06E5C">
        <w:rPr>
          <w:rFonts w:cs="Times New Roman"/>
          <w:lang w:val="en-US"/>
        </w:rPr>
        <w:t>,</w:t>
      </w:r>
      <w:r w:rsidR="00E06E5C" w:rsidRPr="009666EF">
        <w:rPr>
          <w:rFonts w:cs="Times New Roman"/>
          <w:lang w:val="en-US"/>
        </w:rPr>
        <w:t xml:space="preserve"> and “drink”. Pressing the appropriate meal button triggers the initiation of the </w:t>
      </w:r>
      <w:r w:rsidR="00CD3352">
        <w:rPr>
          <w:rFonts w:cs="Times New Roman"/>
          <w:lang w:val="en-US"/>
        </w:rPr>
        <w:t>APPetite-food record</w:t>
      </w:r>
      <w:r w:rsidR="00E06E5C" w:rsidRPr="009666EF">
        <w:rPr>
          <w:rFonts w:cs="Times New Roman"/>
          <w:lang w:val="en-US"/>
        </w:rPr>
        <w:t>. After confirming the intent to start entering a meal</w:t>
      </w:r>
      <w:r w:rsidR="00E06E5C">
        <w:rPr>
          <w:rFonts w:cs="Times New Roman"/>
          <w:lang w:val="en-US"/>
        </w:rPr>
        <w:t xml:space="preserve"> </w:t>
      </w:r>
      <w:r w:rsidR="00E06E5C" w:rsidRPr="004A2EF0">
        <w:rPr>
          <w:rFonts w:cs="Times New Roman"/>
          <w:lang w:val="en-US"/>
        </w:rPr>
        <w:t>as all subsequent steps are mandatory</w:t>
      </w:r>
      <w:r w:rsidR="00E06E5C" w:rsidRPr="009666EF">
        <w:rPr>
          <w:rFonts w:cs="Times New Roman"/>
          <w:lang w:val="en-US"/>
        </w:rPr>
        <w:t>, participants set the time of the meal on a digital 24-hour clock (</w:t>
      </w:r>
      <w:proofErr w:type="spellStart"/>
      <w:r w:rsidR="00E06E5C" w:rsidRPr="009666EF">
        <w:rPr>
          <w:rFonts w:cs="Times New Roman"/>
          <w:lang w:val="en-US"/>
        </w:rPr>
        <w:t>hh:mm</w:t>
      </w:r>
      <w:proofErr w:type="spellEnd"/>
      <w:r w:rsidR="00E06E5C" w:rsidRPr="009666EF">
        <w:rPr>
          <w:rFonts w:cs="Times New Roman"/>
          <w:lang w:val="en-US"/>
        </w:rPr>
        <w:t xml:space="preserve">). </w:t>
      </w:r>
      <w:r w:rsidR="00E06E5C">
        <w:rPr>
          <w:rFonts w:cs="Times New Roman"/>
          <w:lang w:val="en-US"/>
        </w:rPr>
        <w:t>P</w:t>
      </w:r>
      <w:r w:rsidR="00E06E5C" w:rsidRPr="009666EF">
        <w:rPr>
          <w:rFonts w:cs="Times New Roman"/>
          <w:lang w:val="en-US"/>
        </w:rPr>
        <w:t>articipants are</w:t>
      </w:r>
      <w:r w:rsidR="00E06E5C">
        <w:rPr>
          <w:rFonts w:cs="Times New Roman"/>
          <w:lang w:val="en-US"/>
        </w:rPr>
        <w:t xml:space="preserve"> then</w:t>
      </w:r>
      <w:r w:rsidR="00E06E5C" w:rsidRPr="009666EF">
        <w:rPr>
          <w:rFonts w:cs="Times New Roman"/>
          <w:lang w:val="en-US"/>
        </w:rPr>
        <w:t xml:space="preserve"> redirected to a list of </w:t>
      </w:r>
      <w:r w:rsidR="00E06E5C" w:rsidRPr="00AB0589">
        <w:rPr>
          <w:rFonts w:cs="Times New Roman"/>
          <w:lang w:val="en-US"/>
        </w:rPr>
        <w:t xml:space="preserve">16 </w:t>
      </w:r>
      <w:r w:rsidR="00E06E5C" w:rsidRPr="009666EF">
        <w:rPr>
          <w:rFonts w:cs="Times New Roman"/>
          <w:lang w:val="en-US"/>
        </w:rPr>
        <w:t xml:space="preserve">categories of which they select the applicable ones. The subcategories </w:t>
      </w:r>
      <w:r w:rsidR="00E06E5C">
        <w:rPr>
          <w:rFonts w:cs="Times New Roman"/>
          <w:lang w:val="en-US"/>
        </w:rPr>
        <w:t>as well as the</w:t>
      </w:r>
      <w:r w:rsidR="00E06E5C" w:rsidRPr="009666EF">
        <w:rPr>
          <w:rFonts w:cs="Times New Roman"/>
          <w:lang w:val="en-US"/>
        </w:rPr>
        <w:t xml:space="preserve"> food and drink items of each selected category are displayed subsequently. If the button “drink” is </w:t>
      </w:r>
      <w:r w:rsidR="00E06E5C">
        <w:rPr>
          <w:rFonts w:cs="Times New Roman"/>
          <w:lang w:val="en-US"/>
        </w:rPr>
        <w:t>pressed</w:t>
      </w:r>
      <w:r w:rsidR="00E06E5C" w:rsidRPr="009666EF">
        <w:rPr>
          <w:rFonts w:cs="Times New Roman"/>
          <w:lang w:val="en-US"/>
        </w:rPr>
        <w:t>, participants can only choose from the drink category. After selecting all relevant food and drink items, each item will be presented again for the assessment of the amount</w:t>
      </w:r>
      <w:r w:rsidR="00E06E5C">
        <w:rPr>
          <w:rFonts w:cs="Times New Roman"/>
          <w:lang w:val="en-US"/>
        </w:rPr>
        <w:t xml:space="preserve"> </w:t>
      </w:r>
      <w:r w:rsidR="00E06E5C" w:rsidRPr="009666EF">
        <w:rPr>
          <w:rFonts w:cs="Times New Roman"/>
          <w:lang w:val="en-US"/>
        </w:rPr>
        <w:t>consumed. Participants can specify the amount by entering the number of consumed standard portions</w:t>
      </w:r>
      <w:r w:rsidR="00E06E5C">
        <w:rPr>
          <w:rFonts w:cs="Times New Roman"/>
          <w:lang w:val="en-US"/>
        </w:rPr>
        <w:t xml:space="preserve"> (</w:t>
      </w:r>
      <w:proofErr w:type="spellStart"/>
      <w:r w:rsidR="00E06E5C">
        <w:rPr>
          <w:rFonts w:cs="Times New Roman"/>
          <w:lang w:val="en-US"/>
        </w:rPr>
        <w:t>eg</w:t>
      </w:r>
      <w:proofErr w:type="spellEnd"/>
      <w:r w:rsidR="00E06E5C">
        <w:rPr>
          <w:rFonts w:cs="Times New Roman"/>
          <w:lang w:val="en-US"/>
        </w:rPr>
        <w:t>,</w:t>
      </w:r>
      <w:r w:rsidR="00E06E5C" w:rsidRPr="009666EF">
        <w:rPr>
          <w:rFonts w:cs="Times New Roman"/>
          <w:lang w:val="en-US"/>
        </w:rPr>
        <w:t xml:space="preserve"> 200 ml glass</w:t>
      </w:r>
      <w:r w:rsidR="00E06E5C">
        <w:rPr>
          <w:rFonts w:cs="Times New Roman"/>
          <w:lang w:val="en-US"/>
        </w:rPr>
        <w:t xml:space="preserve"> </w:t>
      </w:r>
      <w:r w:rsidR="00E06E5C" w:rsidRPr="009666EF">
        <w:rPr>
          <w:rFonts w:cs="Times New Roman"/>
          <w:lang w:val="en-US"/>
        </w:rPr>
        <w:t>for water) or an exact amount in</w:t>
      </w:r>
      <w:r w:rsidR="00E06E5C">
        <w:rPr>
          <w:rFonts w:cs="Times New Roman"/>
          <w:lang w:val="en-US"/>
        </w:rPr>
        <w:t xml:space="preserve"> milliliters</w:t>
      </w:r>
      <w:r w:rsidR="00E06E5C" w:rsidRPr="009666EF">
        <w:rPr>
          <w:rFonts w:cs="Times New Roman"/>
          <w:lang w:val="en-US"/>
        </w:rPr>
        <w:t xml:space="preserve"> or g</w:t>
      </w:r>
      <w:r w:rsidR="00E06E5C">
        <w:rPr>
          <w:rFonts w:cs="Times New Roman"/>
          <w:lang w:val="en-US"/>
        </w:rPr>
        <w:t>rams</w:t>
      </w:r>
      <w:r w:rsidR="00E06E5C" w:rsidRPr="009666EF">
        <w:rPr>
          <w:rFonts w:cs="Times New Roman"/>
          <w:lang w:val="en-US"/>
        </w:rPr>
        <w:t xml:space="preserve">. To </w:t>
      </w:r>
      <w:r w:rsidR="00E06E5C">
        <w:rPr>
          <w:rFonts w:cs="Times New Roman"/>
          <w:lang w:val="en-US"/>
        </w:rPr>
        <w:t>ensure</w:t>
      </w:r>
      <w:r w:rsidR="00E06E5C" w:rsidRPr="009666EF">
        <w:rPr>
          <w:rFonts w:cs="Times New Roman"/>
          <w:lang w:val="en-US"/>
        </w:rPr>
        <w:t xml:space="preserve"> participants do not forget to enter certain foods or drinks, a r</w:t>
      </w:r>
      <w:r w:rsidR="00E06E5C">
        <w:rPr>
          <w:rFonts w:cs="Times New Roman"/>
          <w:lang w:val="en-US"/>
        </w:rPr>
        <w:t>eminder to record everything (</w:t>
      </w:r>
      <w:proofErr w:type="spellStart"/>
      <w:r w:rsidR="00E06E5C">
        <w:rPr>
          <w:rFonts w:cs="Times New Roman"/>
          <w:lang w:val="en-US"/>
        </w:rPr>
        <w:t>e</w:t>
      </w:r>
      <w:r w:rsidR="00E06E5C" w:rsidRPr="009666EF">
        <w:rPr>
          <w:rFonts w:cs="Times New Roman"/>
          <w:lang w:val="en-US"/>
        </w:rPr>
        <w:t>g</w:t>
      </w:r>
      <w:proofErr w:type="spellEnd"/>
      <w:r w:rsidR="00E06E5C">
        <w:rPr>
          <w:rFonts w:cs="Times New Roman"/>
          <w:lang w:val="en-US"/>
        </w:rPr>
        <w:t>,</w:t>
      </w:r>
      <w:r w:rsidR="00E06E5C" w:rsidRPr="009666EF">
        <w:rPr>
          <w:rFonts w:cs="Times New Roman"/>
          <w:lang w:val="en-US"/>
        </w:rPr>
        <w:t xml:space="preserve"> milk when having cereals) is presented. After the reminder participants indicate whether they </w:t>
      </w:r>
      <w:r w:rsidR="00E06E5C">
        <w:rPr>
          <w:rFonts w:cs="Times New Roman"/>
          <w:lang w:val="en-US"/>
        </w:rPr>
        <w:t xml:space="preserve">(1) </w:t>
      </w:r>
      <w:r w:rsidR="00E06E5C" w:rsidRPr="009666EF">
        <w:rPr>
          <w:rFonts w:cs="Times New Roman"/>
          <w:lang w:val="en-US"/>
        </w:rPr>
        <w:t xml:space="preserve">have entered everything, </w:t>
      </w:r>
      <w:r w:rsidR="00E06E5C">
        <w:rPr>
          <w:rFonts w:cs="Times New Roman"/>
          <w:lang w:val="en-US"/>
        </w:rPr>
        <w:t xml:space="preserve">(2) </w:t>
      </w:r>
      <w:r w:rsidR="00E06E5C" w:rsidRPr="009666EF">
        <w:rPr>
          <w:rFonts w:cs="Times New Roman"/>
          <w:lang w:val="en-US"/>
        </w:rPr>
        <w:t>want to add something else from the list</w:t>
      </w:r>
      <w:r w:rsidR="00CD3352">
        <w:rPr>
          <w:rFonts w:cs="Times New Roman"/>
          <w:lang w:val="en-US"/>
        </w:rPr>
        <w:t>,</w:t>
      </w:r>
      <w:r w:rsidR="00E06E5C" w:rsidRPr="009666EF">
        <w:rPr>
          <w:rFonts w:cs="Times New Roman"/>
          <w:lang w:val="en-US"/>
        </w:rPr>
        <w:t xml:space="preserve"> or </w:t>
      </w:r>
      <w:r w:rsidR="00E06E5C">
        <w:rPr>
          <w:rFonts w:cs="Times New Roman"/>
          <w:lang w:val="en-US"/>
        </w:rPr>
        <w:t xml:space="preserve">(3) </w:t>
      </w:r>
      <w:r w:rsidR="003D1236">
        <w:rPr>
          <w:rFonts w:cs="Times New Roman"/>
          <w:lang w:val="en-US"/>
        </w:rPr>
        <w:t>want to use the Not-o</w:t>
      </w:r>
      <w:r w:rsidR="00E06E5C" w:rsidRPr="009666EF">
        <w:rPr>
          <w:rFonts w:cs="Times New Roman"/>
          <w:lang w:val="en-US"/>
        </w:rPr>
        <w:t>n-the-list-option. Wi</w:t>
      </w:r>
      <w:r w:rsidR="003D1236">
        <w:rPr>
          <w:rFonts w:cs="Times New Roman"/>
          <w:lang w:val="en-US"/>
        </w:rPr>
        <w:t>thin the Not-o</w:t>
      </w:r>
      <w:r w:rsidR="00E06E5C">
        <w:rPr>
          <w:rFonts w:cs="Times New Roman"/>
          <w:lang w:val="en-US"/>
        </w:rPr>
        <w:t>n-the-list-option</w:t>
      </w:r>
      <w:r w:rsidR="00E06E5C" w:rsidRPr="009666EF">
        <w:rPr>
          <w:rFonts w:cs="Times New Roman"/>
          <w:lang w:val="en-US"/>
        </w:rPr>
        <w:t xml:space="preserve"> participants </w:t>
      </w:r>
      <w:r w:rsidR="00E06E5C">
        <w:rPr>
          <w:rFonts w:cs="Times New Roman"/>
          <w:lang w:val="en-US"/>
        </w:rPr>
        <w:t xml:space="preserve">are asked to </w:t>
      </w:r>
      <w:r w:rsidR="00E06E5C" w:rsidRPr="009666EF">
        <w:rPr>
          <w:rFonts w:cs="Times New Roman"/>
          <w:lang w:val="en-US"/>
        </w:rPr>
        <w:t xml:space="preserve">describe the food and amount </w:t>
      </w:r>
      <w:r w:rsidR="00E06E5C">
        <w:rPr>
          <w:rFonts w:cs="Times New Roman"/>
          <w:lang w:val="en-US"/>
        </w:rPr>
        <w:t xml:space="preserve">consumed </w:t>
      </w:r>
      <w:r w:rsidR="00E06E5C" w:rsidRPr="000A63CE">
        <w:rPr>
          <w:rFonts w:cs="Times New Roman"/>
          <w:lang w:val="en-US"/>
        </w:rPr>
        <w:t>as accurately as possible</w:t>
      </w:r>
      <w:r w:rsidR="00E06E5C" w:rsidRPr="009666EF">
        <w:rPr>
          <w:rFonts w:cs="Times New Roman"/>
          <w:lang w:val="en-US"/>
        </w:rPr>
        <w:t xml:space="preserve">. In the last step, participants select the </w:t>
      </w:r>
      <w:r w:rsidR="00E06E5C">
        <w:rPr>
          <w:rFonts w:cs="Times New Roman"/>
          <w:lang w:val="en-US"/>
        </w:rPr>
        <w:t>predominant</w:t>
      </w:r>
      <w:r w:rsidR="00CD3352">
        <w:rPr>
          <w:rFonts w:cs="Times New Roman"/>
          <w:lang w:val="en-US"/>
        </w:rPr>
        <w:t xml:space="preserve"> reason for the current food or </w:t>
      </w:r>
      <w:r w:rsidR="00E06E5C" w:rsidRPr="009666EF">
        <w:rPr>
          <w:rFonts w:cs="Times New Roman"/>
          <w:lang w:val="en-US"/>
        </w:rPr>
        <w:t xml:space="preserve">drink intake out of 19 presented reasons. </w:t>
      </w:r>
      <w:r w:rsidR="00E06E5C">
        <w:rPr>
          <w:rFonts w:cs="Times New Roman"/>
          <w:lang w:val="en-US"/>
        </w:rPr>
        <w:t>These</w:t>
      </w:r>
      <w:r w:rsidR="00E06E5C" w:rsidRPr="009666EF">
        <w:rPr>
          <w:rFonts w:cs="Times New Roman"/>
          <w:lang w:val="en-US"/>
        </w:rPr>
        <w:t xml:space="preserve"> reasons were adopted</w:t>
      </w:r>
      <w:r w:rsidR="00E06E5C">
        <w:rPr>
          <w:rFonts w:cs="Times New Roman"/>
          <w:lang w:val="en-US"/>
        </w:rPr>
        <w:t xml:space="preserve"> from previous studies </w:t>
      </w:r>
      <w:r w:rsidR="00E06E5C" w:rsidRPr="009666EF">
        <w:rPr>
          <w:rFonts w:cs="Times New Roman"/>
          <w:lang w:val="en-US"/>
        </w:rPr>
        <w:fldChar w:fldCharType="begin" w:fldLock="1"/>
      </w:r>
      <w:r w:rsidR="00482568">
        <w:rPr>
          <w:rFonts w:cs="Times New Roman"/>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females","type":"article-journal","volume":"27"},"uris":["http://www.mendeley.com/documents/?uuid=8e70c394-aa27-375b-8b48-65836b667eed"]},{"id":"ITEM-2","itemData":{"DOI":"10.1016/j.appet.2014.09.013","ISSN":"10958304","PMID":"25261101","abstract":"Investigating the reasons that people give for unhealthy snacking behavior is important for developing effective health interventions. Little research, however, has identified reasons that apply to a large audience and most studies do not integrate multiple factors, precluding any conclusions regarding their relative importance. The present study explored reasons for unhealthy snacking among a representative community sample. Participants (. N=1544) filled out the newly developed Reasons to Snack inventory assessing an elaborate range of motives at baseline and 1-month follow-up. Exploratory and replication factor analyses identified six categories: opportunity induced eating, coping with negative emotions, enjoying a special occasion, rewarding oneself, social pressure, and gaining energy. The highest mean scores were obtained for enjoying a special occasion and opportunity induced eating. Regression analyses with participant characteristics as independent variables and each category of reasons as dependent variables showed differences for age. For all reasons except to enjoy a special occasion, younger people reported a higher score. Women indicated a higher score than men on coping with negative emotions, enjoying a special occasion and gaining energy. People who diet to a stronger extent reported a higher score for snacking because of social pressure, to reward oneself and to cope with negative emotions, with the latter also being related to a higher BMI. Finally, a higher education was associated with enjoying a special occasion. Future health interventions could allocate more attention to diminishing unhealthy snacking with regard to the six identified categories, specifically focusing on enjoying a special occasion and opportunity induced eating.","author":[{"dropping-particle":"","family":"Verhoeven","given":"Aukje A.C.","non-dropping-particle":"","parse-names":false,"suffix":""},{"dropping-particle":"","family":"Adriaanse","given":"Marieke A.","non-dropping-particle":"","parse-names":false,"suffix":""},{"dropping-particle":"","family":"Vet","given":"Emely","non-dropping-particle":"de","parse-names":false,"suffix":""},{"dropping-particle":"","family":"Fennis","given":"Bob M.","non-dropping-particle":"","parse-names":false,"suffix":""},{"dropping-particle":"","family":"Ridder","given":"Denise T.D.","non-dropping-particle":"de","parse-names":false,"suffix":""}],"container-title":"Appetite","id":"ITEM-2","issued":{"date-parts":[["2015","1","1"]]},"page":"20-27","title":"It's my party and I eat if I want to. Reasons for unhealthy snacking","type":"article-journal","volume":"84"},"uris":["http://www.mendeley.com/documents/?uuid=6429c2db-c8b6-3444-b233-3d28cd8ec851"]},{"id":"ITEM-3","itemData":{"DOI":"10.1037/hea0000568","ISSN":"19307810","PMID":"29154607","abstract":"Objective: Social factors are among the most powerful and pervasive influences on eating behavior, snacking in particular. Previous research has shown that being in the presence of people who are eating significantly increases the likelihood of eating and affects the types as well as the amount of food consumed. Much less is known about the processes underlying social influence, but previous research has suggested social norms as mediators. In this study, we extended this perspective to everyday settings and examined whether the presence of other people eating leads to a change in perceived momentary norms, and whether this change predicts snack consumption in real life. Method: We applied ecological momentary assessment to study 61 individuals in the normal-obese weight range (M BMI = 24.97 kg/m2; SD = 4.07) over a 14-day monitoring period. We used a combination of event-based snacking reports and randomly timed assessments. The presence of others eating and momentary perceptions of injunctive norms (facets of perceived appropriateness and encouragement) were measured for both assessment types. Results: Mediated, multilevel logistic regression showed that social cues predict snacking (OR = 3.06), and that momentary perceptions of appropriateness (a*b = 0.14) and encouragement (a*b = 0.18) partially mediated these effects. Conclusion: Perceptions of momentary norms mediated the effects of social influence on everyday snacking, which highlights the importance of the social environment for understanding eating behavior.","author":[{"dropping-particle":"","family":"Schüz","given":"Benjamin","non-dropping-particle":"","parse-names":false,"suffix":""},{"dropping-particle":"","family":"Papadakis","given":"Thalia","non-dropping-particle":"","parse-names":false,"suffix":""},{"dropping-particle":"","family":"Ferguson","given":"Stuart G.","non-dropping-particle":"","parse-names":false,"suffix":""}],"container-title":"Health Psychology","id":"ITEM-3","issue":"2","issued":{"date-parts":[["2018","2","1"]]},"page":"153-159","title":"Situation-specific social norms as mediators of social influence on snacking","type":"article-journal","volume":"37"},"uris":["http://www.mendeley.com/documents/?uuid=0fedf163-76fc-36e2-8a1c-513106a4b8ba"]},{"id":"ITEM-4","itemData":{"DOI":"10.1016/j.appet.2012.04.004","ISSN":"01956663","PMID":"22521515","abstract":"Understanding why people select certain food items in everyday life is crucial for the creation of interventions to promote normal eating and to prevent the development of obesity and eating disorders. The Eating Motivation Survey (TEMS) was developed within a frame of three different studies. In Study 1, a total of 331 motives for eating behavior were generated on the basis of different data sources (previous research, nutritionist interviews, and expert discussions). In Study 2, 1250 respondents were provided with a set of motives from Study 1 and the Eating Motivation Survey was finalized. In Study 3, a sample of 1040 participants filled in the Eating Motivation Survey. Confirmatory factor analysis with fifteen factors for food choice yielded a satisfactory model fit for a full (78 items) and brief survey version (45 items) with RMSEA .048 and .037, 90% CI .047-.049 and .035-.039, respectively. Factor structure was generally invariant across random selected groups, gender, and BMI, which indicates a high stability for the Eating Motivation Survey. On the mean level, however, significant differences in motivation for food choice associated with gender, age, and BMI emerged. Implications of the fifteen distinct motivations to choose foods in everyday life are discussed. © 2012 Elsevier Ltd.","author":[{"dropping-particle":"","family":"Renner","given":"Britta","non-dropping-particle":"","parse-names":false,"suffix":""},{"dropping-particle":"","family":"Sproesser","given":"Gudrun","non-dropping-particle":"","parse-names":false,"suffix":""},{"dropping-particle":"","family":"Strohbach","given":"Stefanie","non-dropping-particle":"","parse-names":false,"suffix":""},{"dropping-particle":"","family":"Schupp","given":"Harald T.","non-dropping-particle":"","parse-names":false,"suffix":""}],"container-title":"Appetite","id":"ITEM-4","issue":"1","issued":{"date-parts":[["2012","8"]]},"page":"117-128","title":"Why we eat what we eat. The Eating Motivation Survey (TEMS)","type":"article-journal","volume":"59"},"uris":["http://www.mendeley.com/documents/?uuid=241e898b-9251-341d-b6fe-905287d1c5fb"]},{"id":"ITEM-5","itemData":{"DOI":"10.1016/j.appet.2013.04.007","ISSN":"01956663","PMID":"23602962","abstract":"Research on emotions as a trigger for food intake has mainly been focused on the role of negative emotions. In the present studies the role of positive emotions as a trigger for food intake is investigated in a sample of healthy participants with a normal weight. Two laboratory studies were conducted in which positive emotions or no emotions were induced (Study 1) or in addition negative emotions were induced (Study 2) after which unhealthy food intake was assessed by bogus taste tests. In Study 3, food intake was assessed by registering snack intake in a 7-day diary study together with the emotions accompanying each snacking episode to provide a more ecologically valid test of our hypothesis. Studies 1 and 2 showed that positive emotions, compared to the control conditions, evoked more caloric intake. Dietary restraint did not moderate this effect. Study 2 additionally showed that positive emotions evoked caloric intake to the same extent as negative emotions. Study 3 showed that snack intake in daily life was reported to result from positive emotions more frequently than from negative emotions. Conclusions: Positive emotions serve as an important but under-investigated trigger for unhealthy food intake that deserves further scrutiny. Future research should further investigate whether food intake results from emotional arousal in general, or from emotional valence in particular. © 2013 Elsevier Ltd.","author":[{"dropping-particle":"","family":"Evers","given":"Catharine","non-dropping-particle":"","parse-names":false,"suffix":""},{"dropping-particle":"","family":"Adriaanse","given":"Marieke","non-dropping-particle":"","parse-names":false,"suffix":""},{"dropping-particle":"","family":"Ridder","given":"Denise T.D.","non-dropping-particle":"de","parse-names":false,"suffix":""},{"dropping-particle":"","family":"Witt Huberts","given":"Jessie C.","non-dropping-particle":"de","parse-names":false,"suffix":""}],"container-title":"Appetite","id":"ITEM-5","issued":{"date-parts":[["2013","9","1"]]},"page":"1-7","title":"Good mood food. Positive emotion as a neglected trigger for food intake","type":"article-journal","volume":"68"},"uris":["http://www.mendeley.com/documents/?uuid=76660174-8473-329e-8233-6cb30789148c"]}],"mendeley":{"formattedCitation":"[1–5]","plainTextFormattedCitation":"[1–5]","previouslyFormattedCitation":"[1–5]"},"properties":{"noteIndex":0},"schema":"https://github.com/citation-style-language/schema/raw/master/csl-citation.json"}</w:instrText>
      </w:r>
      <w:r w:rsidR="00E06E5C" w:rsidRPr="009666EF">
        <w:rPr>
          <w:rFonts w:cs="Times New Roman"/>
          <w:lang w:val="en-US"/>
        </w:rPr>
        <w:fldChar w:fldCharType="separate"/>
      </w:r>
      <w:r w:rsidR="00CD3352" w:rsidRPr="00CD3352">
        <w:rPr>
          <w:rFonts w:cs="Times New Roman"/>
          <w:noProof/>
          <w:lang w:val="en-US"/>
        </w:rPr>
        <w:t>[1–5]</w:t>
      </w:r>
      <w:r w:rsidR="00E06E5C" w:rsidRPr="009666EF">
        <w:rPr>
          <w:rFonts w:cs="Times New Roman"/>
          <w:lang w:val="en-US"/>
        </w:rPr>
        <w:fldChar w:fldCharType="end"/>
      </w:r>
      <w:r w:rsidR="00E06E5C">
        <w:rPr>
          <w:rFonts w:cs="Times New Roman"/>
          <w:lang w:val="en-US"/>
        </w:rPr>
        <w:t>,</w:t>
      </w:r>
      <w:r w:rsidR="00E06E5C" w:rsidRPr="009666EF">
        <w:rPr>
          <w:rFonts w:cs="Times New Roman"/>
          <w:lang w:val="en-US"/>
        </w:rPr>
        <w:t xml:space="preserve"> translated to German and adapted to incorporate reasons for drinking (see </w:t>
      </w:r>
      <w:r w:rsidR="001E563E">
        <w:rPr>
          <w:rFonts w:cs="Times New Roman"/>
          <w:lang w:val="en-US"/>
        </w:rPr>
        <w:t>Multimedia Appendix</w:t>
      </w:r>
      <w:r w:rsidR="00E06E5C" w:rsidRPr="009666EF">
        <w:rPr>
          <w:rFonts w:cs="Times New Roman"/>
          <w:lang w:val="en-US"/>
        </w:rPr>
        <w:t xml:space="preserve"> </w:t>
      </w:r>
      <w:r w:rsidR="00CC75BB">
        <w:rPr>
          <w:rFonts w:cs="Times New Roman"/>
          <w:lang w:val="en-US"/>
        </w:rPr>
        <w:t>2</w:t>
      </w:r>
      <w:r w:rsidR="00E06E5C" w:rsidRPr="009666EF">
        <w:rPr>
          <w:rFonts w:cs="Times New Roman"/>
          <w:lang w:val="en-US"/>
        </w:rPr>
        <w:t>).</w:t>
      </w:r>
      <w:bookmarkStart w:id="0" w:name="_GoBack"/>
      <w:bookmarkEnd w:id="0"/>
    </w:p>
    <w:p w:rsidR="00E06E5C" w:rsidRPr="009666EF" w:rsidRDefault="00E06E5C" w:rsidP="00E06E5C">
      <w:pPr>
        <w:rPr>
          <w:rFonts w:cs="Times New Roman"/>
          <w:lang w:val="en-US"/>
        </w:rPr>
      </w:pPr>
      <w:r>
        <w:rPr>
          <w:rFonts w:cs="Times New Roman"/>
          <w:lang w:val="en-US"/>
        </w:rPr>
        <w:t>At 9 PM</w:t>
      </w:r>
      <w:r w:rsidRPr="009666EF">
        <w:rPr>
          <w:rFonts w:cs="Times New Roman"/>
          <w:lang w:val="en-US"/>
        </w:rPr>
        <w:t xml:space="preserve">, the APPetite-mobile-app initiates an end-of-the-day prompt asking if all consumed foods and drink of the day have been </w:t>
      </w:r>
      <w:r>
        <w:rPr>
          <w:rFonts w:cs="Times New Roman"/>
          <w:lang w:val="en-US"/>
        </w:rPr>
        <w:t>recorded</w:t>
      </w:r>
      <w:r w:rsidRPr="009666EF">
        <w:rPr>
          <w:rFonts w:cs="Times New Roman"/>
          <w:lang w:val="en-US"/>
        </w:rPr>
        <w:t xml:space="preserve">. If participants deny this question, they are requested to add missing meals following the described 6-step process. </w:t>
      </w:r>
    </w:p>
    <w:p w:rsidR="00E06E5C" w:rsidRPr="009666EF" w:rsidRDefault="00CD3352" w:rsidP="00E06E5C">
      <w:pPr>
        <w:rPr>
          <w:rFonts w:cs="Times New Roman"/>
          <w:lang w:val="en-US"/>
        </w:rPr>
      </w:pPr>
      <w:r>
        <w:rPr>
          <w:rFonts w:cs="Times New Roman"/>
          <w:lang w:val="en-US"/>
        </w:rPr>
        <w:t>The APPetite-</w:t>
      </w:r>
      <w:r w:rsidR="00E06E5C" w:rsidRPr="009666EF">
        <w:rPr>
          <w:rFonts w:cs="Times New Roman"/>
          <w:lang w:val="en-US"/>
        </w:rPr>
        <w:t xml:space="preserve">food record includes 14 food-related categories, </w:t>
      </w:r>
      <w:r w:rsidR="00E06E5C">
        <w:rPr>
          <w:rFonts w:cs="Times New Roman"/>
          <w:lang w:val="en-US"/>
        </w:rPr>
        <w:t>1</w:t>
      </w:r>
      <w:r w:rsidR="00E06E5C" w:rsidRPr="009666EF">
        <w:rPr>
          <w:rFonts w:cs="Times New Roman"/>
          <w:lang w:val="en-US"/>
        </w:rPr>
        <w:t xml:space="preserve"> drink category</w:t>
      </w:r>
      <w:r w:rsidR="00E06E5C">
        <w:rPr>
          <w:rFonts w:cs="Times New Roman"/>
          <w:lang w:val="en-US"/>
        </w:rPr>
        <w:t>,</w:t>
      </w:r>
      <w:r w:rsidR="003D1236">
        <w:rPr>
          <w:rFonts w:cs="Times New Roman"/>
          <w:lang w:val="en-US"/>
        </w:rPr>
        <w:t xml:space="preserve"> and a Not-o</w:t>
      </w:r>
      <w:r w:rsidR="00E06E5C" w:rsidRPr="009666EF">
        <w:rPr>
          <w:rFonts w:cs="Times New Roman"/>
          <w:lang w:val="en-US"/>
        </w:rPr>
        <w:t>n-the-list-category. The food-related cat</w:t>
      </w:r>
      <w:r w:rsidR="00E06E5C">
        <w:rPr>
          <w:rFonts w:cs="Times New Roman"/>
          <w:lang w:val="en-US"/>
        </w:rPr>
        <w:t>egories are divided into 31 sub</w:t>
      </w:r>
      <w:r w:rsidR="00E06E5C" w:rsidRPr="009666EF">
        <w:rPr>
          <w:rFonts w:cs="Times New Roman"/>
          <w:lang w:val="en-US"/>
        </w:rPr>
        <w:t xml:space="preserve">categories and into </w:t>
      </w:r>
      <w:r w:rsidR="00E06E5C">
        <w:rPr>
          <w:rFonts w:cs="Times New Roman"/>
          <w:lang w:val="en-US"/>
        </w:rPr>
        <w:t xml:space="preserve">around </w:t>
      </w:r>
      <w:r w:rsidR="00E06E5C" w:rsidRPr="009666EF">
        <w:rPr>
          <w:rFonts w:cs="Times New Roman"/>
          <w:lang w:val="en-US"/>
        </w:rPr>
        <w:t>500 food items</w:t>
      </w:r>
      <w:r w:rsidR="00E06E5C">
        <w:rPr>
          <w:rFonts w:cs="Times New Roman"/>
          <w:lang w:val="en-US"/>
        </w:rPr>
        <w:t xml:space="preserve"> </w:t>
      </w:r>
      <w:r w:rsidR="00E06E5C" w:rsidRPr="009666EF">
        <w:rPr>
          <w:rFonts w:cs="Times New Roman"/>
          <w:lang w:val="en-US"/>
        </w:rPr>
        <w:t xml:space="preserve">overall. The drink category differentiates a total of 40 drinks in </w:t>
      </w:r>
      <w:r w:rsidR="00E06E5C">
        <w:rPr>
          <w:rFonts w:cs="Times New Roman"/>
          <w:lang w:val="en-US"/>
        </w:rPr>
        <w:t>2 subcategories: non</w:t>
      </w:r>
      <w:r w:rsidR="00E06E5C" w:rsidRPr="009666EF">
        <w:rPr>
          <w:rFonts w:cs="Times New Roman"/>
          <w:lang w:val="en-US"/>
        </w:rPr>
        <w:t>alcoholic and alcoholic drinks. The food and drink items are predominantly generic</w:t>
      </w:r>
      <w:r w:rsidR="00E06E5C">
        <w:rPr>
          <w:rFonts w:cs="Times New Roman"/>
          <w:lang w:val="en-US"/>
        </w:rPr>
        <w:t>.</w:t>
      </w:r>
      <w:r w:rsidR="00E06E5C" w:rsidRPr="009666EF">
        <w:rPr>
          <w:rFonts w:cs="Times New Roman"/>
          <w:lang w:val="en-US"/>
        </w:rPr>
        <w:t xml:space="preserve"> To facilit</w:t>
      </w:r>
      <w:r>
        <w:rPr>
          <w:rFonts w:cs="Times New Roman"/>
          <w:lang w:val="en-US"/>
        </w:rPr>
        <w:t xml:space="preserve">ate the search of certain foods and </w:t>
      </w:r>
      <w:r w:rsidR="00E06E5C" w:rsidRPr="009666EF">
        <w:rPr>
          <w:rFonts w:cs="Times New Roman"/>
          <w:lang w:val="en-US"/>
        </w:rPr>
        <w:t>drinks, some items are present in more than</w:t>
      </w:r>
      <w:r w:rsidR="00E06E5C">
        <w:rPr>
          <w:rFonts w:cs="Times New Roman"/>
          <w:lang w:val="en-US"/>
        </w:rPr>
        <w:t xml:space="preserve"> one category (</w:t>
      </w:r>
      <w:proofErr w:type="spellStart"/>
      <w:r w:rsidR="00E06E5C">
        <w:rPr>
          <w:rFonts w:cs="Times New Roman"/>
          <w:lang w:val="en-US"/>
        </w:rPr>
        <w:t>eg</w:t>
      </w:r>
      <w:proofErr w:type="spellEnd"/>
      <w:r w:rsidR="00E06E5C">
        <w:rPr>
          <w:rFonts w:cs="Times New Roman"/>
          <w:lang w:val="en-US"/>
        </w:rPr>
        <w:t>,</w:t>
      </w:r>
      <w:r w:rsidR="00E06E5C" w:rsidRPr="009666EF">
        <w:rPr>
          <w:rFonts w:cs="Times New Roman"/>
          <w:lang w:val="en-US"/>
        </w:rPr>
        <w:t xml:space="preserve"> milk</w:t>
      </w:r>
      <w:r w:rsidR="00E06E5C">
        <w:rPr>
          <w:rFonts w:cs="Times New Roman"/>
          <w:lang w:val="en-US"/>
        </w:rPr>
        <w:t xml:space="preserve"> in dairy products and non</w:t>
      </w:r>
      <w:r w:rsidR="00E06E5C" w:rsidRPr="009666EF">
        <w:rPr>
          <w:rFonts w:cs="Times New Roman"/>
          <w:lang w:val="en-US"/>
        </w:rPr>
        <w:t>alcoholic drinks).</w:t>
      </w:r>
    </w:p>
    <w:p w:rsidR="00E06E5C" w:rsidRPr="0051796F" w:rsidRDefault="0051796F" w:rsidP="00E06E5C">
      <w:pPr>
        <w:jc w:val="center"/>
        <w:rPr>
          <w:rFonts w:cs="Times New Roman"/>
        </w:rPr>
      </w:pPr>
      <w:r>
        <w:rPr>
          <w:rFonts w:cs="Times New Roman"/>
          <w:noProof/>
          <w:lang w:eastAsia="de-DE"/>
        </w:rPr>
        <w:lastRenderedPageBreak/>
        <w:drawing>
          <wp:inline distT="0" distB="0" distL="0" distR="0" wp14:anchorId="38C64793" wp14:editId="29B4B216">
            <wp:extent cx="4931633" cy="4940300"/>
            <wp:effectExtent l="0" t="0" r="2540" b="0"/>
            <wp:docPr id="2" name="Grafik 2" descr="C:\Users\Alea\Desktop\Methoden-Paper\1. Paper - Assessment\Abbildungen\Figure 1. Illustration of the 6-step process of the APPetite-food re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a\Desktop\Methoden-Paper\1. Paper - Assessment\Abbildungen\Figure 1. Illustration of the 6-step process of the APPetite-food rec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5407" cy="4944081"/>
                    </a:xfrm>
                    <a:prstGeom prst="rect">
                      <a:avLst/>
                    </a:prstGeom>
                    <a:noFill/>
                    <a:ln>
                      <a:noFill/>
                    </a:ln>
                  </pic:spPr>
                </pic:pic>
              </a:graphicData>
            </a:graphic>
          </wp:inline>
        </w:drawing>
      </w:r>
    </w:p>
    <w:p w:rsidR="00E06E5C" w:rsidRPr="009666EF" w:rsidRDefault="00E06E5C" w:rsidP="00E06E5C">
      <w:pPr>
        <w:rPr>
          <w:rFonts w:cs="Times New Roman"/>
          <w:lang w:val="en-US"/>
        </w:rPr>
      </w:pPr>
      <w:proofErr w:type="gramStart"/>
      <w:r w:rsidRPr="005707FB">
        <w:rPr>
          <w:rFonts w:cs="Times New Roman"/>
          <w:b/>
          <w:lang w:val="en-US"/>
        </w:rPr>
        <w:t xml:space="preserve">Figure </w:t>
      </w:r>
      <w:r>
        <w:rPr>
          <w:rFonts w:cs="Times New Roman"/>
          <w:b/>
          <w:lang w:val="en-US"/>
        </w:rPr>
        <w:t>1</w:t>
      </w:r>
      <w:r w:rsidRPr="005707FB">
        <w:rPr>
          <w:rFonts w:cs="Times New Roman"/>
          <w:b/>
          <w:lang w:val="en-US"/>
        </w:rPr>
        <w:t>.</w:t>
      </w:r>
      <w:proofErr w:type="gramEnd"/>
      <w:r w:rsidR="001724DA">
        <w:rPr>
          <w:rFonts w:cs="Times New Roman"/>
          <w:lang w:val="en-US"/>
        </w:rPr>
        <w:t xml:space="preserve"> </w:t>
      </w:r>
      <w:proofErr w:type="gramStart"/>
      <w:r w:rsidR="001724DA">
        <w:rPr>
          <w:rFonts w:cs="Times New Roman"/>
          <w:lang w:val="en-US"/>
        </w:rPr>
        <w:t>Illustration of the six</w:t>
      </w:r>
      <w:r w:rsidRPr="009666EF">
        <w:rPr>
          <w:rFonts w:cs="Times New Roman"/>
          <w:lang w:val="en-US"/>
        </w:rPr>
        <w:t xml:space="preserve">-step process of the </w:t>
      </w:r>
      <w:r w:rsidR="0095010D">
        <w:rPr>
          <w:rFonts w:cs="Times New Roman"/>
          <w:lang w:val="en-US"/>
        </w:rPr>
        <w:t>APPetite-</w:t>
      </w:r>
      <w:r w:rsidRPr="009666EF">
        <w:rPr>
          <w:rFonts w:cs="Times New Roman"/>
          <w:lang w:val="en-US"/>
        </w:rPr>
        <w:t>food record.</w:t>
      </w:r>
      <w:proofErr w:type="gramEnd"/>
    </w:p>
    <w:p w:rsidR="00E06E5C" w:rsidRPr="009666EF" w:rsidRDefault="00E06E5C" w:rsidP="00CD3352">
      <w:pPr>
        <w:tabs>
          <w:tab w:val="left" w:pos="7023"/>
        </w:tabs>
        <w:spacing w:before="240"/>
        <w:rPr>
          <w:rFonts w:cs="Times New Roman"/>
          <w:lang w:val="en-US"/>
        </w:rPr>
      </w:pPr>
      <w:r w:rsidRPr="009666EF">
        <w:rPr>
          <w:rFonts w:cs="Times New Roman"/>
          <w:lang w:val="en-US"/>
        </w:rPr>
        <w:t xml:space="preserve">A few additional features were implemented to improve the accuracy of the </w:t>
      </w:r>
      <w:r w:rsidR="00CD3352">
        <w:rPr>
          <w:rFonts w:cs="Times New Roman"/>
          <w:lang w:val="en-US"/>
        </w:rPr>
        <w:t>APPetite-food</w:t>
      </w:r>
      <w:r w:rsidRPr="009666EF">
        <w:rPr>
          <w:rFonts w:cs="Times New Roman"/>
          <w:lang w:val="en-US"/>
        </w:rPr>
        <w:t xml:space="preserve"> </w:t>
      </w:r>
      <w:r w:rsidR="00CD3352">
        <w:rPr>
          <w:rFonts w:cs="Times New Roman"/>
          <w:lang w:val="en-US"/>
        </w:rPr>
        <w:t>record</w:t>
      </w:r>
      <w:r w:rsidRPr="009666EF">
        <w:rPr>
          <w:rFonts w:cs="Times New Roman"/>
          <w:lang w:val="en-US"/>
        </w:rPr>
        <w:t>. These features address further details about entered foods or the consumption of commonly added foods: (1) Preparation method</w:t>
      </w:r>
      <w:r>
        <w:rPr>
          <w:rFonts w:cs="Times New Roman"/>
          <w:lang w:val="en-US"/>
        </w:rPr>
        <w:t xml:space="preserve"> of </w:t>
      </w:r>
      <w:r w:rsidRPr="009666EF">
        <w:rPr>
          <w:rFonts w:cs="Times New Roman"/>
          <w:lang w:val="en-US"/>
        </w:rPr>
        <w:t xml:space="preserve">fruits and vegetables </w:t>
      </w:r>
      <w:r>
        <w:rPr>
          <w:rFonts w:cs="Times New Roman"/>
          <w:lang w:val="en-US"/>
        </w:rPr>
        <w:t>(</w:t>
      </w:r>
      <w:proofErr w:type="spellStart"/>
      <w:r>
        <w:rPr>
          <w:rFonts w:cs="Times New Roman"/>
          <w:lang w:val="en-US"/>
        </w:rPr>
        <w:t>eg</w:t>
      </w:r>
      <w:proofErr w:type="spellEnd"/>
      <w:r>
        <w:rPr>
          <w:rFonts w:cs="Times New Roman"/>
          <w:lang w:val="en-US"/>
        </w:rPr>
        <w:t>, raw, cooked, or fried),</w:t>
      </w:r>
      <w:r w:rsidRPr="009666EF">
        <w:rPr>
          <w:rFonts w:cs="Times New Roman"/>
          <w:lang w:val="en-US"/>
        </w:rPr>
        <w:t xml:space="preserve"> (2) </w:t>
      </w:r>
      <w:r>
        <w:rPr>
          <w:rFonts w:cs="Times New Roman"/>
          <w:lang w:val="en-US"/>
        </w:rPr>
        <w:t>C</w:t>
      </w:r>
      <w:r w:rsidRPr="009666EF">
        <w:rPr>
          <w:rFonts w:cs="Times New Roman"/>
          <w:lang w:val="en-US"/>
        </w:rPr>
        <w:t xml:space="preserve">affeine content </w:t>
      </w:r>
      <w:r>
        <w:rPr>
          <w:rFonts w:cs="Times New Roman"/>
          <w:lang w:val="en-US"/>
        </w:rPr>
        <w:t>of</w:t>
      </w:r>
      <w:r w:rsidRPr="009666EF">
        <w:rPr>
          <w:rFonts w:cs="Times New Roman"/>
          <w:lang w:val="en-US"/>
        </w:rPr>
        <w:t xml:space="preserve"> coffee </w:t>
      </w:r>
      <w:r>
        <w:rPr>
          <w:rFonts w:cs="Times New Roman"/>
          <w:lang w:val="en-US"/>
        </w:rPr>
        <w:t>and</w:t>
      </w:r>
      <w:r w:rsidRPr="009666EF">
        <w:rPr>
          <w:rFonts w:cs="Times New Roman"/>
          <w:lang w:val="en-US"/>
        </w:rPr>
        <w:t xml:space="preserve"> tea beverages</w:t>
      </w:r>
      <w:r>
        <w:rPr>
          <w:rFonts w:cs="Times New Roman"/>
          <w:lang w:val="en-US"/>
        </w:rPr>
        <w:t>,</w:t>
      </w:r>
      <w:r w:rsidRPr="009666EF">
        <w:rPr>
          <w:rFonts w:cs="Times New Roman"/>
          <w:lang w:val="en-US"/>
        </w:rPr>
        <w:t xml:space="preserve"> (3) </w:t>
      </w:r>
      <w:r>
        <w:rPr>
          <w:rFonts w:cs="Times New Roman"/>
          <w:lang w:val="en-US"/>
        </w:rPr>
        <w:t>Type of f</w:t>
      </w:r>
      <w:r w:rsidRPr="009666EF">
        <w:rPr>
          <w:rFonts w:cs="Times New Roman"/>
          <w:lang w:val="en-US"/>
        </w:rPr>
        <w:t xml:space="preserve">ruit </w:t>
      </w:r>
      <w:r>
        <w:rPr>
          <w:rFonts w:cs="Times New Roman"/>
          <w:lang w:val="en-US"/>
        </w:rPr>
        <w:t>of</w:t>
      </w:r>
      <w:r w:rsidRPr="009666EF">
        <w:rPr>
          <w:rFonts w:cs="Times New Roman"/>
          <w:lang w:val="en-US"/>
        </w:rPr>
        <w:t xml:space="preserve"> juice</w:t>
      </w:r>
      <w:r>
        <w:rPr>
          <w:rFonts w:cs="Times New Roman"/>
          <w:lang w:val="en-US"/>
        </w:rPr>
        <w:t>s</w:t>
      </w:r>
      <w:r w:rsidRPr="009666EF">
        <w:rPr>
          <w:rFonts w:cs="Times New Roman"/>
          <w:lang w:val="en-US"/>
        </w:rPr>
        <w:t>, nectar</w:t>
      </w:r>
      <w:r>
        <w:rPr>
          <w:rFonts w:cs="Times New Roman"/>
          <w:lang w:val="en-US"/>
        </w:rPr>
        <w:t>s</w:t>
      </w:r>
      <w:r w:rsidRPr="009666EF">
        <w:rPr>
          <w:rFonts w:cs="Times New Roman"/>
          <w:lang w:val="en-US"/>
        </w:rPr>
        <w:t xml:space="preserve"> or spritzer</w:t>
      </w:r>
      <w:r>
        <w:rPr>
          <w:rFonts w:cs="Times New Roman"/>
          <w:lang w:val="en-US"/>
        </w:rPr>
        <w:t>s,</w:t>
      </w:r>
      <w:r w:rsidRPr="009666EF">
        <w:rPr>
          <w:rFonts w:cs="Times New Roman"/>
          <w:lang w:val="en-US"/>
        </w:rPr>
        <w:t xml:space="preserve"> (4) </w:t>
      </w:r>
      <w:r>
        <w:rPr>
          <w:rFonts w:cs="Times New Roman"/>
          <w:lang w:val="en-US"/>
        </w:rPr>
        <w:t>A</w:t>
      </w:r>
      <w:r w:rsidRPr="009666EF">
        <w:rPr>
          <w:rFonts w:cs="Times New Roman"/>
          <w:lang w:val="en-US"/>
        </w:rPr>
        <w:t>dded sugar, honey, sweetener pills or sweetener liquid</w:t>
      </w:r>
      <w:r>
        <w:rPr>
          <w:rFonts w:cs="Times New Roman"/>
          <w:lang w:val="en-US"/>
        </w:rPr>
        <w:t xml:space="preserve"> to hot drinks, and</w:t>
      </w:r>
      <w:r w:rsidRPr="009666EF">
        <w:rPr>
          <w:rFonts w:cs="Times New Roman"/>
          <w:lang w:val="en-US"/>
        </w:rPr>
        <w:t xml:space="preserve"> (5) </w:t>
      </w:r>
      <w:r>
        <w:rPr>
          <w:rFonts w:cs="Times New Roman"/>
          <w:lang w:val="en-US"/>
        </w:rPr>
        <w:t>Added</w:t>
      </w:r>
      <w:r w:rsidRPr="009666EF">
        <w:rPr>
          <w:rFonts w:cs="Times New Roman"/>
          <w:lang w:val="en-US"/>
        </w:rPr>
        <w:t xml:space="preserve"> seeds </w:t>
      </w:r>
      <w:r>
        <w:rPr>
          <w:rFonts w:cs="Times New Roman"/>
          <w:lang w:val="en-US"/>
        </w:rPr>
        <w:t>(</w:t>
      </w:r>
      <w:proofErr w:type="spellStart"/>
      <w:r>
        <w:rPr>
          <w:rFonts w:cs="Times New Roman"/>
          <w:lang w:val="en-US"/>
        </w:rPr>
        <w:t>eg</w:t>
      </w:r>
      <w:proofErr w:type="spellEnd"/>
      <w:r>
        <w:rPr>
          <w:rFonts w:cs="Times New Roman"/>
          <w:lang w:val="en-US"/>
        </w:rPr>
        <w:t>,</w:t>
      </w:r>
      <w:r w:rsidRPr="009666EF">
        <w:rPr>
          <w:rFonts w:cs="Times New Roman"/>
          <w:lang w:val="en-US"/>
        </w:rPr>
        <w:t xml:space="preserve"> sunflower seeds)</w:t>
      </w:r>
      <w:r>
        <w:rPr>
          <w:rFonts w:cs="Times New Roman"/>
          <w:lang w:val="en-US"/>
        </w:rPr>
        <w:t xml:space="preserve"> to salads</w:t>
      </w:r>
      <w:r w:rsidRPr="009666EF">
        <w:rPr>
          <w:rFonts w:cs="Times New Roman"/>
          <w:lang w:val="en-US"/>
        </w:rPr>
        <w:t xml:space="preserve">. </w:t>
      </w:r>
    </w:p>
    <w:p w:rsidR="00E06E5C" w:rsidRPr="009666EF" w:rsidRDefault="00E06E5C" w:rsidP="00E06E5C">
      <w:pPr>
        <w:rPr>
          <w:rFonts w:cs="Times New Roman"/>
          <w:lang w:val="en-US"/>
        </w:rPr>
      </w:pPr>
      <w:r w:rsidRPr="009666EF">
        <w:rPr>
          <w:rFonts w:cs="Times New Roman"/>
          <w:lang w:val="en-US"/>
        </w:rPr>
        <w:t>Participants cannot modify food records retrospectively. As compliance of the food record cannot be assessed directly, we provide dietary feedback</w:t>
      </w:r>
      <w:r w:rsidRPr="009666EF">
        <w:rPr>
          <w:rStyle w:val="Kommentarzeichen"/>
          <w:lang w:val="en-US"/>
        </w:rPr>
        <w:t xml:space="preserve"> </w:t>
      </w:r>
      <w:r w:rsidRPr="009666EF">
        <w:rPr>
          <w:rFonts w:cs="Times New Roman"/>
          <w:lang w:val="en-US"/>
        </w:rPr>
        <w:t xml:space="preserve">to our participants to increase motivation to enter all foods and drinks completely and truly. </w:t>
      </w:r>
    </w:p>
    <w:p w:rsidR="00E06E5C" w:rsidRPr="009666EF" w:rsidRDefault="00E06E5C" w:rsidP="00E06E5C">
      <w:pPr>
        <w:pStyle w:val="berschrift5"/>
        <w:rPr>
          <w:lang w:val="en-US"/>
        </w:rPr>
      </w:pPr>
      <w:r w:rsidRPr="009666EF">
        <w:rPr>
          <w:lang w:val="en-US"/>
        </w:rPr>
        <w:t>Nutritional value generation</w:t>
      </w:r>
    </w:p>
    <w:p w:rsidR="00270145" w:rsidRDefault="00E06E5C" w:rsidP="008D27ED">
      <w:pPr>
        <w:rPr>
          <w:rFonts w:cs="Times New Roman"/>
          <w:lang w:val="en-US"/>
        </w:rPr>
      </w:pPr>
      <w:r w:rsidRPr="009666EF">
        <w:rPr>
          <w:rFonts w:cs="Times New Roman"/>
          <w:lang w:val="en-US"/>
        </w:rPr>
        <w:t xml:space="preserve">The </w:t>
      </w:r>
      <w:r w:rsidR="00CD3352">
        <w:rPr>
          <w:rFonts w:cs="Times New Roman"/>
          <w:lang w:val="en-US"/>
        </w:rPr>
        <w:t>APPetite-</w:t>
      </w:r>
      <w:r w:rsidRPr="009666EF">
        <w:rPr>
          <w:rFonts w:cs="Times New Roman"/>
          <w:lang w:val="en-US"/>
        </w:rPr>
        <w:t>food record</w:t>
      </w:r>
      <w:r>
        <w:rPr>
          <w:rFonts w:cs="Times New Roman"/>
          <w:lang w:val="en-US"/>
        </w:rPr>
        <w:t xml:space="preserve"> </w:t>
      </w:r>
      <w:r w:rsidRPr="009666EF">
        <w:rPr>
          <w:rFonts w:cs="Times New Roman"/>
          <w:lang w:val="en-US"/>
        </w:rPr>
        <w:t>captures complex dietary information. However, it does not allow the automated generation of nutritional values. Therefore, we created a workflow starting with</w:t>
      </w:r>
      <w:r>
        <w:rPr>
          <w:rFonts w:cs="Times New Roman"/>
          <w:lang w:val="en-US"/>
        </w:rPr>
        <w:t xml:space="preserve"> the data download and</w:t>
      </w:r>
      <w:r w:rsidRPr="009666EF">
        <w:rPr>
          <w:rFonts w:cs="Times New Roman"/>
          <w:lang w:val="en-US"/>
        </w:rPr>
        <w:t xml:space="preserve"> data p</w:t>
      </w:r>
      <w:r>
        <w:rPr>
          <w:rFonts w:cs="Times New Roman"/>
          <w:lang w:val="en-US"/>
        </w:rPr>
        <w:t>re</w:t>
      </w:r>
      <w:r w:rsidRPr="009666EF">
        <w:rPr>
          <w:rFonts w:cs="Times New Roman"/>
          <w:lang w:val="en-US"/>
        </w:rPr>
        <w:t>p</w:t>
      </w:r>
      <w:r>
        <w:rPr>
          <w:rFonts w:cs="Times New Roman"/>
          <w:lang w:val="en-US"/>
        </w:rPr>
        <w:t xml:space="preserve">rocessing, </w:t>
      </w:r>
      <w:r w:rsidRPr="009666EF">
        <w:rPr>
          <w:rFonts w:cs="Times New Roman"/>
          <w:lang w:val="en-US"/>
        </w:rPr>
        <w:t xml:space="preserve">followed by </w:t>
      </w:r>
      <w:r>
        <w:rPr>
          <w:rFonts w:cs="Times New Roman"/>
          <w:lang w:val="en-US"/>
        </w:rPr>
        <w:t>the data plausibility check and</w:t>
      </w:r>
      <w:r w:rsidRPr="009666EF">
        <w:rPr>
          <w:rFonts w:cs="Times New Roman"/>
          <w:lang w:val="en-US"/>
        </w:rPr>
        <w:t xml:space="preserve"> </w:t>
      </w:r>
      <w:r>
        <w:rPr>
          <w:rFonts w:cs="Times New Roman"/>
          <w:lang w:val="en-US"/>
        </w:rPr>
        <w:t xml:space="preserve">the data transfer, resulting in </w:t>
      </w:r>
      <w:r w:rsidRPr="009666EF">
        <w:rPr>
          <w:rFonts w:cs="Times New Roman"/>
          <w:lang w:val="en-US"/>
        </w:rPr>
        <w:t xml:space="preserve">the generation of nutritional values. </w:t>
      </w:r>
      <w:r>
        <w:rPr>
          <w:rFonts w:cs="Times New Roman"/>
          <w:lang w:val="en-US"/>
        </w:rPr>
        <w:t>Data pre</w:t>
      </w:r>
      <w:r w:rsidRPr="009666EF">
        <w:rPr>
          <w:rFonts w:cs="Times New Roman"/>
          <w:lang w:val="en-US"/>
        </w:rPr>
        <w:t xml:space="preserve">processing is done </w:t>
      </w:r>
      <w:r w:rsidRPr="009666EF">
        <w:rPr>
          <w:rFonts w:cs="Times New Roman"/>
          <w:lang w:val="en-US"/>
        </w:rPr>
        <w:lastRenderedPageBreak/>
        <w:t xml:space="preserve">using </w:t>
      </w:r>
      <w:proofErr w:type="spellStart"/>
      <w:r w:rsidRPr="009666EF">
        <w:rPr>
          <w:rFonts w:cs="Times New Roman"/>
          <w:lang w:val="en-US"/>
        </w:rPr>
        <w:t>RStudio</w:t>
      </w:r>
      <w:proofErr w:type="spellEnd"/>
      <w:r w:rsidRPr="009666EF">
        <w:rPr>
          <w:rFonts w:cs="Times New Roman"/>
          <w:lang w:val="en-US"/>
        </w:rPr>
        <w:t xml:space="preserve"> extracting all consumed food and drink items and their amounts</w:t>
      </w:r>
      <w:r>
        <w:rPr>
          <w:rFonts w:cs="Times New Roman"/>
          <w:lang w:val="en-US"/>
        </w:rPr>
        <w:t xml:space="preserve"> from the </w:t>
      </w:r>
      <w:proofErr w:type="spellStart"/>
      <w:r>
        <w:rPr>
          <w:rFonts w:cs="Times New Roman"/>
          <w:lang w:val="en-US"/>
        </w:rPr>
        <w:t>m</w:t>
      </w:r>
      <w:r w:rsidRPr="009666EF">
        <w:rPr>
          <w:rFonts w:cs="Times New Roman"/>
          <w:lang w:val="en-US"/>
        </w:rPr>
        <w:t>ovisens</w:t>
      </w:r>
      <w:r>
        <w:rPr>
          <w:rFonts w:cs="Times New Roman"/>
          <w:lang w:val="en-US"/>
        </w:rPr>
        <w:t>XS</w:t>
      </w:r>
      <w:proofErr w:type="spellEnd"/>
      <w:r w:rsidRPr="009666EF">
        <w:rPr>
          <w:rFonts w:cs="Times New Roman"/>
          <w:lang w:val="en-US"/>
        </w:rPr>
        <w:t xml:space="preserve"> output file. </w:t>
      </w:r>
      <w:r>
        <w:rPr>
          <w:rFonts w:cs="Times New Roman"/>
          <w:lang w:val="en-US"/>
        </w:rPr>
        <w:t>The extracted</w:t>
      </w:r>
      <w:r w:rsidRPr="009666EF">
        <w:rPr>
          <w:rFonts w:cs="Times New Roman"/>
          <w:lang w:val="en-US"/>
        </w:rPr>
        <w:t xml:space="preserve"> </w:t>
      </w:r>
      <w:r>
        <w:rPr>
          <w:rFonts w:cs="Times New Roman"/>
          <w:lang w:val="en-US"/>
        </w:rPr>
        <w:t>dietary data</w:t>
      </w:r>
      <w:r w:rsidRPr="009666EF">
        <w:rPr>
          <w:rFonts w:cs="Times New Roman"/>
          <w:lang w:val="en-US"/>
        </w:rPr>
        <w:t xml:space="preserve"> </w:t>
      </w:r>
      <w:r>
        <w:rPr>
          <w:rFonts w:cs="Times New Roman"/>
          <w:lang w:val="en-US"/>
        </w:rPr>
        <w:t>are</w:t>
      </w:r>
      <w:r w:rsidRPr="009666EF">
        <w:rPr>
          <w:rFonts w:cs="Times New Roman"/>
          <w:lang w:val="en-US"/>
        </w:rPr>
        <w:t xml:space="preserve"> then checked for plausibility. Questionable entries are</w:t>
      </w:r>
      <w:r>
        <w:rPr>
          <w:rFonts w:cs="Times New Roman"/>
          <w:lang w:val="en-US"/>
        </w:rPr>
        <w:t xml:space="preserve"> identified (</w:t>
      </w:r>
      <w:proofErr w:type="spellStart"/>
      <w:r>
        <w:rPr>
          <w:rFonts w:cs="Times New Roman"/>
          <w:lang w:val="en-US"/>
        </w:rPr>
        <w:t>eg</w:t>
      </w:r>
      <w:proofErr w:type="spellEnd"/>
      <w:r>
        <w:rPr>
          <w:rFonts w:cs="Times New Roman"/>
          <w:lang w:val="en-US"/>
        </w:rPr>
        <w:t>,</w:t>
      </w:r>
      <w:r w:rsidRPr="009666EF">
        <w:rPr>
          <w:rFonts w:cs="Times New Roman"/>
          <w:lang w:val="en-US"/>
        </w:rPr>
        <w:t xml:space="preserve"> </w:t>
      </w:r>
      <w:r>
        <w:rPr>
          <w:rFonts w:cs="Times New Roman"/>
          <w:lang w:val="en-US"/>
        </w:rPr>
        <w:t>“</w:t>
      </w:r>
      <w:r w:rsidRPr="009666EF">
        <w:rPr>
          <w:rFonts w:cs="Times New Roman"/>
          <w:lang w:val="en-US"/>
        </w:rPr>
        <w:t>100 apples</w:t>
      </w:r>
      <w:r>
        <w:rPr>
          <w:rFonts w:cs="Times New Roman"/>
          <w:lang w:val="en-US"/>
        </w:rPr>
        <w:t>”</w:t>
      </w:r>
      <w:r w:rsidRPr="009666EF">
        <w:rPr>
          <w:rFonts w:cs="Times New Roman"/>
          <w:lang w:val="en-US"/>
        </w:rPr>
        <w:t xml:space="preserve">) and </w:t>
      </w:r>
      <w:r>
        <w:rPr>
          <w:rFonts w:cs="Times New Roman"/>
          <w:lang w:val="en-US"/>
        </w:rPr>
        <w:t>reviewed</w:t>
      </w:r>
      <w:r w:rsidRPr="009666EF">
        <w:rPr>
          <w:rFonts w:cs="Times New Roman"/>
          <w:lang w:val="en-US"/>
        </w:rPr>
        <w:t xml:space="preserve"> with the participant in the second </w:t>
      </w:r>
      <w:r>
        <w:rPr>
          <w:rFonts w:cs="Times New Roman"/>
          <w:lang w:val="en-US"/>
        </w:rPr>
        <w:t>in-person session</w:t>
      </w:r>
      <w:r w:rsidRPr="009666EF">
        <w:rPr>
          <w:rFonts w:cs="Times New Roman"/>
          <w:lang w:val="en-US"/>
        </w:rPr>
        <w:t xml:space="preserve">. </w:t>
      </w:r>
      <w:r>
        <w:rPr>
          <w:rFonts w:cs="Times New Roman"/>
          <w:lang w:val="en-US"/>
        </w:rPr>
        <w:t>Furthermore, additional information (</w:t>
      </w:r>
      <w:proofErr w:type="spellStart"/>
      <w:r>
        <w:rPr>
          <w:rFonts w:cs="Times New Roman"/>
          <w:lang w:val="en-US"/>
        </w:rPr>
        <w:t>eg</w:t>
      </w:r>
      <w:proofErr w:type="spellEnd"/>
      <w:r>
        <w:rPr>
          <w:rFonts w:cs="Times New Roman"/>
          <w:lang w:val="en-US"/>
        </w:rPr>
        <w:t xml:space="preserve">, product brand) on recorded generic foods is acquired if possible. </w:t>
      </w:r>
      <w:r w:rsidRPr="009666EF">
        <w:rPr>
          <w:rFonts w:cs="Times New Roman"/>
          <w:lang w:val="en-US"/>
        </w:rPr>
        <w:t>The checked and corrected dietary data are then transferred to myfood24</w:t>
      </w:r>
      <w:r w:rsidR="00CD3352">
        <w:rPr>
          <w:rFonts w:cs="Times New Roman"/>
          <w:lang w:val="en-US"/>
        </w:rPr>
        <w:t>-Germany</w:t>
      </w:r>
      <w:r w:rsidRPr="009666EF">
        <w:rPr>
          <w:rFonts w:cs="Times New Roman"/>
          <w:lang w:val="en-US"/>
        </w:rPr>
        <w:t xml:space="preserve">, a 24-hour </w:t>
      </w:r>
      <w:r>
        <w:rPr>
          <w:rFonts w:cs="Times New Roman"/>
          <w:lang w:val="en-US"/>
        </w:rPr>
        <w:t>dietary</w:t>
      </w:r>
      <w:r w:rsidRPr="009666EF">
        <w:rPr>
          <w:rFonts w:cs="Times New Roman"/>
          <w:lang w:val="en-US"/>
        </w:rPr>
        <w:t xml:space="preserve"> recall</w:t>
      </w:r>
      <w:r w:rsidR="00CD3352">
        <w:rPr>
          <w:rFonts w:cs="Times New Roman"/>
          <w:lang w:val="en-US"/>
        </w:rPr>
        <w:t xml:space="preserve"> </w:t>
      </w:r>
      <w:r w:rsidR="00CD3352">
        <w:rPr>
          <w:rFonts w:cs="Times New Roman"/>
          <w:lang w:val="en-US"/>
        </w:rPr>
        <w:fldChar w:fldCharType="begin" w:fldLock="1"/>
      </w:r>
      <w:r w:rsidR="00CD3352">
        <w:rPr>
          <w:rFonts w:cs="Times New Roman"/>
          <w:lang w:val="en-US"/>
        </w:rPr>
        <w:instrText>ADDIN CSL_CITATION {"citationItems":[{"id":"ITEM-1","itemData":{"DOI":"10.3390/nu12010160","ISSN":"20726643","PMID":"31935885","abstract":"Our aim was to develop and evaluate a German adaptation of myfood24, a fully automated, web-based 24-h dietary recall (24HDR). To complete a self-administered 24HDR with myfood24, users have to search and enter consumed foods within the underlying database by a free text search. The adaptation process thus mainly consisted of the development of an appropriate food database. myfood24-Germany was evaluated in 92 adults aged 17–78 years (study 1). Participants completed four non-consecutive 24HDRs and answered an evaluation questionnaire after the final recall. The System Usability Scale Score (SUS Score, 0–100) was calculated. Users’ search behavior was examined with screen recordings in 15 adults aged 20–60 years (study 2). Participants had to enter three sample meals presented as food packaging or pictures. The final database included 11,501 food items (7203 generic and 4298 branded items) with up to 131 nutrients. In study 1, the median completion time for a 24HDR was 15 min. The median SUS score of 78 indicated good usability. The majority of participants considered the overall user-friendliness as good (46%) or very good (21%), and 75% were willing to use myfood24-Germany regularly. Both studies showed that finding and choosing an appropriate item within the database was a major challenge. A German version of myfood24 was successfully developed. The user evaluation indicated a short completion time, good usability and acceptability of the tool, and confirmed its feasibility for repeated short-term application.","author":[{"dropping-particle":"","family":"Koch","given":"Stefanie A.J.","non-dropping-particle":"","parse-names":false,"suffix":""},{"dropping-particle":"","family":"Conrad","given":"Johanna","non-dropping-particle":"","parse-names":false,"suffix":""},{"dropping-particle":"","family":"Hierath","given":"Linda","non-dropping-particle":"","parse-names":false,"suffix":""},{"dropping-particle":"","family":"Hancock","given":"Neil","non-dropping-particle":"","parse-names":false,"suffix":""},{"dropping-particle":"","family":"Beer","given":"Sarah","non-dropping-particle":"","parse-names":false,"suffix":""},{"dropping-particle":"","family":"Cade","given":"Janet E.","non-dropping-particle":"","parse-names":false,"suffix":""},{"dropping-particle":"","family":"Nöthlings","given":"Ute","non-dropping-particle":"","parse-names":false,"suffix":""}],"container-title":"Nutrients","id":"ITEM-1","issue":"1","issued":{"date-parts":[["2020"]]},"page":"1-15","title":"Adaptation and evaluation of myfood24-germany: A web-based self-administered 24-h dietary recall for the german adult population","type":"article-journal","volume":"12"},"uris":["http://www.mendeley.com/documents/?uuid=15b52574-99d5-4d7e-be1b-f4a9a7f02354"]}],"mendeley":{"formattedCitation":"[6]","plainTextFormattedCitation":"[6]","previouslyFormattedCitation":"[6]"},"properties":{"noteIndex":0},"schema":"https://github.com/citation-style-language/schema/raw/master/csl-citation.json"}</w:instrText>
      </w:r>
      <w:r w:rsidR="00CD3352">
        <w:rPr>
          <w:rFonts w:cs="Times New Roman"/>
          <w:lang w:val="en-US"/>
        </w:rPr>
        <w:fldChar w:fldCharType="separate"/>
      </w:r>
      <w:r w:rsidR="00CD3352" w:rsidRPr="00CD3352">
        <w:rPr>
          <w:rFonts w:cs="Times New Roman"/>
          <w:noProof/>
          <w:lang w:val="en-US"/>
        </w:rPr>
        <w:t>[6]</w:t>
      </w:r>
      <w:r w:rsidR="00CD3352">
        <w:rPr>
          <w:rFonts w:cs="Times New Roman"/>
          <w:lang w:val="en-US"/>
        </w:rPr>
        <w:fldChar w:fldCharType="end"/>
      </w:r>
      <w:r w:rsidRPr="009666EF">
        <w:rPr>
          <w:rFonts w:cs="Times New Roman"/>
          <w:lang w:val="en-US"/>
        </w:rPr>
        <w:t>, by trained staff. Data plausibility check, data correction</w:t>
      </w:r>
      <w:r>
        <w:rPr>
          <w:rFonts w:cs="Times New Roman"/>
          <w:lang w:val="en-US"/>
        </w:rPr>
        <w:t>,</w:t>
      </w:r>
      <w:r w:rsidRPr="009666EF">
        <w:rPr>
          <w:rFonts w:cs="Times New Roman"/>
          <w:lang w:val="en-US"/>
        </w:rPr>
        <w:t xml:space="preserve"> and data transfer </w:t>
      </w:r>
      <w:r>
        <w:rPr>
          <w:rFonts w:cs="Times New Roman"/>
          <w:lang w:val="en-US"/>
        </w:rPr>
        <w:t>are</w:t>
      </w:r>
      <w:r w:rsidRPr="009666EF">
        <w:rPr>
          <w:rFonts w:cs="Times New Roman"/>
          <w:lang w:val="en-US"/>
        </w:rPr>
        <w:t xml:space="preserve"> done according to the </w:t>
      </w:r>
      <w:r>
        <w:rPr>
          <w:rFonts w:cs="Times New Roman"/>
          <w:lang w:val="en-US"/>
        </w:rPr>
        <w:t>4</w:t>
      </w:r>
      <w:r w:rsidRPr="009666EF">
        <w:rPr>
          <w:rFonts w:cs="Times New Roman"/>
          <w:lang w:val="en-US"/>
        </w:rPr>
        <w:t>-eyes principle to minimize data loss and errors.</w:t>
      </w:r>
    </w:p>
    <w:p w:rsidR="00CD3352" w:rsidRDefault="00CD3352" w:rsidP="008D27ED">
      <w:pPr>
        <w:rPr>
          <w:rFonts w:cs="Times New Roman"/>
          <w:lang w:val="en-US"/>
        </w:rPr>
      </w:pPr>
    </w:p>
    <w:p w:rsidR="00482568" w:rsidRPr="00482568" w:rsidRDefault="00CD3352" w:rsidP="00482568">
      <w:pPr>
        <w:widowControl w:val="0"/>
        <w:autoSpaceDE w:val="0"/>
        <w:autoSpaceDN w:val="0"/>
        <w:adjustRightInd w:val="0"/>
        <w:ind w:left="640" w:hanging="640"/>
        <w:rPr>
          <w:rFonts w:cs="Times New Roman"/>
          <w:noProof/>
          <w:szCs w:val="24"/>
        </w:rPr>
      </w:pPr>
      <w:r>
        <w:rPr>
          <w:rFonts w:cs="Times New Roman"/>
          <w:lang w:val="en-US"/>
        </w:rPr>
        <w:fldChar w:fldCharType="begin" w:fldLock="1"/>
      </w:r>
      <w:r>
        <w:rPr>
          <w:rFonts w:cs="Times New Roman"/>
          <w:lang w:val="en-US"/>
        </w:rPr>
        <w:instrText xml:space="preserve">ADDIN Mendeley Bibliography CSL_BIBLIOGRAPHY </w:instrText>
      </w:r>
      <w:r>
        <w:rPr>
          <w:rFonts w:cs="Times New Roman"/>
          <w:lang w:val="en-US"/>
        </w:rPr>
        <w:fldChar w:fldCharType="separate"/>
      </w:r>
      <w:r w:rsidR="00482568" w:rsidRPr="001724DA">
        <w:rPr>
          <w:rFonts w:cs="Times New Roman"/>
          <w:noProof/>
          <w:szCs w:val="24"/>
          <w:lang w:val="en-US"/>
        </w:rPr>
        <w:t xml:space="preserve">1. </w:t>
      </w:r>
      <w:r w:rsidR="00482568" w:rsidRPr="001724DA">
        <w:rPr>
          <w:rFonts w:cs="Times New Roman"/>
          <w:noProof/>
          <w:szCs w:val="24"/>
          <w:lang w:val="en-US"/>
        </w:rPr>
        <w:tab/>
        <w:t xml:space="preserve">Cleobury L, Tapper K. Reasons for eating “unhealthy” snacks in overweight and obese males and females. </w:t>
      </w:r>
      <w:r w:rsidR="00482568" w:rsidRPr="00482568">
        <w:rPr>
          <w:rFonts w:cs="Times New Roman"/>
          <w:noProof/>
          <w:szCs w:val="24"/>
        </w:rPr>
        <w:t>J Hum Nutr Diet. 2014;27(4):333–341. PMID: 24134077</w:t>
      </w:r>
    </w:p>
    <w:p w:rsidR="00482568" w:rsidRPr="001724DA" w:rsidRDefault="00482568" w:rsidP="00482568">
      <w:pPr>
        <w:widowControl w:val="0"/>
        <w:autoSpaceDE w:val="0"/>
        <w:autoSpaceDN w:val="0"/>
        <w:adjustRightInd w:val="0"/>
        <w:ind w:left="640" w:hanging="640"/>
        <w:rPr>
          <w:rFonts w:cs="Times New Roman"/>
          <w:noProof/>
          <w:szCs w:val="24"/>
          <w:lang w:val="en-US"/>
        </w:rPr>
      </w:pPr>
      <w:r w:rsidRPr="00482568">
        <w:rPr>
          <w:rFonts w:cs="Times New Roman"/>
          <w:noProof/>
          <w:szCs w:val="24"/>
        </w:rPr>
        <w:t xml:space="preserve">2. </w:t>
      </w:r>
      <w:r w:rsidRPr="00482568">
        <w:rPr>
          <w:rFonts w:cs="Times New Roman"/>
          <w:noProof/>
          <w:szCs w:val="24"/>
        </w:rPr>
        <w:tab/>
        <w:t xml:space="preserve">Verhoeven AAC, Adriaanse MA, de Vet E, Fennis BM, de Ridder DTD. </w:t>
      </w:r>
      <w:r w:rsidRPr="001724DA">
        <w:rPr>
          <w:rFonts w:cs="Times New Roman"/>
          <w:noProof/>
          <w:szCs w:val="24"/>
          <w:lang w:val="en-US"/>
        </w:rPr>
        <w:t>It’s my party and I eat if I want to. Reasons for unhealthy snacking. Appetite. 2015;84:20–27. PMID: 25261101</w:t>
      </w:r>
    </w:p>
    <w:p w:rsidR="00482568" w:rsidRPr="00482568" w:rsidRDefault="00482568" w:rsidP="00482568">
      <w:pPr>
        <w:widowControl w:val="0"/>
        <w:autoSpaceDE w:val="0"/>
        <w:autoSpaceDN w:val="0"/>
        <w:adjustRightInd w:val="0"/>
        <w:ind w:left="640" w:hanging="640"/>
        <w:rPr>
          <w:rFonts w:cs="Times New Roman"/>
          <w:noProof/>
          <w:szCs w:val="24"/>
        </w:rPr>
      </w:pPr>
      <w:r w:rsidRPr="001724DA">
        <w:rPr>
          <w:rFonts w:cs="Times New Roman"/>
          <w:noProof/>
          <w:szCs w:val="24"/>
          <w:lang w:val="en-US"/>
        </w:rPr>
        <w:t xml:space="preserve">3. </w:t>
      </w:r>
      <w:r w:rsidRPr="001724DA">
        <w:rPr>
          <w:rFonts w:cs="Times New Roman"/>
          <w:noProof/>
          <w:szCs w:val="24"/>
          <w:lang w:val="en-US"/>
        </w:rPr>
        <w:tab/>
        <w:t xml:space="preserve">Schüz B, Papadakis T, Ferguson SG. Situation-specific social norms as mediators of social influence on snacking. </w:t>
      </w:r>
      <w:r w:rsidRPr="00482568">
        <w:rPr>
          <w:rFonts w:cs="Times New Roman"/>
          <w:noProof/>
          <w:szCs w:val="24"/>
        </w:rPr>
        <w:t>Heal Psychol. 2018;37(2):153–159. PMID: 29154607</w:t>
      </w:r>
    </w:p>
    <w:p w:rsidR="00482568" w:rsidRPr="001724DA" w:rsidRDefault="00482568" w:rsidP="00482568">
      <w:pPr>
        <w:widowControl w:val="0"/>
        <w:autoSpaceDE w:val="0"/>
        <w:autoSpaceDN w:val="0"/>
        <w:adjustRightInd w:val="0"/>
        <w:ind w:left="640" w:hanging="640"/>
        <w:rPr>
          <w:rFonts w:cs="Times New Roman"/>
          <w:noProof/>
          <w:szCs w:val="24"/>
        </w:rPr>
      </w:pPr>
      <w:r w:rsidRPr="00482568">
        <w:rPr>
          <w:rFonts w:cs="Times New Roman"/>
          <w:noProof/>
          <w:szCs w:val="24"/>
        </w:rPr>
        <w:t xml:space="preserve">4. </w:t>
      </w:r>
      <w:r w:rsidRPr="00482568">
        <w:rPr>
          <w:rFonts w:cs="Times New Roman"/>
          <w:noProof/>
          <w:szCs w:val="24"/>
        </w:rPr>
        <w:tab/>
        <w:t xml:space="preserve">Renner B, Sproesser G, Strohbach S, Schupp HT. </w:t>
      </w:r>
      <w:r w:rsidRPr="001724DA">
        <w:rPr>
          <w:rFonts w:cs="Times New Roman"/>
          <w:noProof/>
          <w:szCs w:val="24"/>
        </w:rPr>
        <w:t>Why we eat what we eat. The Eating Motivation Survey (TEMS). Appetite. 2012;59(1):117–128. PMID: 22521515</w:t>
      </w:r>
    </w:p>
    <w:p w:rsidR="00482568" w:rsidRPr="001724DA" w:rsidRDefault="00482568" w:rsidP="00482568">
      <w:pPr>
        <w:widowControl w:val="0"/>
        <w:autoSpaceDE w:val="0"/>
        <w:autoSpaceDN w:val="0"/>
        <w:adjustRightInd w:val="0"/>
        <w:ind w:left="640" w:hanging="640"/>
        <w:rPr>
          <w:rFonts w:cs="Times New Roman"/>
          <w:noProof/>
          <w:szCs w:val="24"/>
        </w:rPr>
      </w:pPr>
      <w:r w:rsidRPr="001724DA">
        <w:rPr>
          <w:rFonts w:cs="Times New Roman"/>
          <w:noProof/>
          <w:szCs w:val="24"/>
        </w:rPr>
        <w:t xml:space="preserve">5. </w:t>
      </w:r>
      <w:r w:rsidRPr="001724DA">
        <w:rPr>
          <w:rFonts w:cs="Times New Roman"/>
          <w:noProof/>
          <w:szCs w:val="24"/>
        </w:rPr>
        <w:tab/>
        <w:t>Evers C, Adriaanse M, de Ridder DTD, de Witt Huberts JC. Good mood food. Positive emotion as a neglected trigger for food intake. Appetite. 2013;68:1–7. PMID: 23602962</w:t>
      </w:r>
    </w:p>
    <w:p w:rsidR="00482568" w:rsidRPr="00482568" w:rsidRDefault="00482568" w:rsidP="00482568">
      <w:pPr>
        <w:widowControl w:val="0"/>
        <w:autoSpaceDE w:val="0"/>
        <w:autoSpaceDN w:val="0"/>
        <w:adjustRightInd w:val="0"/>
        <w:ind w:left="640" w:hanging="640"/>
        <w:rPr>
          <w:rFonts w:cs="Times New Roman"/>
          <w:noProof/>
        </w:rPr>
      </w:pPr>
      <w:r w:rsidRPr="001724DA">
        <w:rPr>
          <w:rFonts w:cs="Times New Roman"/>
          <w:noProof/>
          <w:szCs w:val="24"/>
        </w:rPr>
        <w:t xml:space="preserve">6. </w:t>
      </w:r>
      <w:r w:rsidRPr="001724DA">
        <w:rPr>
          <w:rFonts w:cs="Times New Roman"/>
          <w:noProof/>
          <w:szCs w:val="24"/>
        </w:rPr>
        <w:tab/>
        <w:t xml:space="preserve">Koch SAJ, Conrad J, Hierath L, Hancock N, Beer S, Cade JE, et al. Adaptation and evaluation of myfood24-germany: A web-based self-administered 24-h dietary recall for the german adult population. </w:t>
      </w:r>
      <w:r w:rsidRPr="00482568">
        <w:rPr>
          <w:rFonts w:cs="Times New Roman"/>
          <w:noProof/>
          <w:szCs w:val="24"/>
        </w:rPr>
        <w:t>Nutrients. 2020;12(1):1–15. PMID: 31935885</w:t>
      </w:r>
    </w:p>
    <w:p w:rsidR="00CD3352" w:rsidRPr="008D27ED" w:rsidRDefault="00CD3352" w:rsidP="00482568">
      <w:pPr>
        <w:widowControl w:val="0"/>
        <w:autoSpaceDE w:val="0"/>
        <w:autoSpaceDN w:val="0"/>
        <w:adjustRightInd w:val="0"/>
        <w:ind w:left="640" w:hanging="640"/>
        <w:rPr>
          <w:rFonts w:cs="Times New Roman"/>
          <w:lang w:val="en-US"/>
        </w:rPr>
      </w:pPr>
      <w:r>
        <w:rPr>
          <w:rFonts w:cs="Times New Roman"/>
          <w:lang w:val="en-US"/>
        </w:rPr>
        <w:fldChar w:fldCharType="end"/>
      </w:r>
    </w:p>
    <w:sectPr w:rsidR="00CD3352" w:rsidRPr="008D27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FB" w:rsidRDefault="00A05EFB" w:rsidP="008902BD">
      <w:pPr>
        <w:spacing w:line="240" w:lineRule="auto"/>
      </w:pPr>
      <w:r>
        <w:separator/>
      </w:r>
    </w:p>
  </w:endnote>
  <w:endnote w:type="continuationSeparator" w:id="0">
    <w:p w:rsidR="00A05EFB" w:rsidRDefault="00A05EFB" w:rsidP="0089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FB" w:rsidRDefault="00A05EFB" w:rsidP="008902BD">
      <w:pPr>
        <w:spacing w:line="240" w:lineRule="auto"/>
      </w:pPr>
      <w:r>
        <w:separator/>
      </w:r>
    </w:p>
  </w:footnote>
  <w:footnote w:type="continuationSeparator" w:id="0">
    <w:p w:rsidR="00A05EFB" w:rsidRDefault="00A05EFB" w:rsidP="00890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A2"/>
    <w:rsid w:val="00000665"/>
    <w:rsid w:val="000B777C"/>
    <w:rsid w:val="000C22C7"/>
    <w:rsid w:val="000F7AF0"/>
    <w:rsid w:val="00103F36"/>
    <w:rsid w:val="00116AA8"/>
    <w:rsid w:val="001232E2"/>
    <w:rsid w:val="00140EA2"/>
    <w:rsid w:val="001671F6"/>
    <w:rsid w:val="001724DA"/>
    <w:rsid w:val="001A0FF4"/>
    <w:rsid w:val="001A1A01"/>
    <w:rsid w:val="001C2675"/>
    <w:rsid w:val="001E563E"/>
    <w:rsid w:val="00200ABD"/>
    <w:rsid w:val="00221223"/>
    <w:rsid w:val="002309E1"/>
    <w:rsid w:val="00270145"/>
    <w:rsid w:val="00294645"/>
    <w:rsid w:val="002A1D99"/>
    <w:rsid w:val="002D7D5D"/>
    <w:rsid w:val="002E2239"/>
    <w:rsid w:val="003218FD"/>
    <w:rsid w:val="00335F9A"/>
    <w:rsid w:val="00372FEF"/>
    <w:rsid w:val="003D1236"/>
    <w:rsid w:val="00440953"/>
    <w:rsid w:val="00482568"/>
    <w:rsid w:val="00482940"/>
    <w:rsid w:val="004A2417"/>
    <w:rsid w:val="004A3496"/>
    <w:rsid w:val="004B180B"/>
    <w:rsid w:val="004C470C"/>
    <w:rsid w:val="00511E2F"/>
    <w:rsid w:val="0051796F"/>
    <w:rsid w:val="00523CE3"/>
    <w:rsid w:val="005566DF"/>
    <w:rsid w:val="00582CFE"/>
    <w:rsid w:val="005B00DE"/>
    <w:rsid w:val="005F5682"/>
    <w:rsid w:val="00613D34"/>
    <w:rsid w:val="006C2C61"/>
    <w:rsid w:val="006F4301"/>
    <w:rsid w:val="00710D0D"/>
    <w:rsid w:val="00753FF5"/>
    <w:rsid w:val="0076434C"/>
    <w:rsid w:val="007661CA"/>
    <w:rsid w:val="007721EB"/>
    <w:rsid w:val="00774D73"/>
    <w:rsid w:val="00835DE5"/>
    <w:rsid w:val="00845F0C"/>
    <w:rsid w:val="008902BD"/>
    <w:rsid w:val="008D27ED"/>
    <w:rsid w:val="00904539"/>
    <w:rsid w:val="00911AFB"/>
    <w:rsid w:val="0095010D"/>
    <w:rsid w:val="0099712F"/>
    <w:rsid w:val="00A005B2"/>
    <w:rsid w:val="00A05EFB"/>
    <w:rsid w:val="00A118F3"/>
    <w:rsid w:val="00A96144"/>
    <w:rsid w:val="00A96C7F"/>
    <w:rsid w:val="00AA4F3B"/>
    <w:rsid w:val="00AF0A4F"/>
    <w:rsid w:val="00AF6821"/>
    <w:rsid w:val="00B032A1"/>
    <w:rsid w:val="00B10255"/>
    <w:rsid w:val="00B16A78"/>
    <w:rsid w:val="00B346B4"/>
    <w:rsid w:val="00B421D6"/>
    <w:rsid w:val="00B82F35"/>
    <w:rsid w:val="00BD4F8D"/>
    <w:rsid w:val="00C30E70"/>
    <w:rsid w:val="00C4242E"/>
    <w:rsid w:val="00C820B0"/>
    <w:rsid w:val="00C84E35"/>
    <w:rsid w:val="00CC75BB"/>
    <w:rsid w:val="00CD3352"/>
    <w:rsid w:val="00CE23F6"/>
    <w:rsid w:val="00D04F7F"/>
    <w:rsid w:val="00D07FD5"/>
    <w:rsid w:val="00D10875"/>
    <w:rsid w:val="00D4186D"/>
    <w:rsid w:val="00DB2D54"/>
    <w:rsid w:val="00E06E5C"/>
    <w:rsid w:val="00F14D74"/>
    <w:rsid w:val="00F26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paragraph" w:styleId="berschrift5">
    <w:name w:val="heading 5"/>
    <w:basedOn w:val="Standard"/>
    <w:next w:val="Standard"/>
    <w:link w:val="berschrift5Zchn"/>
    <w:uiPriority w:val="9"/>
    <w:unhideWhenUsed/>
    <w:qFormat/>
    <w:rsid w:val="00E06E5C"/>
    <w:pPr>
      <w:keepNext/>
      <w:keepLines/>
      <w:spacing w:before="40" w:line="276" w:lineRule="auto"/>
      <w:outlineLvl w:val="4"/>
    </w:pPr>
    <w:rPr>
      <w:rFonts w:asciiTheme="majorHAnsi" w:eastAsiaTheme="majorEastAsia" w:hAnsiTheme="majorHAnsi" w:cstheme="majorBidi"/>
      <w:color w:val="365F91" w:themeColor="accent1" w:themeShade="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 w:type="character" w:styleId="Kommentarzeichen">
    <w:name w:val="annotation reference"/>
    <w:basedOn w:val="Absatz-Standardschriftart"/>
    <w:uiPriority w:val="99"/>
    <w:semiHidden/>
    <w:unhideWhenUsed/>
    <w:rsid w:val="00E06E5C"/>
    <w:rPr>
      <w:sz w:val="16"/>
      <w:szCs w:val="16"/>
    </w:rPr>
  </w:style>
  <w:style w:type="character" w:customStyle="1" w:styleId="berschrift5Zchn">
    <w:name w:val="Überschrift 5 Zchn"/>
    <w:basedOn w:val="Absatz-Standardschriftart"/>
    <w:link w:val="berschrift5"/>
    <w:uiPriority w:val="9"/>
    <w:rsid w:val="00E06E5C"/>
    <w:rPr>
      <w:rFonts w:asciiTheme="majorHAnsi" w:eastAsiaTheme="majorEastAsia" w:hAnsiTheme="majorHAnsi" w:cstheme="majorBidi"/>
      <w:color w:val="365F91" w:themeColor="accent1" w:themeShade="BF"/>
    </w:rPr>
  </w:style>
  <w:style w:type="paragraph" w:styleId="Kommentartext">
    <w:name w:val="annotation text"/>
    <w:basedOn w:val="Standard"/>
    <w:link w:val="KommentartextZchn"/>
    <w:uiPriority w:val="99"/>
    <w:unhideWhenUsed/>
    <w:rsid w:val="00E06E5C"/>
    <w:pPr>
      <w:spacing w:after="20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E06E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paragraph" w:styleId="berschrift5">
    <w:name w:val="heading 5"/>
    <w:basedOn w:val="Standard"/>
    <w:next w:val="Standard"/>
    <w:link w:val="berschrift5Zchn"/>
    <w:uiPriority w:val="9"/>
    <w:unhideWhenUsed/>
    <w:qFormat/>
    <w:rsid w:val="00E06E5C"/>
    <w:pPr>
      <w:keepNext/>
      <w:keepLines/>
      <w:spacing w:before="40" w:line="276" w:lineRule="auto"/>
      <w:outlineLvl w:val="4"/>
    </w:pPr>
    <w:rPr>
      <w:rFonts w:asciiTheme="majorHAnsi" w:eastAsiaTheme="majorEastAsia" w:hAnsiTheme="majorHAnsi" w:cstheme="majorBidi"/>
      <w:color w:val="365F91" w:themeColor="accent1" w:themeShade="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 w:type="character" w:styleId="Kommentarzeichen">
    <w:name w:val="annotation reference"/>
    <w:basedOn w:val="Absatz-Standardschriftart"/>
    <w:uiPriority w:val="99"/>
    <w:semiHidden/>
    <w:unhideWhenUsed/>
    <w:rsid w:val="00E06E5C"/>
    <w:rPr>
      <w:sz w:val="16"/>
      <w:szCs w:val="16"/>
    </w:rPr>
  </w:style>
  <w:style w:type="character" w:customStyle="1" w:styleId="berschrift5Zchn">
    <w:name w:val="Überschrift 5 Zchn"/>
    <w:basedOn w:val="Absatz-Standardschriftart"/>
    <w:link w:val="berschrift5"/>
    <w:uiPriority w:val="9"/>
    <w:rsid w:val="00E06E5C"/>
    <w:rPr>
      <w:rFonts w:asciiTheme="majorHAnsi" w:eastAsiaTheme="majorEastAsia" w:hAnsiTheme="majorHAnsi" w:cstheme="majorBidi"/>
      <w:color w:val="365F91" w:themeColor="accent1" w:themeShade="BF"/>
    </w:rPr>
  </w:style>
  <w:style w:type="paragraph" w:styleId="Kommentartext">
    <w:name w:val="annotation text"/>
    <w:basedOn w:val="Standard"/>
    <w:link w:val="KommentartextZchn"/>
    <w:uiPriority w:val="99"/>
    <w:unhideWhenUsed/>
    <w:rsid w:val="00E06E5C"/>
    <w:pPr>
      <w:spacing w:after="20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E06E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5706">
      <w:bodyDiv w:val="1"/>
      <w:marLeft w:val="0"/>
      <w:marRight w:val="0"/>
      <w:marTop w:val="0"/>
      <w:marBottom w:val="0"/>
      <w:divBdr>
        <w:top w:val="none" w:sz="0" w:space="0" w:color="auto"/>
        <w:left w:val="none" w:sz="0" w:space="0" w:color="auto"/>
        <w:bottom w:val="none" w:sz="0" w:space="0" w:color="auto"/>
        <w:right w:val="none" w:sz="0" w:space="0" w:color="auto"/>
      </w:divBdr>
    </w:div>
    <w:div w:id="159125421">
      <w:bodyDiv w:val="1"/>
      <w:marLeft w:val="0"/>
      <w:marRight w:val="0"/>
      <w:marTop w:val="0"/>
      <w:marBottom w:val="0"/>
      <w:divBdr>
        <w:top w:val="none" w:sz="0" w:space="0" w:color="auto"/>
        <w:left w:val="none" w:sz="0" w:space="0" w:color="auto"/>
        <w:bottom w:val="none" w:sz="0" w:space="0" w:color="auto"/>
        <w:right w:val="none" w:sz="0" w:space="0" w:color="auto"/>
      </w:divBdr>
    </w:div>
    <w:div w:id="160125106">
      <w:bodyDiv w:val="1"/>
      <w:marLeft w:val="0"/>
      <w:marRight w:val="0"/>
      <w:marTop w:val="0"/>
      <w:marBottom w:val="0"/>
      <w:divBdr>
        <w:top w:val="none" w:sz="0" w:space="0" w:color="auto"/>
        <w:left w:val="none" w:sz="0" w:space="0" w:color="auto"/>
        <w:bottom w:val="none" w:sz="0" w:space="0" w:color="auto"/>
        <w:right w:val="none" w:sz="0" w:space="0" w:color="auto"/>
      </w:divBdr>
    </w:div>
    <w:div w:id="218982302">
      <w:bodyDiv w:val="1"/>
      <w:marLeft w:val="0"/>
      <w:marRight w:val="0"/>
      <w:marTop w:val="0"/>
      <w:marBottom w:val="0"/>
      <w:divBdr>
        <w:top w:val="none" w:sz="0" w:space="0" w:color="auto"/>
        <w:left w:val="none" w:sz="0" w:space="0" w:color="auto"/>
        <w:bottom w:val="none" w:sz="0" w:space="0" w:color="auto"/>
        <w:right w:val="none" w:sz="0" w:space="0" w:color="auto"/>
      </w:divBdr>
    </w:div>
    <w:div w:id="439571951">
      <w:bodyDiv w:val="1"/>
      <w:marLeft w:val="0"/>
      <w:marRight w:val="0"/>
      <w:marTop w:val="0"/>
      <w:marBottom w:val="0"/>
      <w:divBdr>
        <w:top w:val="none" w:sz="0" w:space="0" w:color="auto"/>
        <w:left w:val="none" w:sz="0" w:space="0" w:color="auto"/>
        <w:bottom w:val="none" w:sz="0" w:space="0" w:color="auto"/>
        <w:right w:val="none" w:sz="0" w:space="0" w:color="auto"/>
      </w:divBdr>
    </w:div>
    <w:div w:id="552352345">
      <w:bodyDiv w:val="1"/>
      <w:marLeft w:val="0"/>
      <w:marRight w:val="0"/>
      <w:marTop w:val="0"/>
      <w:marBottom w:val="0"/>
      <w:divBdr>
        <w:top w:val="none" w:sz="0" w:space="0" w:color="auto"/>
        <w:left w:val="none" w:sz="0" w:space="0" w:color="auto"/>
        <w:bottom w:val="none" w:sz="0" w:space="0" w:color="auto"/>
        <w:right w:val="none" w:sz="0" w:space="0" w:color="auto"/>
      </w:divBdr>
    </w:div>
    <w:div w:id="722599990">
      <w:bodyDiv w:val="1"/>
      <w:marLeft w:val="0"/>
      <w:marRight w:val="0"/>
      <w:marTop w:val="0"/>
      <w:marBottom w:val="0"/>
      <w:divBdr>
        <w:top w:val="none" w:sz="0" w:space="0" w:color="auto"/>
        <w:left w:val="none" w:sz="0" w:space="0" w:color="auto"/>
        <w:bottom w:val="none" w:sz="0" w:space="0" w:color="auto"/>
        <w:right w:val="none" w:sz="0" w:space="0" w:color="auto"/>
      </w:divBdr>
    </w:div>
    <w:div w:id="1026297758">
      <w:bodyDiv w:val="1"/>
      <w:marLeft w:val="0"/>
      <w:marRight w:val="0"/>
      <w:marTop w:val="0"/>
      <w:marBottom w:val="0"/>
      <w:divBdr>
        <w:top w:val="none" w:sz="0" w:space="0" w:color="auto"/>
        <w:left w:val="none" w:sz="0" w:space="0" w:color="auto"/>
        <w:bottom w:val="none" w:sz="0" w:space="0" w:color="auto"/>
        <w:right w:val="none" w:sz="0" w:space="0" w:color="auto"/>
      </w:divBdr>
    </w:div>
    <w:div w:id="1192378736">
      <w:bodyDiv w:val="1"/>
      <w:marLeft w:val="0"/>
      <w:marRight w:val="0"/>
      <w:marTop w:val="0"/>
      <w:marBottom w:val="0"/>
      <w:divBdr>
        <w:top w:val="none" w:sz="0" w:space="0" w:color="auto"/>
        <w:left w:val="none" w:sz="0" w:space="0" w:color="auto"/>
        <w:bottom w:val="none" w:sz="0" w:space="0" w:color="auto"/>
        <w:right w:val="none" w:sz="0" w:space="0" w:color="auto"/>
      </w:divBdr>
    </w:div>
    <w:div w:id="1363478792">
      <w:bodyDiv w:val="1"/>
      <w:marLeft w:val="0"/>
      <w:marRight w:val="0"/>
      <w:marTop w:val="0"/>
      <w:marBottom w:val="0"/>
      <w:divBdr>
        <w:top w:val="none" w:sz="0" w:space="0" w:color="auto"/>
        <w:left w:val="none" w:sz="0" w:space="0" w:color="auto"/>
        <w:bottom w:val="none" w:sz="0" w:space="0" w:color="auto"/>
        <w:right w:val="none" w:sz="0" w:space="0" w:color="auto"/>
      </w:divBdr>
    </w:div>
    <w:div w:id="1458910610">
      <w:bodyDiv w:val="1"/>
      <w:marLeft w:val="0"/>
      <w:marRight w:val="0"/>
      <w:marTop w:val="0"/>
      <w:marBottom w:val="0"/>
      <w:divBdr>
        <w:top w:val="none" w:sz="0" w:space="0" w:color="auto"/>
        <w:left w:val="none" w:sz="0" w:space="0" w:color="auto"/>
        <w:bottom w:val="none" w:sz="0" w:space="0" w:color="auto"/>
        <w:right w:val="none" w:sz="0" w:space="0" w:color="auto"/>
      </w:divBdr>
    </w:div>
    <w:div w:id="1769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BFD8-8AC4-423A-80D9-E8B6CB22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2863</Words>
  <Characters>18041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 Ruf</dc:creator>
  <cp:keywords/>
  <dc:description/>
  <cp:lastModifiedBy>Alea Ruf</cp:lastModifiedBy>
  <cp:revision>40</cp:revision>
  <dcterms:created xsi:type="dcterms:W3CDTF">2020-04-23T07:35:00Z</dcterms:created>
  <dcterms:modified xsi:type="dcterms:W3CDTF">2021-06-04T15:36:00Z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http://csl.mendeley.com/styles/3155741/journal-of-medical-internet-research</vt:lpwstr>
  </property>
  <property fmtid="{D5CDD505-2E9C-101B-9397-08002B2CF9AE}" pid="19" name="Mendeley Recent Style Name 8_1">
    <vt:lpwstr>NEW! Journal of Medical Internet Research</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b21d892d-621f-364c-a1d1-7d2894cee26c</vt:lpwstr>
  </property>
  <property fmtid="{D5CDD505-2E9C-101B-9397-08002B2CF9AE}" pid="24" name="Mendeley Citation Style_1">
    <vt:lpwstr>http://csl.mendeley.com/styles/3155741/journal-of-medical-internet-research</vt:lpwstr>
  </property>
</Properties>
</file>