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8F8" w:rsidRDefault="00FE7142" w:rsidP="00B82F35">
      <w:pPr>
        <w:rPr>
          <w:lang w:val="en-US"/>
        </w:rPr>
      </w:pPr>
      <w:proofErr w:type="gramStart"/>
      <w:r>
        <w:rPr>
          <w:b/>
          <w:lang w:val="en-US"/>
        </w:rPr>
        <w:t>Multimedia Appendix</w:t>
      </w:r>
      <w:r w:rsidR="00AE2D4E">
        <w:rPr>
          <w:b/>
          <w:lang w:val="en-US"/>
        </w:rPr>
        <w:t xml:space="preserve"> 4.</w:t>
      </w:r>
      <w:proofErr w:type="gramEnd"/>
      <w:r w:rsidR="00B82F35" w:rsidRPr="00D04F7F">
        <w:rPr>
          <w:b/>
          <w:lang w:val="en-US"/>
        </w:rPr>
        <w:t xml:space="preserve"> </w:t>
      </w:r>
      <w:proofErr w:type="gramStart"/>
      <w:r>
        <w:rPr>
          <w:lang w:val="en-US"/>
        </w:rPr>
        <w:t>Bland-Altman a</w:t>
      </w:r>
      <w:r w:rsidR="00CB08F8">
        <w:rPr>
          <w:lang w:val="en-US"/>
        </w:rPr>
        <w:t>nalysis</w:t>
      </w:r>
      <w:r>
        <w:rPr>
          <w:lang w:val="en-US"/>
        </w:rPr>
        <w:t xml:space="preserve"> of protein, fat, carbohydrate, s</w:t>
      </w:r>
      <w:r w:rsidR="00617B9B">
        <w:rPr>
          <w:lang w:val="en-US"/>
        </w:rPr>
        <w:t>ugar</w:t>
      </w:r>
      <w:r w:rsidR="00893A2F">
        <w:rPr>
          <w:lang w:val="en-US"/>
        </w:rPr>
        <w:t>,</w:t>
      </w:r>
      <w:r>
        <w:rPr>
          <w:lang w:val="en-US"/>
        </w:rPr>
        <w:t xml:space="preserve"> and fiber i</w:t>
      </w:r>
      <w:r w:rsidR="00C14F99">
        <w:rPr>
          <w:lang w:val="en-US"/>
        </w:rPr>
        <w:t>ntake</w:t>
      </w:r>
      <w:r>
        <w:rPr>
          <w:lang w:val="en-US"/>
        </w:rPr>
        <w:t>.</w:t>
      </w:r>
      <w:proofErr w:type="gramEnd"/>
    </w:p>
    <w:p w:rsidR="00CB08F8" w:rsidRPr="00E55539" w:rsidRDefault="00E55539" w:rsidP="00763D2C">
      <w:pPr>
        <w:spacing w:before="240"/>
        <w:rPr>
          <w:b/>
          <w:lang w:val="en-US"/>
        </w:rPr>
      </w:pPr>
      <w:r>
        <w:rPr>
          <w:b/>
          <w:lang w:val="en-US"/>
        </w:rPr>
        <w:t>Protein</w:t>
      </w:r>
    </w:p>
    <w:p w:rsidR="00CB08F8" w:rsidRDefault="004B0F9D" w:rsidP="00B82F35">
      <w:pPr>
        <w:rPr>
          <w:lang w:val="en-US"/>
        </w:rPr>
      </w:pPr>
      <w:r>
        <w:rPr>
          <w:lang w:val="en-US"/>
        </w:rPr>
        <w:t>The m</w:t>
      </w:r>
      <w:r w:rsidR="0089413D" w:rsidRPr="00E55539">
        <w:rPr>
          <w:lang w:val="en-US"/>
        </w:rPr>
        <w:t>ean difference of protein intake was not normally distributed. Therefore, n</w:t>
      </w:r>
      <w:r w:rsidR="00CB08F8" w:rsidRPr="00E55539">
        <w:rPr>
          <w:lang w:val="en-US"/>
        </w:rPr>
        <w:t xml:space="preserve">atural log </w:t>
      </w:r>
      <w:r w:rsidR="0089413D" w:rsidRPr="00E55539">
        <w:rPr>
          <w:lang w:val="en-US"/>
        </w:rPr>
        <w:t xml:space="preserve">transformation was performed, </w:t>
      </w:r>
      <w:r w:rsidR="00CB08F8" w:rsidRPr="00E55539">
        <w:rPr>
          <w:lang w:val="en-US"/>
        </w:rPr>
        <w:t>as recommended by Bland and Altman</w:t>
      </w:r>
      <w:r w:rsidR="0089413D" w:rsidRPr="00E55539">
        <w:rPr>
          <w:lang w:val="en-US"/>
        </w:rPr>
        <w:t xml:space="preserve"> (1986)</w:t>
      </w:r>
      <w:r w:rsidR="002A1953">
        <w:rPr>
          <w:lang w:val="en-US"/>
        </w:rPr>
        <w:t xml:space="preserve"> </w:t>
      </w:r>
      <w:r w:rsidR="002A1953">
        <w:rPr>
          <w:lang w:val="en-US"/>
        </w:rPr>
        <w:fldChar w:fldCharType="begin" w:fldLock="1"/>
      </w:r>
      <w:r w:rsidR="002A1953">
        <w:rPr>
          <w:lang w:val="en-US"/>
        </w:rPr>
        <w:instrText>ADDIN CSL_CITATION {"citationItems":[{"id":"ITEM-1","itemData":{"ISSN":"0140-6736 (Print)","PMID":"2868172","abstract":"In clinical measurement comparison of a new measurement technique with an established one is often needed to see whether they agree sufficiently for the new to replace the old. Such investigations are often analysed inappropriately, notably by using correlation coefficients. The use of correlation is misleading. An alternative approach, based on graphical techniques and simple calculations, is described, together with the relation between this analysis and the assessment of repeatability.","author":[{"dropping-particle":"","family":"Bland","given":"J M","non-dropping-particle":"","parse-names":false,"suffix":""},{"dropping-particle":"","family":"Altman","given":"D G","non-dropping-particle":"","parse-names":false,"suffix":""}],"container-title":"Lancet","id":"ITEM-1","issue":"8476","issued":{"date-parts":[["1986","2"]]},"language":"eng","page":"307-310","title":"Statistical methods for assessing agreement between two methods of clinical measurement.","type":"article-journal","volume":"1"},"uris":["http://www.mendeley.com/documents/?uuid=026537d8-95d6-4df5-bebc-e7a177c2aef5"]}],"mendeley":{"formattedCitation":"[1]","plainTextFormattedCitation":"[1]","previouslyFormattedCitation":"[1]"},"properties":{"noteIndex":0},"schema":"https://github.com/citation-style-language/schema/raw/master/csl-citation.json"}</w:instrText>
      </w:r>
      <w:r w:rsidR="002A1953">
        <w:rPr>
          <w:lang w:val="en-US"/>
        </w:rPr>
        <w:fldChar w:fldCharType="separate"/>
      </w:r>
      <w:r w:rsidR="002A1953" w:rsidRPr="002A1953">
        <w:rPr>
          <w:noProof/>
          <w:lang w:val="en-US"/>
        </w:rPr>
        <w:t>[1]</w:t>
      </w:r>
      <w:r w:rsidR="002A1953">
        <w:rPr>
          <w:lang w:val="en-US"/>
        </w:rPr>
        <w:fldChar w:fldCharType="end"/>
      </w:r>
      <w:r w:rsidR="00CB08F8" w:rsidRPr="00E55539">
        <w:rPr>
          <w:lang w:val="en-US"/>
        </w:rPr>
        <w:t xml:space="preserve">. </w:t>
      </w:r>
      <w:r w:rsidR="0089413D" w:rsidRPr="00E55539">
        <w:rPr>
          <w:lang w:val="en-US"/>
        </w:rPr>
        <w:t xml:space="preserve">The </w:t>
      </w:r>
      <w:proofErr w:type="spellStart"/>
      <w:r w:rsidR="0089413D" w:rsidRPr="00E55539">
        <w:rPr>
          <w:lang w:val="en-US"/>
        </w:rPr>
        <w:t>antilogs</w:t>
      </w:r>
      <w:proofErr w:type="spellEnd"/>
      <w:r w:rsidR="0089413D" w:rsidRPr="00E55539">
        <w:rPr>
          <w:lang w:val="en-US"/>
        </w:rPr>
        <w:t xml:space="preserve"> of the limits were taken and multiplied by 100 to allow</w:t>
      </w:r>
      <w:r w:rsidR="00CB08F8" w:rsidRPr="00E55539">
        <w:rPr>
          <w:lang w:val="en-US"/>
        </w:rPr>
        <w:t xml:space="preserve"> interpretation of the </w:t>
      </w:r>
      <w:r w:rsidR="0089413D" w:rsidRPr="00E55539">
        <w:rPr>
          <w:lang w:val="en-US"/>
        </w:rPr>
        <w:t>ln-transformed data as percentages (</w:t>
      </w:r>
      <w:r w:rsidR="00CB08F8" w:rsidRPr="00E55539">
        <w:rPr>
          <w:lang w:val="en-US"/>
        </w:rPr>
        <w:t>100%</w:t>
      </w:r>
      <w:r w:rsidR="00ED53EE">
        <w:rPr>
          <w:lang w:val="en-US"/>
        </w:rPr>
        <w:t>=</w:t>
      </w:r>
      <w:r w:rsidR="00CB08F8" w:rsidRPr="00E55539">
        <w:rPr>
          <w:lang w:val="en-US"/>
        </w:rPr>
        <w:t>ideal agreement</w:t>
      </w:r>
      <w:r w:rsidR="0089413D" w:rsidRPr="00E55539">
        <w:rPr>
          <w:lang w:val="en-US"/>
        </w:rPr>
        <w:t>).</w:t>
      </w:r>
    </w:p>
    <w:p w:rsidR="00E55539" w:rsidRPr="00763D2C" w:rsidRDefault="00763D2C" w:rsidP="00B82F35">
      <w:r>
        <w:rPr>
          <w:noProof/>
          <w:lang w:eastAsia="de-DE"/>
        </w:rPr>
        <w:drawing>
          <wp:inline distT="0" distB="0" distL="0" distR="0" wp14:anchorId="220E6390" wp14:editId="1D0E5C76">
            <wp:extent cx="5688000" cy="3997990"/>
            <wp:effectExtent l="0" t="0" r="8255" b="254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8000" cy="3997990"/>
                    </a:xfrm>
                    <a:prstGeom prst="rect">
                      <a:avLst/>
                    </a:prstGeom>
                    <a:noFill/>
                  </pic:spPr>
                </pic:pic>
              </a:graphicData>
            </a:graphic>
          </wp:inline>
        </w:drawing>
      </w:r>
    </w:p>
    <w:p w:rsidR="00765DCB" w:rsidRPr="00617B9B" w:rsidRDefault="00DC78D1" w:rsidP="004B0F9D">
      <w:pPr>
        <w:pStyle w:val="EigenerStandard"/>
      </w:pPr>
      <w:proofErr w:type="gramStart"/>
      <w:r w:rsidRPr="00DC78D1">
        <w:rPr>
          <w:b/>
          <w:lang w:val="en-US"/>
        </w:rPr>
        <w:t>Figure 1.</w:t>
      </w:r>
      <w:proofErr w:type="gramEnd"/>
      <w:r w:rsidRPr="00DC78D1">
        <w:rPr>
          <w:b/>
          <w:lang w:val="en-US"/>
        </w:rPr>
        <w:t xml:space="preserve"> </w:t>
      </w:r>
      <w:r w:rsidR="00617B9B">
        <w:t xml:space="preserve">Bland-Altman plot assessing agreement between habitual protein intake in g per day </w:t>
      </w:r>
      <w:r w:rsidR="00617B9B" w:rsidRPr="00613560">
        <w:t xml:space="preserve">captured by the </w:t>
      </w:r>
      <w:r w:rsidR="00617B9B" w:rsidRPr="002266CD">
        <w:t>APPetite-</w:t>
      </w:r>
      <w:r w:rsidR="00617B9B">
        <w:t>food record and the 24-hour re</w:t>
      </w:r>
      <w:r w:rsidR="00ED53EE">
        <w:t>call (red line: mean difference=ap</w:t>
      </w:r>
      <w:r w:rsidR="004B0F9D">
        <w:t>p</w:t>
      </w:r>
      <w:r w:rsidR="00ED53EE">
        <w:t xml:space="preserve"> –24-hour recall;</w:t>
      </w:r>
      <w:r w:rsidR="00617B9B">
        <w:t xml:space="preserve"> dark red l</w:t>
      </w:r>
      <w:r w:rsidR="00ED53EE">
        <w:t>ines: 95% CI of mean difference;</w:t>
      </w:r>
      <w:r w:rsidR="00617B9B">
        <w:t xml:space="preserve"> </w:t>
      </w:r>
      <w:r w:rsidR="00763D2C">
        <w:t>blue lines: lower and upper limits of agreement</w:t>
      </w:r>
      <w:r w:rsidR="00ED53EE">
        <w:t>;</w:t>
      </w:r>
      <w:r w:rsidR="00617B9B">
        <w:t xml:space="preserve"> dark blue lines: 95% CI of lower and upper </w:t>
      </w:r>
      <w:r w:rsidR="00763D2C">
        <w:t>limits of agreement</w:t>
      </w:r>
      <w:r w:rsidR="00617B9B">
        <w:t>).</w:t>
      </w:r>
    </w:p>
    <w:p w:rsidR="00DC78D1" w:rsidRPr="00763D2C" w:rsidRDefault="00DC78D1" w:rsidP="00B82F35">
      <w:pPr>
        <w:rPr>
          <w:sz w:val="20"/>
          <w:szCs w:val="20"/>
          <w:lang w:val="en-US"/>
        </w:rPr>
      </w:pPr>
    </w:p>
    <w:p w:rsidR="00765DCB" w:rsidRDefault="00765DCB" w:rsidP="00B82F35">
      <w:pPr>
        <w:rPr>
          <w:lang w:val="en-US"/>
        </w:rPr>
      </w:pPr>
      <w:r>
        <w:rPr>
          <w:lang w:val="en-US"/>
        </w:rPr>
        <w:t xml:space="preserve">Mean difference: </w:t>
      </w:r>
      <w:r w:rsidR="00C14F99">
        <w:rPr>
          <w:lang w:val="en-US"/>
        </w:rPr>
        <w:t>0.</w:t>
      </w:r>
      <w:r w:rsidR="00763D2C">
        <w:rPr>
          <w:lang w:val="en-US"/>
        </w:rPr>
        <w:t>15=</w:t>
      </w:r>
      <w:r w:rsidR="004B0F9D">
        <w:rPr>
          <w:lang w:val="en-US"/>
        </w:rPr>
        <w:t>116</w:t>
      </w:r>
      <w:r w:rsidR="00C14F99">
        <w:rPr>
          <w:lang w:val="en-US"/>
        </w:rPr>
        <w:t>% (95% CI</w:t>
      </w:r>
      <w:r w:rsidR="00C508A6">
        <w:rPr>
          <w:lang w:val="en-US"/>
        </w:rPr>
        <w:t xml:space="preserve"> </w:t>
      </w:r>
      <w:r w:rsidR="00C508A6" w:rsidRPr="00C508A6">
        <w:rPr>
          <w:lang w:val="en-US"/>
        </w:rPr>
        <w:t>0.06</w:t>
      </w:r>
      <w:r w:rsidR="00C508A6">
        <w:rPr>
          <w:lang w:val="en-US"/>
        </w:rPr>
        <w:t xml:space="preserve"> to </w:t>
      </w:r>
      <w:r w:rsidR="00C508A6" w:rsidRPr="00C508A6">
        <w:rPr>
          <w:lang w:val="en-US"/>
        </w:rPr>
        <w:t>0.2</w:t>
      </w:r>
      <w:r w:rsidR="004B0F9D">
        <w:rPr>
          <w:lang w:val="en-US"/>
        </w:rPr>
        <w:t>4=</w:t>
      </w:r>
      <w:r w:rsidR="00C508A6">
        <w:rPr>
          <w:lang w:val="en-US"/>
        </w:rPr>
        <w:t>1</w:t>
      </w:r>
      <w:r w:rsidR="00C508A6" w:rsidRPr="00C508A6">
        <w:rPr>
          <w:lang w:val="en-US"/>
        </w:rPr>
        <w:t>06</w:t>
      </w:r>
      <w:r w:rsidR="00C508A6">
        <w:rPr>
          <w:lang w:val="en-US"/>
        </w:rPr>
        <w:t>.6% to 126.5%)</w:t>
      </w:r>
    </w:p>
    <w:p w:rsidR="00765DCB" w:rsidRDefault="00765DCB" w:rsidP="00B82F35">
      <w:pPr>
        <w:rPr>
          <w:lang w:val="en-US"/>
        </w:rPr>
      </w:pPr>
      <w:r>
        <w:rPr>
          <w:lang w:val="en-US"/>
        </w:rPr>
        <w:t xml:space="preserve">Lower </w:t>
      </w:r>
      <w:r w:rsidR="00763D2C" w:rsidRPr="00763D2C">
        <w:rPr>
          <w:lang w:val="en-US"/>
        </w:rPr>
        <w:t>limits of agreement</w:t>
      </w:r>
      <w:r>
        <w:rPr>
          <w:lang w:val="en-US"/>
        </w:rPr>
        <w:t>:</w:t>
      </w:r>
      <w:r w:rsidR="00763D2C">
        <w:rPr>
          <w:lang w:val="en-US"/>
        </w:rPr>
        <w:t xml:space="preserve"> </w:t>
      </w:r>
      <w:r w:rsidR="006A1080">
        <w:rPr>
          <w:lang w:val="en-US"/>
        </w:rPr>
        <w:t>–</w:t>
      </w:r>
      <w:r w:rsidR="00763D2C">
        <w:rPr>
          <w:lang w:val="en-US"/>
        </w:rPr>
        <w:t>0.4=</w:t>
      </w:r>
      <w:r w:rsidR="00C14F99">
        <w:rPr>
          <w:lang w:val="en-US"/>
        </w:rPr>
        <w:t xml:space="preserve">67% (95% CI </w:t>
      </w:r>
      <w:r w:rsidR="00763D2C">
        <w:rPr>
          <w:lang w:val="en-US"/>
        </w:rPr>
        <w:t>–</w:t>
      </w:r>
      <w:r w:rsidR="00C14F99" w:rsidRPr="00C14F99">
        <w:rPr>
          <w:lang w:val="en-US"/>
        </w:rPr>
        <w:t>0.5</w:t>
      </w:r>
      <w:r w:rsidR="00C14F99">
        <w:rPr>
          <w:lang w:val="en-US"/>
        </w:rPr>
        <w:t xml:space="preserve">5 to </w:t>
      </w:r>
      <w:r w:rsidR="00763D2C">
        <w:rPr>
          <w:lang w:val="en-US"/>
        </w:rPr>
        <w:t>–</w:t>
      </w:r>
      <w:r w:rsidR="00C14F99" w:rsidRPr="00C14F99">
        <w:rPr>
          <w:lang w:val="en-US"/>
        </w:rPr>
        <w:t>0.25</w:t>
      </w:r>
      <w:r w:rsidR="004B0F9D">
        <w:rPr>
          <w:lang w:val="en-US"/>
        </w:rPr>
        <w:t>=</w:t>
      </w:r>
      <w:r w:rsidR="00C14F99" w:rsidRPr="00C14F99">
        <w:rPr>
          <w:lang w:val="en-US"/>
        </w:rPr>
        <w:t>57</w:t>
      </w:r>
      <w:r w:rsidR="00C14F99">
        <w:rPr>
          <w:lang w:val="en-US"/>
        </w:rPr>
        <w:t>.</w:t>
      </w:r>
      <w:r w:rsidR="00C14F99" w:rsidRPr="00C14F99">
        <w:rPr>
          <w:lang w:val="en-US"/>
        </w:rPr>
        <w:t>7</w:t>
      </w:r>
      <w:r w:rsidR="00C14F99">
        <w:rPr>
          <w:lang w:val="en-US"/>
        </w:rPr>
        <w:t>% to 77.6%)</w:t>
      </w:r>
    </w:p>
    <w:p w:rsidR="00C14F99" w:rsidRDefault="00763D2C" w:rsidP="00B82F35">
      <w:pPr>
        <w:rPr>
          <w:lang w:val="en-US"/>
        </w:rPr>
      </w:pPr>
      <w:r>
        <w:rPr>
          <w:lang w:val="en-US"/>
        </w:rPr>
        <w:t xml:space="preserve">Upper </w:t>
      </w:r>
      <w:r w:rsidRPr="00763D2C">
        <w:rPr>
          <w:lang w:val="en-US"/>
        </w:rPr>
        <w:t>limits of agreement</w:t>
      </w:r>
      <w:r>
        <w:rPr>
          <w:lang w:val="en-US"/>
        </w:rPr>
        <w:t>: 0.7=</w:t>
      </w:r>
      <w:r w:rsidR="00C46B90">
        <w:rPr>
          <w:lang w:val="en-US"/>
        </w:rPr>
        <w:t xml:space="preserve">201% (95% CI </w:t>
      </w:r>
      <w:r w:rsidR="00C46B90" w:rsidRPr="00C14F99">
        <w:rPr>
          <w:lang w:val="en-US"/>
        </w:rPr>
        <w:t>0.55</w:t>
      </w:r>
      <w:r w:rsidR="00C46B90">
        <w:rPr>
          <w:lang w:val="en-US"/>
        </w:rPr>
        <w:t xml:space="preserve"> to</w:t>
      </w:r>
      <w:r w:rsidR="00C46B90" w:rsidRPr="00C14F99">
        <w:rPr>
          <w:lang w:val="en-US"/>
        </w:rPr>
        <w:t xml:space="preserve"> 0.8</w:t>
      </w:r>
      <w:r w:rsidR="004B0F9D">
        <w:rPr>
          <w:lang w:val="en-US"/>
        </w:rPr>
        <w:t>5=</w:t>
      </w:r>
      <w:r w:rsidR="00C46B90">
        <w:rPr>
          <w:lang w:val="en-US"/>
        </w:rPr>
        <w:t>1</w:t>
      </w:r>
      <w:r w:rsidR="00C46B90" w:rsidRPr="00C14F99">
        <w:rPr>
          <w:lang w:val="en-US"/>
        </w:rPr>
        <w:t>37</w:t>
      </w:r>
      <w:r w:rsidR="00C46B90">
        <w:rPr>
          <w:lang w:val="en-US"/>
        </w:rPr>
        <w:t>.8% to 233.7%)</w:t>
      </w:r>
    </w:p>
    <w:p w:rsidR="00C46B90" w:rsidRPr="00763D2C" w:rsidRDefault="00C46B90" w:rsidP="00B82F35">
      <w:pPr>
        <w:rPr>
          <w:sz w:val="20"/>
          <w:lang w:val="en-US"/>
        </w:rPr>
      </w:pPr>
    </w:p>
    <w:p w:rsidR="00D20736" w:rsidRPr="00617B9B" w:rsidRDefault="00763D2C" w:rsidP="00617B9B">
      <w:pPr>
        <w:rPr>
          <w:lang w:val="en-US"/>
        </w:rPr>
      </w:pPr>
      <w:r w:rsidRPr="00763D2C">
        <w:rPr>
          <w:lang w:val="en-US"/>
        </w:rPr>
        <w:t>T</w:t>
      </w:r>
      <w:r>
        <w:rPr>
          <w:lang w:val="en-US"/>
        </w:rPr>
        <w:t xml:space="preserve">he </w:t>
      </w:r>
      <w:r w:rsidRPr="00763D2C">
        <w:rPr>
          <w:lang w:val="en-US"/>
        </w:rPr>
        <w:t>limits of agreement</w:t>
      </w:r>
      <w:r w:rsidRPr="00F13930">
        <w:rPr>
          <w:lang w:val="en-US"/>
        </w:rPr>
        <w:t xml:space="preserve"> </w:t>
      </w:r>
      <w:r w:rsidR="00C14F99" w:rsidRPr="00F13930">
        <w:rPr>
          <w:lang w:val="en-US"/>
        </w:rPr>
        <w:t>transcended</w:t>
      </w:r>
      <w:r w:rsidR="00C14F99">
        <w:rPr>
          <w:lang w:val="en-US"/>
        </w:rPr>
        <w:t xml:space="preserve"> the predefined acceptable </w:t>
      </w:r>
      <w:r w:rsidRPr="00763D2C">
        <w:rPr>
          <w:lang w:val="en-US"/>
        </w:rPr>
        <w:t>limits of agreement</w:t>
      </w:r>
      <w:r>
        <w:rPr>
          <w:lang w:val="en-US"/>
        </w:rPr>
        <w:t xml:space="preserve"> </w:t>
      </w:r>
      <w:r w:rsidR="00C14F99">
        <w:rPr>
          <w:lang w:val="en-US"/>
        </w:rPr>
        <w:t>of 10% considerably.</w:t>
      </w:r>
    </w:p>
    <w:p w:rsidR="00CB08F8" w:rsidRDefault="00CB08F8" w:rsidP="00B82F35">
      <w:pPr>
        <w:rPr>
          <w:b/>
          <w:lang w:val="en-US"/>
        </w:rPr>
      </w:pPr>
      <w:r w:rsidRPr="00CB08F8">
        <w:rPr>
          <w:b/>
          <w:lang w:val="en-US"/>
        </w:rPr>
        <w:lastRenderedPageBreak/>
        <w:t>Fat</w:t>
      </w:r>
    </w:p>
    <w:p w:rsidR="00E55539" w:rsidRDefault="004B0F9D" w:rsidP="00B82F35">
      <w:pPr>
        <w:rPr>
          <w:lang w:val="en-US"/>
        </w:rPr>
      </w:pPr>
      <w:r>
        <w:rPr>
          <w:lang w:val="en-US"/>
        </w:rPr>
        <w:t>The m</w:t>
      </w:r>
      <w:r w:rsidR="00E55539" w:rsidRPr="00E55539">
        <w:rPr>
          <w:lang w:val="en-US"/>
        </w:rPr>
        <w:t>ean difference of fat intake was not normally distributed. The same procedure as</w:t>
      </w:r>
      <w:r w:rsidR="00187736">
        <w:rPr>
          <w:lang w:val="en-US"/>
        </w:rPr>
        <w:t xml:space="preserve"> describ</w:t>
      </w:r>
      <w:r w:rsidR="00E55539" w:rsidRPr="00E55539">
        <w:rPr>
          <w:lang w:val="en-US"/>
        </w:rPr>
        <w:t>ed for protein intake was used.</w:t>
      </w:r>
    </w:p>
    <w:p w:rsidR="00763D2C" w:rsidRPr="00763D2C" w:rsidRDefault="00763D2C" w:rsidP="00B82F35">
      <w:pPr>
        <w:rPr>
          <w:lang w:val="en-US"/>
        </w:rPr>
      </w:pPr>
      <w:r>
        <w:rPr>
          <w:noProof/>
          <w:lang w:eastAsia="de-DE"/>
        </w:rPr>
        <w:drawing>
          <wp:inline distT="0" distB="0" distL="0" distR="0" wp14:anchorId="4AFDE9D7" wp14:editId="0A00C82E">
            <wp:extent cx="5688330" cy="4206875"/>
            <wp:effectExtent l="0" t="0" r="7620" b="317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8330" cy="4206875"/>
                    </a:xfrm>
                    <a:prstGeom prst="rect">
                      <a:avLst/>
                    </a:prstGeom>
                    <a:noFill/>
                  </pic:spPr>
                </pic:pic>
              </a:graphicData>
            </a:graphic>
          </wp:inline>
        </w:drawing>
      </w:r>
    </w:p>
    <w:p w:rsidR="00DC78D1" w:rsidRPr="00617B9B" w:rsidRDefault="00DC78D1" w:rsidP="00DC78D1">
      <w:pPr>
        <w:rPr>
          <w:b/>
          <w:lang w:val="en-US"/>
        </w:rPr>
      </w:pPr>
      <w:proofErr w:type="gramStart"/>
      <w:r w:rsidRPr="00DC78D1">
        <w:rPr>
          <w:b/>
          <w:lang w:val="en-US"/>
        </w:rPr>
        <w:t xml:space="preserve">Figure </w:t>
      </w:r>
      <w:r>
        <w:rPr>
          <w:b/>
          <w:lang w:val="en-US"/>
        </w:rPr>
        <w:t>2</w:t>
      </w:r>
      <w:r w:rsidRPr="00DC78D1">
        <w:rPr>
          <w:b/>
          <w:lang w:val="en-US"/>
        </w:rPr>
        <w:t>.</w:t>
      </w:r>
      <w:proofErr w:type="gramEnd"/>
      <w:r w:rsidRPr="00DC78D1">
        <w:rPr>
          <w:b/>
          <w:lang w:val="en-US"/>
        </w:rPr>
        <w:t xml:space="preserve"> </w:t>
      </w:r>
      <w:r w:rsidR="00617B9B" w:rsidRPr="00617B9B">
        <w:rPr>
          <w:lang w:val="en-US"/>
        </w:rPr>
        <w:t xml:space="preserve">Bland-Altman plot assessing agreement between habitual </w:t>
      </w:r>
      <w:r w:rsidR="00617B9B">
        <w:rPr>
          <w:lang w:val="en-US"/>
        </w:rPr>
        <w:t>fat</w:t>
      </w:r>
      <w:r w:rsidR="00617B9B" w:rsidRPr="00617B9B">
        <w:rPr>
          <w:lang w:val="en-US"/>
        </w:rPr>
        <w:t xml:space="preserve"> intake in g per day captured by the APPetite-food record and the 24-hour re</w:t>
      </w:r>
      <w:r w:rsidR="004B0F9D">
        <w:rPr>
          <w:lang w:val="en-US"/>
        </w:rPr>
        <w:t>call (red line: mean difference=app–24-hour recall;</w:t>
      </w:r>
      <w:r w:rsidR="00617B9B" w:rsidRPr="00617B9B">
        <w:rPr>
          <w:lang w:val="en-US"/>
        </w:rPr>
        <w:t xml:space="preserve"> dark red l</w:t>
      </w:r>
      <w:r w:rsidR="004B0F9D">
        <w:rPr>
          <w:lang w:val="en-US"/>
        </w:rPr>
        <w:t>ines: 95% CI of mean difference;</w:t>
      </w:r>
      <w:r w:rsidR="00617B9B" w:rsidRPr="00617B9B">
        <w:rPr>
          <w:lang w:val="en-US"/>
        </w:rPr>
        <w:t xml:space="preserve"> </w:t>
      </w:r>
      <w:r w:rsidR="004B0F9D">
        <w:rPr>
          <w:lang w:val="en-US"/>
        </w:rPr>
        <w:t xml:space="preserve">blue lines: lower and upper </w:t>
      </w:r>
      <w:r w:rsidR="00763D2C" w:rsidRPr="00763D2C">
        <w:rPr>
          <w:lang w:val="en-US"/>
        </w:rPr>
        <w:t>limits of agreement</w:t>
      </w:r>
      <w:r w:rsidR="004B0F9D">
        <w:rPr>
          <w:lang w:val="en-US"/>
        </w:rPr>
        <w:t>;</w:t>
      </w:r>
      <w:r w:rsidR="00617B9B" w:rsidRPr="00617B9B">
        <w:rPr>
          <w:lang w:val="en-US"/>
        </w:rPr>
        <w:t xml:space="preserve"> dark blue lines: 95% CI of lower and upper </w:t>
      </w:r>
      <w:r w:rsidR="00763D2C" w:rsidRPr="00763D2C">
        <w:rPr>
          <w:lang w:val="en-US"/>
        </w:rPr>
        <w:t>limits of agreement</w:t>
      </w:r>
      <w:r w:rsidR="00617B9B" w:rsidRPr="00617B9B">
        <w:rPr>
          <w:lang w:val="en-US"/>
        </w:rPr>
        <w:t>).</w:t>
      </w:r>
    </w:p>
    <w:p w:rsidR="00765DCB" w:rsidRDefault="00765DCB" w:rsidP="00B82F35">
      <w:pPr>
        <w:rPr>
          <w:b/>
          <w:lang w:val="en-US"/>
        </w:rPr>
      </w:pPr>
    </w:p>
    <w:p w:rsidR="00765DCB" w:rsidRDefault="00765DCB" w:rsidP="00765DCB">
      <w:pPr>
        <w:rPr>
          <w:lang w:val="en-US"/>
        </w:rPr>
      </w:pPr>
      <w:r>
        <w:rPr>
          <w:lang w:val="en-US"/>
        </w:rPr>
        <w:t>Mean difference:</w:t>
      </w:r>
      <w:r w:rsidR="004B0F9D">
        <w:rPr>
          <w:lang w:val="en-US"/>
        </w:rPr>
        <w:t xml:space="preserve"> 0.18=</w:t>
      </w:r>
      <w:r w:rsidR="00C77BC9">
        <w:rPr>
          <w:lang w:val="en-US"/>
        </w:rPr>
        <w:t>120%</w:t>
      </w:r>
      <w:r>
        <w:rPr>
          <w:lang w:val="en-US"/>
        </w:rPr>
        <w:t xml:space="preserve"> </w:t>
      </w:r>
      <w:r w:rsidR="004B0F9D">
        <w:rPr>
          <w:lang w:val="en-US"/>
        </w:rPr>
        <w:t>(95% CI 0.08 to 0.28=</w:t>
      </w:r>
      <w:r w:rsidR="00E01654">
        <w:rPr>
          <w:lang w:val="en-US"/>
        </w:rPr>
        <w:t>1</w:t>
      </w:r>
      <w:r w:rsidR="00E01654" w:rsidRPr="00E01654">
        <w:rPr>
          <w:lang w:val="en-US"/>
        </w:rPr>
        <w:t>08</w:t>
      </w:r>
      <w:r w:rsidR="00E01654">
        <w:rPr>
          <w:lang w:val="en-US"/>
        </w:rPr>
        <w:t>.6% to 1</w:t>
      </w:r>
      <w:r w:rsidR="00E01654" w:rsidRPr="00E01654">
        <w:rPr>
          <w:lang w:val="en-US"/>
        </w:rPr>
        <w:t>31</w:t>
      </w:r>
      <w:r w:rsidR="00E01654">
        <w:rPr>
          <w:lang w:val="en-US"/>
        </w:rPr>
        <w:t>.8%)</w:t>
      </w:r>
    </w:p>
    <w:p w:rsidR="00765DCB" w:rsidRDefault="00765DCB" w:rsidP="00765DCB">
      <w:pPr>
        <w:rPr>
          <w:lang w:val="en-US"/>
        </w:rPr>
      </w:pPr>
      <w:r>
        <w:rPr>
          <w:lang w:val="en-US"/>
        </w:rPr>
        <w:t xml:space="preserve">Lower </w:t>
      </w:r>
      <w:r w:rsidR="00763D2C" w:rsidRPr="00763D2C">
        <w:rPr>
          <w:lang w:val="en-US"/>
        </w:rPr>
        <w:t>limits of agreement</w:t>
      </w:r>
      <w:r>
        <w:rPr>
          <w:lang w:val="en-US"/>
        </w:rPr>
        <w:t>:</w:t>
      </w:r>
      <w:r w:rsidR="004B0F9D">
        <w:rPr>
          <w:lang w:val="en-US"/>
        </w:rPr>
        <w:t xml:space="preserve"> </w:t>
      </w:r>
      <w:r w:rsidR="00763D2C">
        <w:rPr>
          <w:lang w:val="en-US"/>
        </w:rPr>
        <w:t>–</w:t>
      </w:r>
      <w:r w:rsidR="004B0F9D">
        <w:rPr>
          <w:lang w:val="en-US"/>
        </w:rPr>
        <w:t>0.45=</w:t>
      </w:r>
      <w:r w:rsidR="00C77BC9">
        <w:rPr>
          <w:lang w:val="en-US"/>
        </w:rPr>
        <w:t xml:space="preserve">64% (95% CI </w:t>
      </w:r>
      <w:r w:rsidR="00763D2C">
        <w:rPr>
          <w:lang w:val="en-US"/>
        </w:rPr>
        <w:t>–</w:t>
      </w:r>
      <w:r w:rsidR="00C77BC9" w:rsidRPr="00C77BC9">
        <w:rPr>
          <w:lang w:val="en-US"/>
        </w:rPr>
        <w:t xml:space="preserve">0.61 </w:t>
      </w:r>
      <w:r w:rsidR="00C77BC9">
        <w:rPr>
          <w:lang w:val="en-US"/>
        </w:rPr>
        <w:t xml:space="preserve">to </w:t>
      </w:r>
      <w:r w:rsidR="00763D2C">
        <w:rPr>
          <w:lang w:val="en-US"/>
        </w:rPr>
        <w:t>–</w:t>
      </w:r>
      <w:r w:rsidR="00C77BC9" w:rsidRPr="00C77BC9">
        <w:rPr>
          <w:lang w:val="en-US"/>
        </w:rPr>
        <w:t>0.2</w:t>
      </w:r>
      <w:r w:rsidR="004B0F9D">
        <w:rPr>
          <w:lang w:val="en-US"/>
        </w:rPr>
        <w:t>8=</w:t>
      </w:r>
      <w:r w:rsidR="00CD3FD0" w:rsidRPr="00CD3FD0">
        <w:rPr>
          <w:lang w:val="en-US"/>
        </w:rPr>
        <w:t>54</w:t>
      </w:r>
      <w:r w:rsidR="00CD3FD0">
        <w:rPr>
          <w:lang w:val="en-US"/>
        </w:rPr>
        <w:t xml:space="preserve">.1% to </w:t>
      </w:r>
      <w:r w:rsidR="00CD3FD0" w:rsidRPr="00CD3FD0">
        <w:rPr>
          <w:lang w:val="en-US"/>
        </w:rPr>
        <w:t>75</w:t>
      </w:r>
      <w:r w:rsidR="00CD3FD0">
        <w:rPr>
          <w:lang w:val="en-US"/>
        </w:rPr>
        <w:t>.7%)</w:t>
      </w:r>
    </w:p>
    <w:p w:rsidR="00C46B90" w:rsidRDefault="004B0F9D" w:rsidP="00C46B90">
      <w:pPr>
        <w:rPr>
          <w:lang w:val="en-US"/>
        </w:rPr>
      </w:pPr>
      <w:r>
        <w:rPr>
          <w:lang w:val="en-US"/>
        </w:rPr>
        <w:t xml:space="preserve">Upper </w:t>
      </w:r>
      <w:r w:rsidR="00763D2C" w:rsidRPr="00763D2C">
        <w:rPr>
          <w:lang w:val="en-US"/>
        </w:rPr>
        <w:t>limits of agreement</w:t>
      </w:r>
      <w:r>
        <w:rPr>
          <w:lang w:val="en-US"/>
        </w:rPr>
        <w:t>: 0.81=</w:t>
      </w:r>
      <w:r w:rsidR="00C46B90">
        <w:rPr>
          <w:lang w:val="en-US"/>
        </w:rPr>
        <w:t xml:space="preserve">224% (95% CI </w:t>
      </w:r>
      <w:r w:rsidR="00C46B90" w:rsidRPr="00C77BC9">
        <w:rPr>
          <w:lang w:val="en-US"/>
        </w:rPr>
        <w:t>0.6</w:t>
      </w:r>
      <w:r w:rsidR="00C46B90">
        <w:rPr>
          <w:lang w:val="en-US"/>
        </w:rPr>
        <w:t>4</w:t>
      </w:r>
      <w:r w:rsidR="00C46B90" w:rsidRPr="00C77BC9">
        <w:rPr>
          <w:lang w:val="en-US"/>
        </w:rPr>
        <w:t xml:space="preserve"> </w:t>
      </w:r>
      <w:r w:rsidR="00C46B90">
        <w:rPr>
          <w:lang w:val="en-US"/>
        </w:rPr>
        <w:t>to</w:t>
      </w:r>
      <w:r w:rsidR="00C46B90" w:rsidRPr="00C77BC9">
        <w:rPr>
          <w:lang w:val="en-US"/>
        </w:rPr>
        <w:t xml:space="preserve"> 0.97</w:t>
      </w:r>
      <w:r>
        <w:rPr>
          <w:lang w:val="en-US"/>
        </w:rPr>
        <w:t>=</w:t>
      </w:r>
      <w:r w:rsidR="00C46B90">
        <w:rPr>
          <w:lang w:val="en-US"/>
        </w:rPr>
        <w:t>1</w:t>
      </w:r>
      <w:r w:rsidR="00C46B90" w:rsidRPr="000A6580">
        <w:rPr>
          <w:lang w:val="en-US"/>
        </w:rPr>
        <w:t>89</w:t>
      </w:r>
      <w:r w:rsidR="00C46B90">
        <w:rPr>
          <w:lang w:val="en-US"/>
        </w:rPr>
        <w:t>% to 264.5%)</w:t>
      </w:r>
    </w:p>
    <w:p w:rsidR="00D20736" w:rsidRDefault="00D20736" w:rsidP="00765DCB">
      <w:pPr>
        <w:rPr>
          <w:lang w:val="en-US"/>
        </w:rPr>
      </w:pPr>
    </w:p>
    <w:p w:rsidR="00D20736" w:rsidRDefault="003E72FE" w:rsidP="00D20736">
      <w:pPr>
        <w:rPr>
          <w:lang w:val="en-US"/>
        </w:rPr>
      </w:pPr>
      <w:r>
        <w:rPr>
          <w:lang w:val="en-US"/>
        </w:rPr>
        <w:t xml:space="preserve">The </w:t>
      </w:r>
      <w:r w:rsidR="00763D2C" w:rsidRPr="00763D2C">
        <w:rPr>
          <w:lang w:val="en-US"/>
        </w:rPr>
        <w:t>limits of agreement</w:t>
      </w:r>
      <w:r w:rsidR="00763D2C" w:rsidRPr="00F13930">
        <w:rPr>
          <w:lang w:val="en-US"/>
        </w:rPr>
        <w:t xml:space="preserve"> </w:t>
      </w:r>
      <w:r w:rsidR="00D20736">
        <w:rPr>
          <w:lang w:val="en-US"/>
        </w:rPr>
        <w:t xml:space="preserve">exceeded the predefined acceptable </w:t>
      </w:r>
      <w:r w:rsidR="00763D2C" w:rsidRPr="00763D2C">
        <w:rPr>
          <w:lang w:val="en-US"/>
        </w:rPr>
        <w:t>limits of agreement</w:t>
      </w:r>
      <w:r w:rsidR="00763D2C" w:rsidRPr="00F13930">
        <w:rPr>
          <w:lang w:val="en-US"/>
        </w:rPr>
        <w:t xml:space="preserve"> </w:t>
      </w:r>
      <w:r w:rsidR="00D20736">
        <w:rPr>
          <w:lang w:val="en-US"/>
        </w:rPr>
        <w:t>of 10% substantially.</w:t>
      </w:r>
    </w:p>
    <w:p w:rsidR="00765DCB" w:rsidRDefault="00765DCB" w:rsidP="00B82F35">
      <w:pPr>
        <w:rPr>
          <w:b/>
          <w:lang w:val="en-US"/>
        </w:rPr>
      </w:pPr>
    </w:p>
    <w:p w:rsidR="00D20736" w:rsidRDefault="00D20736">
      <w:pPr>
        <w:spacing w:after="200" w:line="276" w:lineRule="auto"/>
        <w:rPr>
          <w:b/>
          <w:lang w:val="en-US"/>
        </w:rPr>
      </w:pPr>
      <w:r>
        <w:rPr>
          <w:b/>
          <w:lang w:val="en-US"/>
        </w:rPr>
        <w:br w:type="page"/>
      </w:r>
    </w:p>
    <w:p w:rsidR="00765DCB" w:rsidRDefault="00765DCB" w:rsidP="00B82F35">
      <w:pPr>
        <w:rPr>
          <w:b/>
          <w:lang w:val="en-US"/>
        </w:rPr>
      </w:pPr>
      <w:r>
        <w:rPr>
          <w:b/>
          <w:lang w:val="en-US"/>
        </w:rPr>
        <w:lastRenderedPageBreak/>
        <w:t>Carbohydrates</w:t>
      </w:r>
    </w:p>
    <w:p w:rsidR="00765DCB" w:rsidRDefault="004B0F9D" w:rsidP="00B82F35">
      <w:pPr>
        <w:rPr>
          <w:lang w:val="en-US"/>
        </w:rPr>
      </w:pPr>
      <w:r>
        <w:rPr>
          <w:lang w:val="en-US"/>
        </w:rPr>
        <w:t>The m</w:t>
      </w:r>
      <w:r w:rsidR="00765DCB" w:rsidRPr="00E55539">
        <w:rPr>
          <w:lang w:val="en-US"/>
        </w:rPr>
        <w:t xml:space="preserve">ean difference of </w:t>
      </w:r>
      <w:r w:rsidR="00765DCB">
        <w:rPr>
          <w:lang w:val="en-US"/>
        </w:rPr>
        <w:t>carbohydrates</w:t>
      </w:r>
      <w:r w:rsidR="00765DCB" w:rsidRPr="00E55539">
        <w:rPr>
          <w:lang w:val="en-US"/>
        </w:rPr>
        <w:t xml:space="preserve"> intake was normally distributed.</w:t>
      </w:r>
      <w:r w:rsidR="00765DCB">
        <w:rPr>
          <w:lang w:val="en-US"/>
        </w:rPr>
        <w:t xml:space="preserve"> </w:t>
      </w:r>
    </w:p>
    <w:p w:rsidR="00765DCB" w:rsidRDefault="00352B13" w:rsidP="00B82F35">
      <w:pPr>
        <w:rPr>
          <w:lang w:val="en-US"/>
        </w:rPr>
      </w:pPr>
      <w:r w:rsidRPr="00352B13">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3E72FE">
        <w:rPr>
          <w:rFonts w:eastAsia="Times New Roman" w:cs="Times New Roman"/>
          <w:noProof/>
          <w:color w:val="000000"/>
          <w:w w:val="0"/>
          <w:sz w:val="0"/>
          <w:szCs w:val="0"/>
          <w:u w:color="000000"/>
          <w:bdr w:val="none" w:sz="0" w:space="0" w:color="000000"/>
          <w:shd w:val="clear" w:color="000000" w:fill="000000"/>
          <w:lang w:eastAsia="de-DE"/>
        </w:rPr>
        <w:drawing>
          <wp:inline distT="0" distB="0" distL="0" distR="0" wp14:anchorId="5B0C55D7" wp14:editId="0345FDBD">
            <wp:extent cx="5688000" cy="3945247"/>
            <wp:effectExtent l="0" t="0" r="8255"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8000" cy="3945247"/>
                    </a:xfrm>
                    <a:prstGeom prst="rect">
                      <a:avLst/>
                    </a:prstGeom>
                    <a:noFill/>
                  </pic:spPr>
                </pic:pic>
              </a:graphicData>
            </a:graphic>
          </wp:inline>
        </w:drawing>
      </w:r>
    </w:p>
    <w:p w:rsidR="0048776F" w:rsidRPr="00617B9B" w:rsidRDefault="0048776F" w:rsidP="0048776F">
      <w:pPr>
        <w:rPr>
          <w:b/>
          <w:lang w:val="en-US"/>
        </w:rPr>
      </w:pPr>
      <w:proofErr w:type="gramStart"/>
      <w:r w:rsidRPr="00DC78D1">
        <w:rPr>
          <w:b/>
          <w:lang w:val="en-US"/>
        </w:rPr>
        <w:t xml:space="preserve">Figure </w:t>
      </w:r>
      <w:r>
        <w:rPr>
          <w:b/>
          <w:lang w:val="en-US"/>
        </w:rPr>
        <w:t>3</w:t>
      </w:r>
      <w:r w:rsidRPr="00DC78D1">
        <w:rPr>
          <w:b/>
          <w:lang w:val="en-US"/>
        </w:rPr>
        <w:t>.</w:t>
      </w:r>
      <w:proofErr w:type="gramEnd"/>
      <w:r w:rsidRPr="00DC78D1">
        <w:rPr>
          <w:b/>
          <w:lang w:val="en-US"/>
        </w:rPr>
        <w:t xml:space="preserve"> </w:t>
      </w:r>
      <w:r w:rsidR="00617B9B" w:rsidRPr="00617B9B">
        <w:rPr>
          <w:lang w:val="en-US"/>
        </w:rPr>
        <w:t xml:space="preserve">Bland-Altman plot assessing agreement between habitual </w:t>
      </w:r>
      <w:r w:rsidR="00617B9B">
        <w:rPr>
          <w:lang w:val="en-US"/>
        </w:rPr>
        <w:t>carbohydrate</w:t>
      </w:r>
      <w:r w:rsidR="00617B9B" w:rsidRPr="00617B9B">
        <w:rPr>
          <w:lang w:val="en-US"/>
        </w:rPr>
        <w:t xml:space="preserve"> intake in g per day captured by the APPetite-food record and the 24-hour re</w:t>
      </w:r>
      <w:r w:rsidR="00763D2C">
        <w:rPr>
          <w:lang w:val="en-US"/>
        </w:rPr>
        <w:t>call (red line: mean difference=app–24-hour recall;</w:t>
      </w:r>
      <w:r w:rsidR="00617B9B" w:rsidRPr="00617B9B">
        <w:rPr>
          <w:lang w:val="en-US"/>
        </w:rPr>
        <w:t xml:space="preserve"> dark red l</w:t>
      </w:r>
      <w:r w:rsidR="00763D2C">
        <w:rPr>
          <w:lang w:val="en-US"/>
        </w:rPr>
        <w:t>ines: 95% CI of mean difference;</w:t>
      </w:r>
      <w:r w:rsidR="00617B9B" w:rsidRPr="00617B9B">
        <w:rPr>
          <w:lang w:val="en-US"/>
        </w:rPr>
        <w:t xml:space="preserve"> </w:t>
      </w:r>
      <w:r w:rsidR="00763D2C">
        <w:rPr>
          <w:lang w:val="en-US"/>
        </w:rPr>
        <w:t xml:space="preserve">blue lines: lower and upper </w:t>
      </w:r>
      <w:r w:rsidR="00763D2C" w:rsidRPr="00763D2C">
        <w:rPr>
          <w:lang w:val="en-US"/>
        </w:rPr>
        <w:t>limits of agreement</w:t>
      </w:r>
      <w:r w:rsidR="00763D2C">
        <w:rPr>
          <w:lang w:val="en-US"/>
        </w:rPr>
        <w:t>;</w:t>
      </w:r>
      <w:r w:rsidR="00617B9B" w:rsidRPr="00617B9B">
        <w:rPr>
          <w:lang w:val="en-US"/>
        </w:rPr>
        <w:t xml:space="preserve"> dark blue lines: 95% CI of lower and upper </w:t>
      </w:r>
      <w:r w:rsidR="00763D2C" w:rsidRPr="00763D2C">
        <w:rPr>
          <w:lang w:val="en-US"/>
        </w:rPr>
        <w:t>limits of agreement</w:t>
      </w:r>
      <w:r w:rsidR="00617B9B" w:rsidRPr="00617B9B">
        <w:rPr>
          <w:lang w:val="en-US"/>
        </w:rPr>
        <w:t>).</w:t>
      </w:r>
    </w:p>
    <w:p w:rsidR="00765DCB" w:rsidRDefault="00765DCB" w:rsidP="00B82F35">
      <w:pPr>
        <w:rPr>
          <w:lang w:val="en-US"/>
        </w:rPr>
      </w:pPr>
    </w:p>
    <w:p w:rsidR="00765DCB" w:rsidRDefault="00765DCB" w:rsidP="00765DCB">
      <w:pPr>
        <w:rPr>
          <w:lang w:val="en-US"/>
        </w:rPr>
      </w:pPr>
      <w:r>
        <w:rPr>
          <w:lang w:val="en-US"/>
        </w:rPr>
        <w:t xml:space="preserve">Mean difference: </w:t>
      </w:r>
      <w:r w:rsidR="00F72585" w:rsidRPr="00F72585">
        <w:rPr>
          <w:lang w:val="en-US"/>
        </w:rPr>
        <w:t xml:space="preserve">15.8 </w:t>
      </w:r>
      <w:r w:rsidR="00F72585">
        <w:rPr>
          <w:lang w:val="en-US"/>
        </w:rPr>
        <w:t xml:space="preserve">(95% CI </w:t>
      </w:r>
      <w:r w:rsidR="004B0F9D">
        <w:rPr>
          <w:lang w:val="en-US"/>
        </w:rPr>
        <w:t>–</w:t>
      </w:r>
      <w:r w:rsidR="00F72585">
        <w:rPr>
          <w:lang w:val="en-US"/>
        </w:rPr>
        <w:t>3.7 to 35.3)</w:t>
      </w:r>
    </w:p>
    <w:p w:rsidR="00765DCB" w:rsidRDefault="00765DCB" w:rsidP="00765DCB">
      <w:pPr>
        <w:rPr>
          <w:lang w:val="en-US"/>
        </w:rPr>
      </w:pPr>
      <w:r>
        <w:rPr>
          <w:lang w:val="en-US"/>
        </w:rPr>
        <w:t xml:space="preserve">Lower </w:t>
      </w:r>
      <w:r w:rsidR="00763D2C" w:rsidRPr="00763D2C">
        <w:rPr>
          <w:lang w:val="en-US"/>
        </w:rPr>
        <w:t>limits of agreement</w:t>
      </w:r>
      <w:r>
        <w:rPr>
          <w:lang w:val="en-US"/>
        </w:rPr>
        <w:t>:</w:t>
      </w:r>
      <w:r w:rsidR="00F72585">
        <w:rPr>
          <w:lang w:val="en-US"/>
        </w:rPr>
        <w:t xml:space="preserve"> </w:t>
      </w:r>
      <w:r w:rsidR="004B0F9D">
        <w:rPr>
          <w:lang w:val="en-US"/>
        </w:rPr>
        <w:t>–</w:t>
      </w:r>
      <w:r w:rsidR="00F72585" w:rsidRPr="00F72585">
        <w:rPr>
          <w:lang w:val="en-US"/>
        </w:rPr>
        <w:t>109.</w:t>
      </w:r>
      <w:r w:rsidR="00F72585">
        <w:rPr>
          <w:lang w:val="en-US"/>
        </w:rPr>
        <w:t>7</w:t>
      </w:r>
      <w:r w:rsidR="00F72585" w:rsidRPr="00F72585">
        <w:rPr>
          <w:lang w:val="en-US"/>
        </w:rPr>
        <w:t xml:space="preserve"> </w:t>
      </w:r>
      <w:r w:rsidR="00F72585">
        <w:rPr>
          <w:lang w:val="en-US"/>
        </w:rPr>
        <w:t xml:space="preserve">(95% CI </w:t>
      </w:r>
      <w:r w:rsidR="004B0F9D">
        <w:rPr>
          <w:lang w:val="en-US"/>
        </w:rPr>
        <w:t>–</w:t>
      </w:r>
      <w:r w:rsidR="00F72585" w:rsidRPr="00F72585">
        <w:rPr>
          <w:lang w:val="en-US"/>
        </w:rPr>
        <w:t>143.4</w:t>
      </w:r>
      <w:r w:rsidR="00F72585">
        <w:rPr>
          <w:lang w:val="en-US"/>
        </w:rPr>
        <w:t xml:space="preserve"> to </w:t>
      </w:r>
      <w:r w:rsidR="004B0F9D">
        <w:rPr>
          <w:lang w:val="en-US"/>
        </w:rPr>
        <w:t>–</w:t>
      </w:r>
      <w:r w:rsidR="00F72585">
        <w:rPr>
          <w:lang w:val="en-US"/>
        </w:rPr>
        <w:t>75.97)</w:t>
      </w:r>
    </w:p>
    <w:p w:rsidR="00C46B90" w:rsidRDefault="00C46B90" w:rsidP="00C46B90">
      <w:pPr>
        <w:rPr>
          <w:lang w:val="en-US"/>
        </w:rPr>
      </w:pPr>
      <w:r>
        <w:rPr>
          <w:lang w:val="en-US"/>
        </w:rPr>
        <w:t xml:space="preserve">Upper </w:t>
      </w:r>
      <w:r w:rsidR="00763D2C" w:rsidRPr="00763D2C">
        <w:rPr>
          <w:lang w:val="en-US"/>
        </w:rPr>
        <w:t>limits of agreement</w:t>
      </w:r>
      <w:r>
        <w:rPr>
          <w:lang w:val="en-US"/>
        </w:rPr>
        <w:t xml:space="preserve">: </w:t>
      </w:r>
      <w:r w:rsidRPr="00F72585">
        <w:rPr>
          <w:lang w:val="en-US"/>
        </w:rPr>
        <w:t xml:space="preserve">141.3 </w:t>
      </w:r>
      <w:r>
        <w:rPr>
          <w:lang w:val="en-US"/>
        </w:rPr>
        <w:t xml:space="preserve">(95% CI </w:t>
      </w:r>
      <w:r w:rsidRPr="00F72585">
        <w:rPr>
          <w:lang w:val="en-US"/>
        </w:rPr>
        <w:t>107.6</w:t>
      </w:r>
      <w:r>
        <w:rPr>
          <w:lang w:val="en-US"/>
        </w:rPr>
        <w:t xml:space="preserve"> to </w:t>
      </w:r>
      <w:r w:rsidRPr="00F72585">
        <w:rPr>
          <w:lang w:val="en-US"/>
        </w:rPr>
        <w:t>175.</w:t>
      </w:r>
      <w:r>
        <w:rPr>
          <w:lang w:val="en-US"/>
        </w:rPr>
        <w:t>1)</w:t>
      </w:r>
    </w:p>
    <w:p w:rsidR="00765DCB" w:rsidRDefault="00765DCB" w:rsidP="00B82F35">
      <w:pPr>
        <w:rPr>
          <w:lang w:val="en-US"/>
        </w:rPr>
      </w:pPr>
    </w:p>
    <w:p w:rsidR="00BA6717" w:rsidRDefault="00BA6717" w:rsidP="00BA6717">
      <w:pPr>
        <w:rPr>
          <w:lang w:val="en-US"/>
        </w:rPr>
      </w:pPr>
      <w:r>
        <w:rPr>
          <w:lang w:val="en-US"/>
        </w:rPr>
        <w:t xml:space="preserve">The pre-established acceptable </w:t>
      </w:r>
      <w:r w:rsidR="00763D2C" w:rsidRPr="00763D2C">
        <w:rPr>
          <w:lang w:val="en-US"/>
        </w:rPr>
        <w:t>limits of agreement</w:t>
      </w:r>
      <w:r w:rsidR="00763D2C" w:rsidRPr="00F13930">
        <w:rPr>
          <w:lang w:val="en-US"/>
        </w:rPr>
        <w:t xml:space="preserve"> </w:t>
      </w:r>
      <w:r>
        <w:rPr>
          <w:lang w:val="en-US"/>
        </w:rPr>
        <w:t>were 22.1</w:t>
      </w:r>
      <w:r w:rsidR="00C46B90">
        <w:rPr>
          <w:lang w:val="en-US"/>
        </w:rPr>
        <w:t xml:space="preserve"> </w:t>
      </w:r>
      <w:r>
        <w:rPr>
          <w:lang w:val="en-US"/>
        </w:rPr>
        <w:t>g, which were exceeded</w:t>
      </w:r>
      <w:r w:rsidR="00C46B90" w:rsidRPr="00C46B90">
        <w:rPr>
          <w:lang w:val="en-US"/>
        </w:rPr>
        <w:t xml:space="preserve"> </w:t>
      </w:r>
      <w:r w:rsidR="00C46B90" w:rsidRPr="00F72585">
        <w:rPr>
          <w:lang w:val="en-US"/>
        </w:rPr>
        <w:t>considerably</w:t>
      </w:r>
      <w:r>
        <w:rPr>
          <w:lang w:val="en-US"/>
        </w:rPr>
        <w:t>.</w:t>
      </w:r>
    </w:p>
    <w:p w:rsidR="00BA6717" w:rsidRDefault="00BA6717" w:rsidP="00B82F35">
      <w:pPr>
        <w:rPr>
          <w:lang w:val="en-US"/>
        </w:rPr>
      </w:pPr>
    </w:p>
    <w:p w:rsidR="00D20736" w:rsidRDefault="00D20736">
      <w:pPr>
        <w:spacing w:after="200" w:line="276" w:lineRule="auto"/>
        <w:rPr>
          <w:b/>
          <w:lang w:val="en-US"/>
        </w:rPr>
      </w:pPr>
      <w:r>
        <w:rPr>
          <w:b/>
          <w:lang w:val="en-US"/>
        </w:rPr>
        <w:br w:type="page"/>
      </w:r>
    </w:p>
    <w:p w:rsidR="00BA6717" w:rsidRPr="00BA6717" w:rsidRDefault="00BA6717" w:rsidP="00B82F35">
      <w:pPr>
        <w:rPr>
          <w:b/>
          <w:lang w:val="en-US"/>
        </w:rPr>
      </w:pPr>
      <w:r w:rsidRPr="00BA6717">
        <w:rPr>
          <w:b/>
          <w:lang w:val="en-US"/>
        </w:rPr>
        <w:lastRenderedPageBreak/>
        <w:t>Sugar</w:t>
      </w:r>
    </w:p>
    <w:p w:rsidR="00BA6717" w:rsidRDefault="00BA6717" w:rsidP="00B82F35">
      <w:pPr>
        <w:rPr>
          <w:lang w:val="en-US"/>
        </w:rPr>
      </w:pPr>
      <w:r>
        <w:rPr>
          <w:lang w:val="en-US"/>
        </w:rPr>
        <w:t xml:space="preserve">Normal distribution of the differences of sugar intake was given. </w:t>
      </w:r>
    </w:p>
    <w:p w:rsidR="00964EBE" w:rsidRDefault="003E72FE" w:rsidP="00B82F35">
      <w:pPr>
        <w:rPr>
          <w:lang w:val="en-US"/>
        </w:rPr>
      </w:pPr>
      <w:r>
        <w:rPr>
          <w:noProof/>
          <w:lang w:eastAsia="de-DE"/>
        </w:rPr>
        <w:drawing>
          <wp:inline distT="0" distB="0" distL="0" distR="0" wp14:anchorId="2F23ECF7" wp14:editId="10468725">
            <wp:extent cx="5688330" cy="3993515"/>
            <wp:effectExtent l="0" t="0" r="7620" b="6985"/>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8330" cy="3993515"/>
                    </a:xfrm>
                    <a:prstGeom prst="rect">
                      <a:avLst/>
                    </a:prstGeom>
                    <a:noFill/>
                  </pic:spPr>
                </pic:pic>
              </a:graphicData>
            </a:graphic>
          </wp:inline>
        </w:drawing>
      </w:r>
    </w:p>
    <w:p w:rsidR="0048776F" w:rsidRPr="00617B9B" w:rsidRDefault="0048776F" w:rsidP="0048776F">
      <w:pPr>
        <w:rPr>
          <w:b/>
          <w:lang w:val="en-US"/>
        </w:rPr>
      </w:pPr>
      <w:proofErr w:type="gramStart"/>
      <w:r w:rsidRPr="00DC78D1">
        <w:rPr>
          <w:b/>
          <w:lang w:val="en-US"/>
        </w:rPr>
        <w:t xml:space="preserve">Figure </w:t>
      </w:r>
      <w:r>
        <w:rPr>
          <w:b/>
          <w:lang w:val="en-US"/>
        </w:rPr>
        <w:t>4</w:t>
      </w:r>
      <w:r w:rsidRPr="00DC78D1">
        <w:rPr>
          <w:b/>
          <w:lang w:val="en-US"/>
        </w:rPr>
        <w:t>.</w:t>
      </w:r>
      <w:proofErr w:type="gramEnd"/>
      <w:r w:rsidRPr="00DC78D1">
        <w:rPr>
          <w:b/>
          <w:lang w:val="en-US"/>
        </w:rPr>
        <w:t xml:space="preserve"> </w:t>
      </w:r>
      <w:r w:rsidR="00617B9B" w:rsidRPr="00617B9B">
        <w:rPr>
          <w:lang w:val="en-US"/>
        </w:rPr>
        <w:t xml:space="preserve">Bland-Altman plot assessing agreement between habitual </w:t>
      </w:r>
      <w:r w:rsidR="00617B9B">
        <w:rPr>
          <w:lang w:val="en-US"/>
        </w:rPr>
        <w:t>sugar</w:t>
      </w:r>
      <w:r w:rsidR="00617B9B" w:rsidRPr="00617B9B">
        <w:rPr>
          <w:lang w:val="en-US"/>
        </w:rPr>
        <w:t xml:space="preserve"> intake in g per day captured by the APPetite-food record and the 24-hour re</w:t>
      </w:r>
      <w:r w:rsidR="004B0F9D">
        <w:rPr>
          <w:lang w:val="en-US"/>
        </w:rPr>
        <w:t>call (red line: mean difference=app–24-hour recall;</w:t>
      </w:r>
      <w:r w:rsidR="00617B9B" w:rsidRPr="00617B9B">
        <w:rPr>
          <w:lang w:val="en-US"/>
        </w:rPr>
        <w:t xml:space="preserve"> dark red l</w:t>
      </w:r>
      <w:r w:rsidR="004B0F9D">
        <w:rPr>
          <w:lang w:val="en-US"/>
        </w:rPr>
        <w:t>ines: 95% CI of mean difference;</w:t>
      </w:r>
      <w:r w:rsidR="00617B9B" w:rsidRPr="00617B9B">
        <w:rPr>
          <w:lang w:val="en-US"/>
        </w:rPr>
        <w:t xml:space="preserve"> blue lines: lower and upper </w:t>
      </w:r>
      <w:r w:rsidR="00914ED4" w:rsidRPr="00763D2C">
        <w:rPr>
          <w:lang w:val="en-US"/>
        </w:rPr>
        <w:t>limits of agreement</w:t>
      </w:r>
      <w:r w:rsidR="004B0F9D">
        <w:rPr>
          <w:lang w:val="en-US"/>
        </w:rPr>
        <w:t>;</w:t>
      </w:r>
      <w:r w:rsidR="00617B9B" w:rsidRPr="00617B9B">
        <w:rPr>
          <w:lang w:val="en-US"/>
        </w:rPr>
        <w:t xml:space="preserve"> dark blue lines: 95% CI of lower and upper </w:t>
      </w:r>
      <w:r w:rsidR="00914ED4" w:rsidRPr="00763D2C">
        <w:rPr>
          <w:lang w:val="en-US"/>
        </w:rPr>
        <w:t>limits of agreement</w:t>
      </w:r>
      <w:r w:rsidR="00617B9B" w:rsidRPr="00617B9B">
        <w:rPr>
          <w:lang w:val="en-US"/>
        </w:rPr>
        <w:t>).</w:t>
      </w:r>
    </w:p>
    <w:p w:rsidR="00964EBE" w:rsidRDefault="00964EBE" w:rsidP="00B82F35">
      <w:pPr>
        <w:rPr>
          <w:lang w:val="en-US"/>
        </w:rPr>
      </w:pPr>
    </w:p>
    <w:p w:rsidR="00964EBE" w:rsidRDefault="00F13930" w:rsidP="00B82F35">
      <w:pPr>
        <w:rPr>
          <w:lang w:val="en-US"/>
        </w:rPr>
      </w:pPr>
      <w:r>
        <w:rPr>
          <w:lang w:val="en-US"/>
        </w:rPr>
        <w:t xml:space="preserve">Mean difference:  4.2 (95% CI </w:t>
      </w:r>
      <w:r w:rsidR="004B0F9D">
        <w:rPr>
          <w:lang w:val="en-US"/>
        </w:rPr>
        <w:t>–</w:t>
      </w:r>
      <w:r w:rsidRPr="00F13930">
        <w:rPr>
          <w:lang w:val="en-US"/>
        </w:rPr>
        <w:t>5.3</w:t>
      </w:r>
      <w:r>
        <w:rPr>
          <w:lang w:val="en-US"/>
        </w:rPr>
        <w:t xml:space="preserve"> to</w:t>
      </w:r>
      <w:r w:rsidRPr="00F13930">
        <w:rPr>
          <w:lang w:val="en-US"/>
        </w:rPr>
        <w:t xml:space="preserve"> 13.</w:t>
      </w:r>
      <w:r>
        <w:rPr>
          <w:lang w:val="en-US"/>
        </w:rPr>
        <w:t>8)</w:t>
      </w:r>
    </w:p>
    <w:p w:rsidR="00F13930" w:rsidRDefault="00F13930" w:rsidP="00B82F35">
      <w:pPr>
        <w:rPr>
          <w:lang w:val="en-US"/>
        </w:rPr>
      </w:pPr>
      <w:r>
        <w:rPr>
          <w:lang w:val="en-US"/>
        </w:rPr>
        <w:t xml:space="preserve">Lower </w:t>
      </w:r>
      <w:r w:rsidR="00914ED4" w:rsidRPr="00763D2C">
        <w:rPr>
          <w:lang w:val="en-US"/>
        </w:rPr>
        <w:t>limits of agreement</w:t>
      </w:r>
      <w:r>
        <w:rPr>
          <w:lang w:val="en-US"/>
        </w:rPr>
        <w:t xml:space="preserve">: </w:t>
      </w:r>
      <w:r w:rsidR="004B0F9D">
        <w:rPr>
          <w:lang w:val="en-US"/>
        </w:rPr>
        <w:t>–</w:t>
      </w:r>
      <w:r>
        <w:rPr>
          <w:lang w:val="en-US"/>
        </w:rPr>
        <w:t xml:space="preserve">57.4 (95% CI </w:t>
      </w:r>
      <w:r w:rsidR="004B0F9D">
        <w:rPr>
          <w:lang w:val="en-US"/>
        </w:rPr>
        <w:t>–</w:t>
      </w:r>
      <w:r w:rsidR="00771B53">
        <w:rPr>
          <w:lang w:val="en-US"/>
        </w:rPr>
        <w:t xml:space="preserve">73.9 </w:t>
      </w:r>
      <w:r w:rsidR="0080022F">
        <w:rPr>
          <w:lang w:val="en-US"/>
        </w:rPr>
        <w:t>to</w:t>
      </w:r>
      <w:r w:rsidR="00771B53" w:rsidRPr="00771B53">
        <w:rPr>
          <w:lang w:val="en-US"/>
        </w:rPr>
        <w:t xml:space="preserve"> </w:t>
      </w:r>
      <w:r w:rsidR="004B0F9D">
        <w:rPr>
          <w:lang w:val="en-US"/>
        </w:rPr>
        <w:t>–</w:t>
      </w:r>
      <w:r w:rsidR="00771B53" w:rsidRPr="00771B53">
        <w:rPr>
          <w:lang w:val="en-US"/>
        </w:rPr>
        <w:t>40.</w:t>
      </w:r>
      <w:r w:rsidR="00771B53">
        <w:rPr>
          <w:lang w:val="en-US"/>
        </w:rPr>
        <w:t>8)</w:t>
      </w:r>
    </w:p>
    <w:p w:rsidR="00C46B90" w:rsidRDefault="00C46B90" w:rsidP="00C46B90">
      <w:pPr>
        <w:rPr>
          <w:lang w:val="en-US"/>
        </w:rPr>
      </w:pPr>
      <w:r>
        <w:rPr>
          <w:lang w:val="en-US"/>
        </w:rPr>
        <w:t xml:space="preserve">Upper </w:t>
      </w:r>
      <w:r w:rsidR="00914ED4" w:rsidRPr="00763D2C">
        <w:rPr>
          <w:lang w:val="en-US"/>
        </w:rPr>
        <w:t>limits of agreement</w:t>
      </w:r>
      <w:r>
        <w:rPr>
          <w:lang w:val="en-US"/>
        </w:rPr>
        <w:t>: 65.8 (95% CI 49.3 to 82.4)</w:t>
      </w:r>
    </w:p>
    <w:p w:rsidR="00F13930" w:rsidRDefault="00F13930" w:rsidP="00B82F35">
      <w:pPr>
        <w:rPr>
          <w:lang w:val="en-US"/>
        </w:rPr>
      </w:pPr>
    </w:p>
    <w:p w:rsidR="00964EBE" w:rsidRDefault="00964EBE" w:rsidP="00B82F35">
      <w:pPr>
        <w:rPr>
          <w:lang w:val="en-US"/>
        </w:rPr>
      </w:pPr>
      <w:r>
        <w:rPr>
          <w:lang w:val="en-US"/>
        </w:rPr>
        <w:t xml:space="preserve">Disagreement of </w:t>
      </w:r>
      <w:r w:rsidRPr="00964EBE">
        <w:rPr>
          <w:lang w:val="en-US"/>
        </w:rPr>
        <w:t>7.9</w:t>
      </w:r>
      <w:r w:rsidR="00C46B90">
        <w:rPr>
          <w:lang w:val="en-US"/>
        </w:rPr>
        <w:t xml:space="preserve"> </w:t>
      </w:r>
      <w:r>
        <w:rPr>
          <w:lang w:val="en-US"/>
        </w:rPr>
        <w:t>g</w:t>
      </w:r>
      <w:r w:rsidR="00F13930">
        <w:rPr>
          <w:lang w:val="en-US"/>
        </w:rPr>
        <w:t xml:space="preserve"> </w:t>
      </w:r>
      <w:r w:rsidR="00D4162A">
        <w:rPr>
          <w:lang w:val="en-US"/>
        </w:rPr>
        <w:t>was predefined as acceptable, but was</w:t>
      </w:r>
      <w:r w:rsidR="00F13930">
        <w:rPr>
          <w:lang w:val="en-US"/>
        </w:rPr>
        <w:t xml:space="preserve"> </w:t>
      </w:r>
      <w:r w:rsidR="00F13930" w:rsidRPr="00F13930">
        <w:rPr>
          <w:lang w:val="en-US"/>
        </w:rPr>
        <w:t>transcended</w:t>
      </w:r>
      <w:r w:rsidR="00F13930">
        <w:rPr>
          <w:lang w:val="en-US"/>
        </w:rPr>
        <w:t xml:space="preserve"> substantially.</w:t>
      </w:r>
    </w:p>
    <w:p w:rsidR="00D4162A" w:rsidRDefault="00D4162A" w:rsidP="00B82F35">
      <w:pPr>
        <w:rPr>
          <w:lang w:val="en-US"/>
        </w:rPr>
      </w:pPr>
    </w:p>
    <w:p w:rsidR="00D20736" w:rsidRDefault="00D20736">
      <w:pPr>
        <w:spacing w:after="200" w:line="276" w:lineRule="auto"/>
        <w:rPr>
          <w:b/>
          <w:lang w:val="en-US"/>
        </w:rPr>
      </w:pPr>
      <w:r>
        <w:rPr>
          <w:b/>
          <w:lang w:val="en-US"/>
        </w:rPr>
        <w:br w:type="page"/>
      </w:r>
    </w:p>
    <w:p w:rsidR="00D4162A" w:rsidRPr="00D4162A" w:rsidRDefault="00D4162A" w:rsidP="00B82F35">
      <w:pPr>
        <w:rPr>
          <w:b/>
          <w:lang w:val="en-US"/>
        </w:rPr>
      </w:pPr>
      <w:r w:rsidRPr="00D4162A">
        <w:rPr>
          <w:b/>
          <w:lang w:val="en-US"/>
        </w:rPr>
        <w:lastRenderedPageBreak/>
        <w:t>Fiber</w:t>
      </w:r>
    </w:p>
    <w:p w:rsidR="00D4162A" w:rsidRDefault="00D4162A" w:rsidP="00B82F35">
      <w:pPr>
        <w:rPr>
          <w:lang w:val="en-US"/>
        </w:rPr>
      </w:pPr>
      <w:r>
        <w:rPr>
          <w:lang w:val="en-US"/>
        </w:rPr>
        <w:t xml:space="preserve">The difference of fiber intake between the two methods was normally distributed. </w:t>
      </w:r>
    </w:p>
    <w:p w:rsidR="00D4162A" w:rsidRDefault="0029376B" w:rsidP="00B82F35">
      <w:pPr>
        <w:rPr>
          <w:lang w:val="en-US"/>
        </w:rPr>
      </w:pPr>
      <w:r w:rsidRPr="0029376B">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3E72FE">
        <w:rPr>
          <w:rFonts w:eastAsia="Times New Roman" w:cs="Times New Roman"/>
          <w:noProof/>
          <w:color w:val="000000"/>
          <w:w w:val="0"/>
          <w:sz w:val="0"/>
          <w:szCs w:val="0"/>
          <w:u w:color="000000"/>
          <w:bdr w:val="none" w:sz="0" w:space="0" w:color="000000"/>
          <w:shd w:val="clear" w:color="000000" w:fill="000000"/>
          <w:lang w:eastAsia="de-DE"/>
        </w:rPr>
        <w:drawing>
          <wp:inline distT="0" distB="0" distL="0" distR="0" wp14:anchorId="7CBB3E86" wp14:editId="365AA1B4">
            <wp:extent cx="5688000" cy="3945247"/>
            <wp:effectExtent l="0" t="0" r="8255"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8000" cy="3945247"/>
                    </a:xfrm>
                    <a:prstGeom prst="rect">
                      <a:avLst/>
                    </a:prstGeom>
                    <a:noFill/>
                  </pic:spPr>
                </pic:pic>
              </a:graphicData>
            </a:graphic>
          </wp:inline>
        </w:drawing>
      </w:r>
    </w:p>
    <w:p w:rsidR="0048776F" w:rsidRPr="00617B9B" w:rsidRDefault="0048776F" w:rsidP="0048776F">
      <w:pPr>
        <w:rPr>
          <w:b/>
          <w:lang w:val="en-US"/>
        </w:rPr>
      </w:pPr>
      <w:proofErr w:type="gramStart"/>
      <w:r w:rsidRPr="00DC78D1">
        <w:rPr>
          <w:b/>
          <w:lang w:val="en-US"/>
        </w:rPr>
        <w:t>Figure</w:t>
      </w:r>
      <w:r>
        <w:rPr>
          <w:b/>
          <w:lang w:val="en-US"/>
        </w:rPr>
        <w:t xml:space="preserve"> 5</w:t>
      </w:r>
      <w:r w:rsidRPr="00DC78D1">
        <w:rPr>
          <w:b/>
          <w:lang w:val="en-US"/>
        </w:rPr>
        <w:t>.</w:t>
      </w:r>
      <w:proofErr w:type="gramEnd"/>
      <w:r w:rsidRPr="00DC78D1">
        <w:rPr>
          <w:b/>
          <w:lang w:val="en-US"/>
        </w:rPr>
        <w:t xml:space="preserve"> </w:t>
      </w:r>
      <w:r w:rsidR="00617B9B" w:rsidRPr="00617B9B">
        <w:rPr>
          <w:lang w:val="en-US"/>
        </w:rPr>
        <w:t xml:space="preserve">Bland-Altman plot assessing agreement between habitual </w:t>
      </w:r>
      <w:r w:rsidR="00617B9B">
        <w:rPr>
          <w:lang w:val="en-US"/>
        </w:rPr>
        <w:t>fiber</w:t>
      </w:r>
      <w:r w:rsidR="00617B9B" w:rsidRPr="00617B9B">
        <w:rPr>
          <w:lang w:val="en-US"/>
        </w:rPr>
        <w:t xml:space="preserve"> intake in g per day captured by the APPetite-food record and the 24-hour re</w:t>
      </w:r>
      <w:r w:rsidR="004B0F9D">
        <w:rPr>
          <w:lang w:val="en-US"/>
        </w:rPr>
        <w:t>call (red line: mean difference=app–24-hour recall;</w:t>
      </w:r>
      <w:r w:rsidR="00617B9B" w:rsidRPr="00617B9B">
        <w:rPr>
          <w:lang w:val="en-US"/>
        </w:rPr>
        <w:t xml:space="preserve"> dark red l</w:t>
      </w:r>
      <w:r w:rsidR="004B0F9D">
        <w:rPr>
          <w:lang w:val="en-US"/>
        </w:rPr>
        <w:t>ines: 95% CI of mean difference;</w:t>
      </w:r>
      <w:r w:rsidR="00617B9B" w:rsidRPr="00617B9B">
        <w:rPr>
          <w:lang w:val="en-US"/>
        </w:rPr>
        <w:t xml:space="preserve"> </w:t>
      </w:r>
      <w:r w:rsidR="004B0F9D">
        <w:rPr>
          <w:lang w:val="en-US"/>
        </w:rPr>
        <w:t xml:space="preserve">blue lines: lower and upper </w:t>
      </w:r>
      <w:r w:rsidR="00914ED4" w:rsidRPr="00763D2C">
        <w:rPr>
          <w:lang w:val="en-US"/>
        </w:rPr>
        <w:t>limits of agreement</w:t>
      </w:r>
      <w:r w:rsidR="004B0F9D">
        <w:rPr>
          <w:lang w:val="en-US"/>
        </w:rPr>
        <w:t>;</w:t>
      </w:r>
      <w:r w:rsidR="00617B9B" w:rsidRPr="00617B9B">
        <w:rPr>
          <w:lang w:val="en-US"/>
        </w:rPr>
        <w:t xml:space="preserve"> dark blue lines: 95% CI of lower and upper </w:t>
      </w:r>
      <w:r w:rsidR="00914ED4" w:rsidRPr="00763D2C">
        <w:rPr>
          <w:lang w:val="en-US"/>
        </w:rPr>
        <w:t>limits of agreement</w:t>
      </w:r>
      <w:r w:rsidR="00617B9B" w:rsidRPr="00617B9B">
        <w:rPr>
          <w:lang w:val="en-US"/>
        </w:rPr>
        <w:t>).</w:t>
      </w:r>
    </w:p>
    <w:p w:rsidR="008F4011" w:rsidRDefault="008F4011" w:rsidP="00B82F35">
      <w:pPr>
        <w:rPr>
          <w:lang w:val="en-US"/>
        </w:rPr>
      </w:pPr>
    </w:p>
    <w:p w:rsidR="008F4011" w:rsidRDefault="008F4011" w:rsidP="008F4011">
      <w:pPr>
        <w:rPr>
          <w:lang w:val="en-US"/>
        </w:rPr>
      </w:pPr>
      <w:r>
        <w:rPr>
          <w:lang w:val="en-US"/>
        </w:rPr>
        <w:t>Mean difference:  2.6 (95% CI 0.3 to 4.8)</w:t>
      </w:r>
    </w:p>
    <w:p w:rsidR="008F4011" w:rsidRDefault="008F4011" w:rsidP="008F4011">
      <w:pPr>
        <w:rPr>
          <w:lang w:val="en-US"/>
        </w:rPr>
      </w:pPr>
      <w:r>
        <w:rPr>
          <w:lang w:val="en-US"/>
        </w:rPr>
        <w:t xml:space="preserve">Lower </w:t>
      </w:r>
      <w:r w:rsidR="00914ED4" w:rsidRPr="00763D2C">
        <w:rPr>
          <w:lang w:val="en-US"/>
        </w:rPr>
        <w:t>limits of agreement</w:t>
      </w:r>
      <w:r w:rsidR="000024C4">
        <w:rPr>
          <w:lang w:val="en-US"/>
        </w:rPr>
        <w:t>: –</w:t>
      </w:r>
      <w:r>
        <w:rPr>
          <w:lang w:val="en-US"/>
        </w:rPr>
        <w:t xml:space="preserve">12 (95% CI </w:t>
      </w:r>
      <w:r w:rsidR="004B0F9D">
        <w:rPr>
          <w:lang w:val="en-US"/>
        </w:rPr>
        <w:t>–</w:t>
      </w:r>
      <w:r>
        <w:rPr>
          <w:lang w:val="en-US"/>
        </w:rPr>
        <w:t xml:space="preserve">15.9 to </w:t>
      </w:r>
      <w:r w:rsidR="004B0F9D">
        <w:rPr>
          <w:lang w:val="en-US"/>
        </w:rPr>
        <w:t>–</w:t>
      </w:r>
      <w:r>
        <w:rPr>
          <w:lang w:val="en-US"/>
        </w:rPr>
        <w:t>8.1)</w:t>
      </w:r>
    </w:p>
    <w:p w:rsidR="00C46B90" w:rsidRDefault="00C46B90" w:rsidP="00C46B90">
      <w:pPr>
        <w:rPr>
          <w:lang w:val="en-US"/>
        </w:rPr>
      </w:pPr>
      <w:r>
        <w:rPr>
          <w:lang w:val="en-US"/>
        </w:rPr>
        <w:t xml:space="preserve">Upper </w:t>
      </w:r>
      <w:r w:rsidR="00914ED4" w:rsidRPr="00763D2C">
        <w:rPr>
          <w:lang w:val="en-US"/>
        </w:rPr>
        <w:t>limits of agreement</w:t>
      </w:r>
      <w:r>
        <w:rPr>
          <w:lang w:val="en-US"/>
        </w:rPr>
        <w:t xml:space="preserve">: 17.1 (95% CI </w:t>
      </w:r>
      <w:r w:rsidR="003D5527">
        <w:rPr>
          <w:lang w:val="en-US"/>
        </w:rPr>
        <w:t xml:space="preserve">13.2 </w:t>
      </w:r>
      <w:r w:rsidRPr="003D5527">
        <w:rPr>
          <w:lang w:val="en-US"/>
        </w:rPr>
        <w:t xml:space="preserve">to </w:t>
      </w:r>
      <w:r w:rsidR="003D5527">
        <w:rPr>
          <w:lang w:val="en-US"/>
        </w:rPr>
        <w:t>21.1</w:t>
      </w:r>
      <w:r w:rsidRPr="003D5527">
        <w:rPr>
          <w:lang w:val="en-US"/>
        </w:rPr>
        <w:t>)</w:t>
      </w:r>
    </w:p>
    <w:p w:rsidR="008F4011" w:rsidRDefault="008F4011" w:rsidP="00B82F35">
      <w:pPr>
        <w:rPr>
          <w:lang w:val="en-US"/>
        </w:rPr>
      </w:pPr>
    </w:p>
    <w:p w:rsidR="007D1F31" w:rsidRDefault="00635C10" w:rsidP="004B0F9D">
      <w:pPr>
        <w:rPr>
          <w:lang w:val="en-US"/>
        </w:rPr>
      </w:pPr>
      <w:r>
        <w:rPr>
          <w:lang w:val="en-US"/>
        </w:rPr>
        <w:t xml:space="preserve">The </w:t>
      </w:r>
      <w:r w:rsidR="00914ED4" w:rsidRPr="00763D2C">
        <w:rPr>
          <w:lang w:val="en-US"/>
        </w:rPr>
        <w:t>limits of agreement</w:t>
      </w:r>
      <w:r w:rsidR="00914ED4" w:rsidRPr="00F13930">
        <w:rPr>
          <w:lang w:val="en-US"/>
        </w:rPr>
        <w:t xml:space="preserve"> </w:t>
      </w:r>
      <w:r>
        <w:rPr>
          <w:lang w:val="en-US"/>
        </w:rPr>
        <w:t>exceeded the predefined acceptable disagreement of 2.5 g.</w:t>
      </w:r>
    </w:p>
    <w:p w:rsidR="002A1953" w:rsidRDefault="002A1953" w:rsidP="004B0F9D">
      <w:pPr>
        <w:rPr>
          <w:lang w:val="en-US"/>
        </w:rPr>
      </w:pPr>
    </w:p>
    <w:p w:rsidR="004B66A9" w:rsidRDefault="004B66A9" w:rsidP="004B0F9D">
      <w:pPr>
        <w:rPr>
          <w:lang w:val="en-US"/>
        </w:rPr>
      </w:pPr>
      <w:bookmarkStart w:id="0" w:name="_GoBack"/>
      <w:bookmarkEnd w:id="0"/>
    </w:p>
    <w:p w:rsidR="002A1953" w:rsidRPr="002A1953" w:rsidRDefault="002A1953" w:rsidP="002A1953">
      <w:pPr>
        <w:widowControl w:val="0"/>
        <w:autoSpaceDE w:val="0"/>
        <w:autoSpaceDN w:val="0"/>
        <w:adjustRightInd w:val="0"/>
        <w:ind w:left="640" w:hanging="640"/>
        <w:rPr>
          <w:rFonts w:cs="Times New Roman"/>
          <w:noProof/>
        </w:rPr>
      </w:pPr>
      <w:r>
        <w:rPr>
          <w:lang w:val="en-US"/>
        </w:rPr>
        <w:fldChar w:fldCharType="begin" w:fldLock="1"/>
      </w:r>
      <w:r>
        <w:rPr>
          <w:lang w:val="en-US"/>
        </w:rPr>
        <w:instrText xml:space="preserve">ADDIN Mendeley Bibliography CSL_BIBLIOGRAPHY </w:instrText>
      </w:r>
      <w:r>
        <w:rPr>
          <w:lang w:val="en-US"/>
        </w:rPr>
        <w:fldChar w:fldCharType="separate"/>
      </w:r>
      <w:r w:rsidRPr="002A1953">
        <w:rPr>
          <w:rFonts w:cs="Times New Roman"/>
          <w:noProof/>
          <w:szCs w:val="24"/>
        </w:rPr>
        <w:t xml:space="preserve">1. </w:t>
      </w:r>
      <w:r w:rsidRPr="002A1953">
        <w:rPr>
          <w:rFonts w:cs="Times New Roman"/>
          <w:noProof/>
          <w:szCs w:val="24"/>
        </w:rPr>
        <w:tab/>
        <w:t>Bland JM, Altman DG. Statistical methods for assessing agreement between two methods of clinical measurement. Lancet. 1986;1(8476):307–310. PMID: 2868172</w:t>
      </w:r>
    </w:p>
    <w:p w:rsidR="002A1953" w:rsidRPr="00765DCB" w:rsidRDefault="002A1953" w:rsidP="004B0F9D">
      <w:pPr>
        <w:rPr>
          <w:lang w:val="en-US"/>
        </w:rPr>
      </w:pPr>
      <w:r>
        <w:rPr>
          <w:lang w:val="en-US"/>
        </w:rPr>
        <w:fldChar w:fldCharType="end"/>
      </w:r>
    </w:p>
    <w:sectPr w:rsidR="002A1953" w:rsidRPr="00765DC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FF5" w:rsidRDefault="00C97FF5" w:rsidP="008902BD">
      <w:pPr>
        <w:spacing w:line="240" w:lineRule="auto"/>
      </w:pPr>
      <w:r>
        <w:separator/>
      </w:r>
    </w:p>
  </w:endnote>
  <w:endnote w:type="continuationSeparator" w:id="0">
    <w:p w:rsidR="00C97FF5" w:rsidRDefault="00C97FF5" w:rsidP="008902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FF5" w:rsidRDefault="00C97FF5" w:rsidP="008902BD">
      <w:pPr>
        <w:spacing w:line="240" w:lineRule="auto"/>
      </w:pPr>
      <w:r>
        <w:separator/>
      </w:r>
    </w:p>
  </w:footnote>
  <w:footnote w:type="continuationSeparator" w:id="0">
    <w:p w:rsidR="00C97FF5" w:rsidRDefault="00C97FF5" w:rsidP="008902B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A2"/>
    <w:rsid w:val="000024C4"/>
    <w:rsid w:val="00043EC9"/>
    <w:rsid w:val="000A6580"/>
    <w:rsid w:val="000B617F"/>
    <w:rsid w:val="000B777C"/>
    <w:rsid w:val="001179ED"/>
    <w:rsid w:val="001232E2"/>
    <w:rsid w:val="00140EA2"/>
    <w:rsid w:val="00187736"/>
    <w:rsid w:val="002501F8"/>
    <w:rsid w:val="0029376B"/>
    <w:rsid w:val="00294645"/>
    <w:rsid w:val="0029520B"/>
    <w:rsid w:val="002A1953"/>
    <w:rsid w:val="002A1D99"/>
    <w:rsid w:val="002D7D5D"/>
    <w:rsid w:val="00352B13"/>
    <w:rsid w:val="00372FEF"/>
    <w:rsid w:val="00390759"/>
    <w:rsid w:val="003D5527"/>
    <w:rsid w:val="003E72FE"/>
    <w:rsid w:val="004013C5"/>
    <w:rsid w:val="00414ABC"/>
    <w:rsid w:val="00471BF3"/>
    <w:rsid w:val="00476760"/>
    <w:rsid w:val="00482940"/>
    <w:rsid w:val="0048776F"/>
    <w:rsid w:val="004B0F9D"/>
    <w:rsid w:val="004B66A9"/>
    <w:rsid w:val="004C470C"/>
    <w:rsid w:val="00511E2F"/>
    <w:rsid w:val="00523CE3"/>
    <w:rsid w:val="00550E29"/>
    <w:rsid w:val="005566DF"/>
    <w:rsid w:val="00582CFE"/>
    <w:rsid w:val="005F5682"/>
    <w:rsid w:val="00613D34"/>
    <w:rsid w:val="00616252"/>
    <w:rsid w:val="00617B9B"/>
    <w:rsid w:val="00635C10"/>
    <w:rsid w:val="00651707"/>
    <w:rsid w:val="00657B9F"/>
    <w:rsid w:val="00663819"/>
    <w:rsid w:val="006855CE"/>
    <w:rsid w:val="006A1080"/>
    <w:rsid w:val="006F4301"/>
    <w:rsid w:val="00710D0D"/>
    <w:rsid w:val="007525AA"/>
    <w:rsid w:val="00753FF5"/>
    <w:rsid w:val="00763D2C"/>
    <w:rsid w:val="0076434C"/>
    <w:rsid w:val="00765DCB"/>
    <w:rsid w:val="007661CA"/>
    <w:rsid w:val="00771B53"/>
    <w:rsid w:val="007721EB"/>
    <w:rsid w:val="00774D73"/>
    <w:rsid w:val="007A41E6"/>
    <w:rsid w:val="007D1F31"/>
    <w:rsid w:val="0080022F"/>
    <w:rsid w:val="00835DE5"/>
    <w:rsid w:val="008902BD"/>
    <w:rsid w:val="00893A2F"/>
    <w:rsid w:val="0089413D"/>
    <w:rsid w:val="008F4011"/>
    <w:rsid w:val="008F521A"/>
    <w:rsid w:val="00904539"/>
    <w:rsid w:val="00914ED4"/>
    <w:rsid w:val="009368F9"/>
    <w:rsid w:val="00964EBE"/>
    <w:rsid w:val="0099712F"/>
    <w:rsid w:val="00A005B2"/>
    <w:rsid w:val="00A118F3"/>
    <w:rsid w:val="00A54F04"/>
    <w:rsid w:val="00A96144"/>
    <w:rsid w:val="00AA4F3B"/>
    <w:rsid w:val="00AE2D4E"/>
    <w:rsid w:val="00AF6821"/>
    <w:rsid w:val="00B10255"/>
    <w:rsid w:val="00B16A78"/>
    <w:rsid w:val="00B346B4"/>
    <w:rsid w:val="00B74D5E"/>
    <w:rsid w:val="00B82F35"/>
    <w:rsid w:val="00BA6717"/>
    <w:rsid w:val="00BC0879"/>
    <w:rsid w:val="00BC1AAB"/>
    <w:rsid w:val="00BD4F8D"/>
    <w:rsid w:val="00C14F99"/>
    <w:rsid w:val="00C4242E"/>
    <w:rsid w:val="00C46B90"/>
    <w:rsid w:val="00C508A6"/>
    <w:rsid w:val="00C70C70"/>
    <w:rsid w:val="00C77BC9"/>
    <w:rsid w:val="00C97FF5"/>
    <w:rsid w:val="00CA34EF"/>
    <w:rsid w:val="00CA4C07"/>
    <w:rsid w:val="00CB08F8"/>
    <w:rsid w:val="00CD3FD0"/>
    <w:rsid w:val="00D04F7F"/>
    <w:rsid w:val="00D07FD5"/>
    <w:rsid w:val="00D10875"/>
    <w:rsid w:val="00D20736"/>
    <w:rsid w:val="00D4162A"/>
    <w:rsid w:val="00D6285D"/>
    <w:rsid w:val="00DC78D1"/>
    <w:rsid w:val="00E01654"/>
    <w:rsid w:val="00E55539"/>
    <w:rsid w:val="00E563AA"/>
    <w:rsid w:val="00EB311F"/>
    <w:rsid w:val="00ED53EE"/>
    <w:rsid w:val="00F13930"/>
    <w:rsid w:val="00F14D74"/>
    <w:rsid w:val="00F26506"/>
    <w:rsid w:val="00F72585"/>
    <w:rsid w:val="00FB3C65"/>
    <w:rsid w:val="00FE71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2FEF"/>
    <w:pPr>
      <w:spacing w:after="0" w:line="360" w:lineRule="auto"/>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2B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902BD"/>
    <w:rPr>
      <w:rFonts w:ascii="Times New Roman" w:hAnsi="Times New Roman"/>
      <w:sz w:val="24"/>
    </w:rPr>
  </w:style>
  <w:style w:type="paragraph" w:styleId="Fuzeile">
    <w:name w:val="footer"/>
    <w:basedOn w:val="Standard"/>
    <w:link w:val="FuzeileZchn"/>
    <w:uiPriority w:val="99"/>
    <w:unhideWhenUsed/>
    <w:rsid w:val="008902B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902BD"/>
    <w:rPr>
      <w:rFonts w:ascii="Times New Roman" w:hAnsi="Times New Roman"/>
      <w:sz w:val="24"/>
    </w:rPr>
  </w:style>
  <w:style w:type="table" w:styleId="Tabellenraster">
    <w:name w:val="Table Grid"/>
    <w:basedOn w:val="NormaleTabelle"/>
    <w:uiPriority w:val="59"/>
    <w:rsid w:val="00372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72FE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2FEF"/>
    <w:rPr>
      <w:rFonts w:ascii="Tahoma" w:hAnsi="Tahoma" w:cs="Tahoma"/>
      <w:sz w:val="16"/>
      <w:szCs w:val="16"/>
    </w:rPr>
  </w:style>
  <w:style w:type="paragraph" w:customStyle="1" w:styleId="EigenerStandard">
    <w:name w:val="Eigener Standard"/>
    <w:basedOn w:val="Standard"/>
    <w:next w:val="Standard"/>
    <w:link w:val="EigenerStandardZchn"/>
    <w:qFormat/>
    <w:rsid w:val="00617B9B"/>
    <w:rPr>
      <w:rFonts w:cs="Times New Roman"/>
      <w:lang w:val="en-GB"/>
    </w:rPr>
  </w:style>
  <w:style w:type="character" w:customStyle="1" w:styleId="EigenerStandardZchn">
    <w:name w:val="Eigener Standard Zchn"/>
    <w:basedOn w:val="Absatz-Standardschriftart"/>
    <w:link w:val="EigenerStandard"/>
    <w:rsid w:val="00617B9B"/>
    <w:rPr>
      <w:rFonts w:ascii="Times New Roman" w:hAnsi="Times New Roman" w:cs="Times New Roman"/>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2FEF"/>
    <w:pPr>
      <w:spacing w:after="0" w:line="360" w:lineRule="auto"/>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2B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902BD"/>
    <w:rPr>
      <w:rFonts w:ascii="Times New Roman" w:hAnsi="Times New Roman"/>
      <w:sz w:val="24"/>
    </w:rPr>
  </w:style>
  <w:style w:type="paragraph" w:styleId="Fuzeile">
    <w:name w:val="footer"/>
    <w:basedOn w:val="Standard"/>
    <w:link w:val="FuzeileZchn"/>
    <w:uiPriority w:val="99"/>
    <w:unhideWhenUsed/>
    <w:rsid w:val="008902B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902BD"/>
    <w:rPr>
      <w:rFonts w:ascii="Times New Roman" w:hAnsi="Times New Roman"/>
      <w:sz w:val="24"/>
    </w:rPr>
  </w:style>
  <w:style w:type="table" w:styleId="Tabellenraster">
    <w:name w:val="Table Grid"/>
    <w:basedOn w:val="NormaleTabelle"/>
    <w:uiPriority w:val="59"/>
    <w:rsid w:val="00372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72FE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2FEF"/>
    <w:rPr>
      <w:rFonts w:ascii="Tahoma" w:hAnsi="Tahoma" w:cs="Tahoma"/>
      <w:sz w:val="16"/>
      <w:szCs w:val="16"/>
    </w:rPr>
  </w:style>
  <w:style w:type="paragraph" w:customStyle="1" w:styleId="EigenerStandard">
    <w:name w:val="Eigener Standard"/>
    <w:basedOn w:val="Standard"/>
    <w:next w:val="Standard"/>
    <w:link w:val="EigenerStandardZchn"/>
    <w:qFormat/>
    <w:rsid w:val="00617B9B"/>
    <w:rPr>
      <w:rFonts w:cs="Times New Roman"/>
      <w:lang w:val="en-GB"/>
    </w:rPr>
  </w:style>
  <w:style w:type="character" w:customStyle="1" w:styleId="EigenerStandardZchn">
    <w:name w:val="Eigener Standard Zchn"/>
    <w:basedOn w:val="Absatz-Standardschriftart"/>
    <w:link w:val="EigenerStandard"/>
    <w:rsid w:val="00617B9B"/>
    <w:rPr>
      <w:rFonts w:ascii="Times New Roman"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9850">
      <w:bodyDiv w:val="1"/>
      <w:marLeft w:val="0"/>
      <w:marRight w:val="0"/>
      <w:marTop w:val="0"/>
      <w:marBottom w:val="0"/>
      <w:divBdr>
        <w:top w:val="none" w:sz="0" w:space="0" w:color="auto"/>
        <w:left w:val="none" w:sz="0" w:space="0" w:color="auto"/>
        <w:bottom w:val="none" w:sz="0" w:space="0" w:color="auto"/>
        <w:right w:val="none" w:sz="0" w:space="0" w:color="auto"/>
      </w:divBdr>
    </w:div>
    <w:div w:id="25063319">
      <w:bodyDiv w:val="1"/>
      <w:marLeft w:val="0"/>
      <w:marRight w:val="0"/>
      <w:marTop w:val="0"/>
      <w:marBottom w:val="0"/>
      <w:divBdr>
        <w:top w:val="none" w:sz="0" w:space="0" w:color="auto"/>
        <w:left w:val="none" w:sz="0" w:space="0" w:color="auto"/>
        <w:bottom w:val="none" w:sz="0" w:space="0" w:color="auto"/>
        <w:right w:val="none" w:sz="0" w:space="0" w:color="auto"/>
      </w:divBdr>
    </w:div>
    <w:div w:id="38671043">
      <w:bodyDiv w:val="1"/>
      <w:marLeft w:val="0"/>
      <w:marRight w:val="0"/>
      <w:marTop w:val="0"/>
      <w:marBottom w:val="0"/>
      <w:divBdr>
        <w:top w:val="none" w:sz="0" w:space="0" w:color="auto"/>
        <w:left w:val="none" w:sz="0" w:space="0" w:color="auto"/>
        <w:bottom w:val="none" w:sz="0" w:space="0" w:color="auto"/>
        <w:right w:val="none" w:sz="0" w:space="0" w:color="auto"/>
      </w:divBdr>
    </w:div>
    <w:div w:id="60714756">
      <w:bodyDiv w:val="1"/>
      <w:marLeft w:val="0"/>
      <w:marRight w:val="0"/>
      <w:marTop w:val="0"/>
      <w:marBottom w:val="0"/>
      <w:divBdr>
        <w:top w:val="none" w:sz="0" w:space="0" w:color="auto"/>
        <w:left w:val="none" w:sz="0" w:space="0" w:color="auto"/>
        <w:bottom w:val="none" w:sz="0" w:space="0" w:color="auto"/>
        <w:right w:val="none" w:sz="0" w:space="0" w:color="auto"/>
      </w:divBdr>
    </w:div>
    <w:div w:id="92432778">
      <w:bodyDiv w:val="1"/>
      <w:marLeft w:val="0"/>
      <w:marRight w:val="0"/>
      <w:marTop w:val="0"/>
      <w:marBottom w:val="0"/>
      <w:divBdr>
        <w:top w:val="none" w:sz="0" w:space="0" w:color="auto"/>
        <w:left w:val="none" w:sz="0" w:space="0" w:color="auto"/>
        <w:bottom w:val="none" w:sz="0" w:space="0" w:color="auto"/>
        <w:right w:val="none" w:sz="0" w:space="0" w:color="auto"/>
      </w:divBdr>
    </w:div>
    <w:div w:id="120996970">
      <w:bodyDiv w:val="1"/>
      <w:marLeft w:val="0"/>
      <w:marRight w:val="0"/>
      <w:marTop w:val="0"/>
      <w:marBottom w:val="0"/>
      <w:divBdr>
        <w:top w:val="none" w:sz="0" w:space="0" w:color="auto"/>
        <w:left w:val="none" w:sz="0" w:space="0" w:color="auto"/>
        <w:bottom w:val="none" w:sz="0" w:space="0" w:color="auto"/>
        <w:right w:val="none" w:sz="0" w:space="0" w:color="auto"/>
      </w:divBdr>
    </w:div>
    <w:div w:id="154955706">
      <w:bodyDiv w:val="1"/>
      <w:marLeft w:val="0"/>
      <w:marRight w:val="0"/>
      <w:marTop w:val="0"/>
      <w:marBottom w:val="0"/>
      <w:divBdr>
        <w:top w:val="none" w:sz="0" w:space="0" w:color="auto"/>
        <w:left w:val="none" w:sz="0" w:space="0" w:color="auto"/>
        <w:bottom w:val="none" w:sz="0" w:space="0" w:color="auto"/>
        <w:right w:val="none" w:sz="0" w:space="0" w:color="auto"/>
      </w:divBdr>
    </w:div>
    <w:div w:id="159125421">
      <w:bodyDiv w:val="1"/>
      <w:marLeft w:val="0"/>
      <w:marRight w:val="0"/>
      <w:marTop w:val="0"/>
      <w:marBottom w:val="0"/>
      <w:divBdr>
        <w:top w:val="none" w:sz="0" w:space="0" w:color="auto"/>
        <w:left w:val="none" w:sz="0" w:space="0" w:color="auto"/>
        <w:bottom w:val="none" w:sz="0" w:space="0" w:color="auto"/>
        <w:right w:val="none" w:sz="0" w:space="0" w:color="auto"/>
      </w:divBdr>
    </w:div>
    <w:div w:id="160125106">
      <w:bodyDiv w:val="1"/>
      <w:marLeft w:val="0"/>
      <w:marRight w:val="0"/>
      <w:marTop w:val="0"/>
      <w:marBottom w:val="0"/>
      <w:divBdr>
        <w:top w:val="none" w:sz="0" w:space="0" w:color="auto"/>
        <w:left w:val="none" w:sz="0" w:space="0" w:color="auto"/>
        <w:bottom w:val="none" w:sz="0" w:space="0" w:color="auto"/>
        <w:right w:val="none" w:sz="0" w:space="0" w:color="auto"/>
      </w:divBdr>
    </w:div>
    <w:div w:id="218982302">
      <w:bodyDiv w:val="1"/>
      <w:marLeft w:val="0"/>
      <w:marRight w:val="0"/>
      <w:marTop w:val="0"/>
      <w:marBottom w:val="0"/>
      <w:divBdr>
        <w:top w:val="none" w:sz="0" w:space="0" w:color="auto"/>
        <w:left w:val="none" w:sz="0" w:space="0" w:color="auto"/>
        <w:bottom w:val="none" w:sz="0" w:space="0" w:color="auto"/>
        <w:right w:val="none" w:sz="0" w:space="0" w:color="auto"/>
      </w:divBdr>
    </w:div>
    <w:div w:id="282544874">
      <w:bodyDiv w:val="1"/>
      <w:marLeft w:val="0"/>
      <w:marRight w:val="0"/>
      <w:marTop w:val="0"/>
      <w:marBottom w:val="0"/>
      <w:divBdr>
        <w:top w:val="none" w:sz="0" w:space="0" w:color="auto"/>
        <w:left w:val="none" w:sz="0" w:space="0" w:color="auto"/>
        <w:bottom w:val="none" w:sz="0" w:space="0" w:color="auto"/>
        <w:right w:val="none" w:sz="0" w:space="0" w:color="auto"/>
      </w:divBdr>
    </w:div>
    <w:div w:id="336735159">
      <w:bodyDiv w:val="1"/>
      <w:marLeft w:val="0"/>
      <w:marRight w:val="0"/>
      <w:marTop w:val="0"/>
      <w:marBottom w:val="0"/>
      <w:divBdr>
        <w:top w:val="none" w:sz="0" w:space="0" w:color="auto"/>
        <w:left w:val="none" w:sz="0" w:space="0" w:color="auto"/>
        <w:bottom w:val="none" w:sz="0" w:space="0" w:color="auto"/>
        <w:right w:val="none" w:sz="0" w:space="0" w:color="auto"/>
      </w:divBdr>
    </w:div>
    <w:div w:id="367143720">
      <w:bodyDiv w:val="1"/>
      <w:marLeft w:val="0"/>
      <w:marRight w:val="0"/>
      <w:marTop w:val="0"/>
      <w:marBottom w:val="0"/>
      <w:divBdr>
        <w:top w:val="none" w:sz="0" w:space="0" w:color="auto"/>
        <w:left w:val="none" w:sz="0" w:space="0" w:color="auto"/>
        <w:bottom w:val="none" w:sz="0" w:space="0" w:color="auto"/>
        <w:right w:val="none" w:sz="0" w:space="0" w:color="auto"/>
      </w:divBdr>
    </w:div>
    <w:div w:id="439571951">
      <w:bodyDiv w:val="1"/>
      <w:marLeft w:val="0"/>
      <w:marRight w:val="0"/>
      <w:marTop w:val="0"/>
      <w:marBottom w:val="0"/>
      <w:divBdr>
        <w:top w:val="none" w:sz="0" w:space="0" w:color="auto"/>
        <w:left w:val="none" w:sz="0" w:space="0" w:color="auto"/>
        <w:bottom w:val="none" w:sz="0" w:space="0" w:color="auto"/>
        <w:right w:val="none" w:sz="0" w:space="0" w:color="auto"/>
      </w:divBdr>
    </w:div>
    <w:div w:id="503397629">
      <w:bodyDiv w:val="1"/>
      <w:marLeft w:val="0"/>
      <w:marRight w:val="0"/>
      <w:marTop w:val="0"/>
      <w:marBottom w:val="0"/>
      <w:divBdr>
        <w:top w:val="none" w:sz="0" w:space="0" w:color="auto"/>
        <w:left w:val="none" w:sz="0" w:space="0" w:color="auto"/>
        <w:bottom w:val="none" w:sz="0" w:space="0" w:color="auto"/>
        <w:right w:val="none" w:sz="0" w:space="0" w:color="auto"/>
      </w:divBdr>
    </w:div>
    <w:div w:id="515728308">
      <w:bodyDiv w:val="1"/>
      <w:marLeft w:val="0"/>
      <w:marRight w:val="0"/>
      <w:marTop w:val="0"/>
      <w:marBottom w:val="0"/>
      <w:divBdr>
        <w:top w:val="none" w:sz="0" w:space="0" w:color="auto"/>
        <w:left w:val="none" w:sz="0" w:space="0" w:color="auto"/>
        <w:bottom w:val="none" w:sz="0" w:space="0" w:color="auto"/>
        <w:right w:val="none" w:sz="0" w:space="0" w:color="auto"/>
      </w:divBdr>
    </w:div>
    <w:div w:id="522671627">
      <w:bodyDiv w:val="1"/>
      <w:marLeft w:val="0"/>
      <w:marRight w:val="0"/>
      <w:marTop w:val="0"/>
      <w:marBottom w:val="0"/>
      <w:divBdr>
        <w:top w:val="none" w:sz="0" w:space="0" w:color="auto"/>
        <w:left w:val="none" w:sz="0" w:space="0" w:color="auto"/>
        <w:bottom w:val="none" w:sz="0" w:space="0" w:color="auto"/>
        <w:right w:val="none" w:sz="0" w:space="0" w:color="auto"/>
      </w:divBdr>
    </w:div>
    <w:div w:id="552352345">
      <w:bodyDiv w:val="1"/>
      <w:marLeft w:val="0"/>
      <w:marRight w:val="0"/>
      <w:marTop w:val="0"/>
      <w:marBottom w:val="0"/>
      <w:divBdr>
        <w:top w:val="none" w:sz="0" w:space="0" w:color="auto"/>
        <w:left w:val="none" w:sz="0" w:space="0" w:color="auto"/>
        <w:bottom w:val="none" w:sz="0" w:space="0" w:color="auto"/>
        <w:right w:val="none" w:sz="0" w:space="0" w:color="auto"/>
      </w:divBdr>
    </w:div>
    <w:div w:id="576983810">
      <w:bodyDiv w:val="1"/>
      <w:marLeft w:val="0"/>
      <w:marRight w:val="0"/>
      <w:marTop w:val="0"/>
      <w:marBottom w:val="0"/>
      <w:divBdr>
        <w:top w:val="none" w:sz="0" w:space="0" w:color="auto"/>
        <w:left w:val="none" w:sz="0" w:space="0" w:color="auto"/>
        <w:bottom w:val="none" w:sz="0" w:space="0" w:color="auto"/>
        <w:right w:val="none" w:sz="0" w:space="0" w:color="auto"/>
      </w:divBdr>
    </w:div>
    <w:div w:id="625039072">
      <w:bodyDiv w:val="1"/>
      <w:marLeft w:val="0"/>
      <w:marRight w:val="0"/>
      <w:marTop w:val="0"/>
      <w:marBottom w:val="0"/>
      <w:divBdr>
        <w:top w:val="none" w:sz="0" w:space="0" w:color="auto"/>
        <w:left w:val="none" w:sz="0" w:space="0" w:color="auto"/>
        <w:bottom w:val="none" w:sz="0" w:space="0" w:color="auto"/>
        <w:right w:val="none" w:sz="0" w:space="0" w:color="auto"/>
      </w:divBdr>
    </w:div>
    <w:div w:id="722599990">
      <w:bodyDiv w:val="1"/>
      <w:marLeft w:val="0"/>
      <w:marRight w:val="0"/>
      <w:marTop w:val="0"/>
      <w:marBottom w:val="0"/>
      <w:divBdr>
        <w:top w:val="none" w:sz="0" w:space="0" w:color="auto"/>
        <w:left w:val="none" w:sz="0" w:space="0" w:color="auto"/>
        <w:bottom w:val="none" w:sz="0" w:space="0" w:color="auto"/>
        <w:right w:val="none" w:sz="0" w:space="0" w:color="auto"/>
      </w:divBdr>
    </w:div>
    <w:div w:id="865674094">
      <w:bodyDiv w:val="1"/>
      <w:marLeft w:val="0"/>
      <w:marRight w:val="0"/>
      <w:marTop w:val="0"/>
      <w:marBottom w:val="0"/>
      <w:divBdr>
        <w:top w:val="none" w:sz="0" w:space="0" w:color="auto"/>
        <w:left w:val="none" w:sz="0" w:space="0" w:color="auto"/>
        <w:bottom w:val="none" w:sz="0" w:space="0" w:color="auto"/>
        <w:right w:val="none" w:sz="0" w:space="0" w:color="auto"/>
      </w:divBdr>
    </w:div>
    <w:div w:id="897204301">
      <w:bodyDiv w:val="1"/>
      <w:marLeft w:val="0"/>
      <w:marRight w:val="0"/>
      <w:marTop w:val="0"/>
      <w:marBottom w:val="0"/>
      <w:divBdr>
        <w:top w:val="none" w:sz="0" w:space="0" w:color="auto"/>
        <w:left w:val="none" w:sz="0" w:space="0" w:color="auto"/>
        <w:bottom w:val="none" w:sz="0" w:space="0" w:color="auto"/>
        <w:right w:val="none" w:sz="0" w:space="0" w:color="auto"/>
      </w:divBdr>
    </w:div>
    <w:div w:id="970095963">
      <w:bodyDiv w:val="1"/>
      <w:marLeft w:val="0"/>
      <w:marRight w:val="0"/>
      <w:marTop w:val="0"/>
      <w:marBottom w:val="0"/>
      <w:divBdr>
        <w:top w:val="none" w:sz="0" w:space="0" w:color="auto"/>
        <w:left w:val="none" w:sz="0" w:space="0" w:color="auto"/>
        <w:bottom w:val="none" w:sz="0" w:space="0" w:color="auto"/>
        <w:right w:val="none" w:sz="0" w:space="0" w:color="auto"/>
      </w:divBdr>
    </w:div>
    <w:div w:id="1026297758">
      <w:bodyDiv w:val="1"/>
      <w:marLeft w:val="0"/>
      <w:marRight w:val="0"/>
      <w:marTop w:val="0"/>
      <w:marBottom w:val="0"/>
      <w:divBdr>
        <w:top w:val="none" w:sz="0" w:space="0" w:color="auto"/>
        <w:left w:val="none" w:sz="0" w:space="0" w:color="auto"/>
        <w:bottom w:val="none" w:sz="0" w:space="0" w:color="auto"/>
        <w:right w:val="none" w:sz="0" w:space="0" w:color="auto"/>
      </w:divBdr>
    </w:div>
    <w:div w:id="1192378736">
      <w:bodyDiv w:val="1"/>
      <w:marLeft w:val="0"/>
      <w:marRight w:val="0"/>
      <w:marTop w:val="0"/>
      <w:marBottom w:val="0"/>
      <w:divBdr>
        <w:top w:val="none" w:sz="0" w:space="0" w:color="auto"/>
        <w:left w:val="none" w:sz="0" w:space="0" w:color="auto"/>
        <w:bottom w:val="none" w:sz="0" w:space="0" w:color="auto"/>
        <w:right w:val="none" w:sz="0" w:space="0" w:color="auto"/>
      </w:divBdr>
    </w:div>
    <w:div w:id="1262833570">
      <w:bodyDiv w:val="1"/>
      <w:marLeft w:val="0"/>
      <w:marRight w:val="0"/>
      <w:marTop w:val="0"/>
      <w:marBottom w:val="0"/>
      <w:divBdr>
        <w:top w:val="none" w:sz="0" w:space="0" w:color="auto"/>
        <w:left w:val="none" w:sz="0" w:space="0" w:color="auto"/>
        <w:bottom w:val="none" w:sz="0" w:space="0" w:color="auto"/>
        <w:right w:val="none" w:sz="0" w:space="0" w:color="auto"/>
      </w:divBdr>
    </w:div>
    <w:div w:id="1273978330">
      <w:bodyDiv w:val="1"/>
      <w:marLeft w:val="0"/>
      <w:marRight w:val="0"/>
      <w:marTop w:val="0"/>
      <w:marBottom w:val="0"/>
      <w:divBdr>
        <w:top w:val="none" w:sz="0" w:space="0" w:color="auto"/>
        <w:left w:val="none" w:sz="0" w:space="0" w:color="auto"/>
        <w:bottom w:val="none" w:sz="0" w:space="0" w:color="auto"/>
        <w:right w:val="none" w:sz="0" w:space="0" w:color="auto"/>
      </w:divBdr>
    </w:div>
    <w:div w:id="1363478792">
      <w:bodyDiv w:val="1"/>
      <w:marLeft w:val="0"/>
      <w:marRight w:val="0"/>
      <w:marTop w:val="0"/>
      <w:marBottom w:val="0"/>
      <w:divBdr>
        <w:top w:val="none" w:sz="0" w:space="0" w:color="auto"/>
        <w:left w:val="none" w:sz="0" w:space="0" w:color="auto"/>
        <w:bottom w:val="none" w:sz="0" w:space="0" w:color="auto"/>
        <w:right w:val="none" w:sz="0" w:space="0" w:color="auto"/>
      </w:divBdr>
    </w:div>
    <w:div w:id="1365405435">
      <w:bodyDiv w:val="1"/>
      <w:marLeft w:val="0"/>
      <w:marRight w:val="0"/>
      <w:marTop w:val="0"/>
      <w:marBottom w:val="0"/>
      <w:divBdr>
        <w:top w:val="none" w:sz="0" w:space="0" w:color="auto"/>
        <w:left w:val="none" w:sz="0" w:space="0" w:color="auto"/>
        <w:bottom w:val="none" w:sz="0" w:space="0" w:color="auto"/>
        <w:right w:val="none" w:sz="0" w:space="0" w:color="auto"/>
      </w:divBdr>
    </w:div>
    <w:div w:id="1458910610">
      <w:bodyDiv w:val="1"/>
      <w:marLeft w:val="0"/>
      <w:marRight w:val="0"/>
      <w:marTop w:val="0"/>
      <w:marBottom w:val="0"/>
      <w:divBdr>
        <w:top w:val="none" w:sz="0" w:space="0" w:color="auto"/>
        <w:left w:val="none" w:sz="0" w:space="0" w:color="auto"/>
        <w:bottom w:val="none" w:sz="0" w:space="0" w:color="auto"/>
        <w:right w:val="none" w:sz="0" w:space="0" w:color="auto"/>
      </w:divBdr>
    </w:div>
    <w:div w:id="1529955124">
      <w:bodyDiv w:val="1"/>
      <w:marLeft w:val="0"/>
      <w:marRight w:val="0"/>
      <w:marTop w:val="0"/>
      <w:marBottom w:val="0"/>
      <w:divBdr>
        <w:top w:val="none" w:sz="0" w:space="0" w:color="auto"/>
        <w:left w:val="none" w:sz="0" w:space="0" w:color="auto"/>
        <w:bottom w:val="none" w:sz="0" w:space="0" w:color="auto"/>
        <w:right w:val="none" w:sz="0" w:space="0" w:color="auto"/>
      </w:divBdr>
    </w:div>
    <w:div w:id="1570455427">
      <w:bodyDiv w:val="1"/>
      <w:marLeft w:val="0"/>
      <w:marRight w:val="0"/>
      <w:marTop w:val="0"/>
      <w:marBottom w:val="0"/>
      <w:divBdr>
        <w:top w:val="none" w:sz="0" w:space="0" w:color="auto"/>
        <w:left w:val="none" w:sz="0" w:space="0" w:color="auto"/>
        <w:bottom w:val="none" w:sz="0" w:space="0" w:color="auto"/>
        <w:right w:val="none" w:sz="0" w:space="0" w:color="auto"/>
      </w:divBdr>
    </w:div>
    <w:div w:id="1625427912">
      <w:bodyDiv w:val="1"/>
      <w:marLeft w:val="0"/>
      <w:marRight w:val="0"/>
      <w:marTop w:val="0"/>
      <w:marBottom w:val="0"/>
      <w:divBdr>
        <w:top w:val="none" w:sz="0" w:space="0" w:color="auto"/>
        <w:left w:val="none" w:sz="0" w:space="0" w:color="auto"/>
        <w:bottom w:val="none" w:sz="0" w:space="0" w:color="auto"/>
        <w:right w:val="none" w:sz="0" w:space="0" w:color="auto"/>
      </w:divBdr>
    </w:div>
    <w:div w:id="1652322880">
      <w:bodyDiv w:val="1"/>
      <w:marLeft w:val="0"/>
      <w:marRight w:val="0"/>
      <w:marTop w:val="0"/>
      <w:marBottom w:val="0"/>
      <w:divBdr>
        <w:top w:val="none" w:sz="0" w:space="0" w:color="auto"/>
        <w:left w:val="none" w:sz="0" w:space="0" w:color="auto"/>
        <w:bottom w:val="none" w:sz="0" w:space="0" w:color="auto"/>
        <w:right w:val="none" w:sz="0" w:space="0" w:color="auto"/>
      </w:divBdr>
    </w:div>
    <w:div w:id="1674139074">
      <w:bodyDiv w:val="1"/>
      <w:marLeft w:val="0"/>
      <w:marRight w:val="0"/>
      <w:marTop w:val="0"/>
      <w:marBottom w:val="0"/>
      <w:divBdr>
        <w:top w:val="none" w:sz="0" w:space="0" w:color="auto"/>
        <w:left w:val="none" w:sz="0" w:space="0" w:color="auto"/>
        <w:bottom w:val="none" w:sz="0" w:space="0" w:color="auto"/>
        <w:right w:val="none" w:sz="0" w:space="0" w:color="auto"/>
      </w:divBdr>
    </w:div>
    <w:div w:id="1710259066">
      <w:bodyDiv w:val="1"/>
      <w:marLeft w:val="0"/>
      <w:marRight w:val="0"/>
      <w:marTop w:val="0"/>
      <w:marBottom w:val="0"/>
      <w:divBdr>
        <w:top w:val="none" w:sz="0" w:space="0" w:color="auto"/>
        <w:left w:val="none" w:sz="0" w:space="0" w:color="auto"/>
        <w:bottom w:val="none" w:sz="0" w:space="0" w:color="auto"/>
        <w:right w:val="none" w:sz="0" w:space="0" w:color="auto"/>
      </w:divBdr>
    </w:div>
    <w:div w:id="1762070365">
      <w:bodyDiv w:val="1"/>
      <w:marLeft w:val="0"/>
      <w:marRight w:val="0"/>
      <w:marTop w:val="0"/>
      <w:marBottom w:val="0"/>
      <w:divBdr>
        <w:top w:val="none" w:sz="0" w:space="0" w:color="auto"/>
        <w:left w:val="none" w:sz="0" w:space="0" w:color="auto"/>
        <w:bottom w:val="none" w:sz="0" w:space="0" w:color="auto"/>
        <w:right w:val="none" w:sz="0" w:space="0" w:color="auto"/>
      </w:divBdr>
    </w:div>
    <w:div w:id="1769351231">
      <w:bodyDiv w:val="1"/>
      <w:marLeft w:val="0"/>
      <w:marRight w:val="0"/>
      <w:marTop w:val="0"/>
      <w:marBottom w:val="0"/>
      <w:divBdr>
        <w:top w:val="none" w:sz="0" w:space="0" w:color="auto"/>
        <w:left w:val="none" w:sz="0" w:space="0" w:color="auto"/>
        <w:bottom w:val="none" w:sz="0" w:space="0" w:color="auto"/>
        <w:right w:val="none" w:sz="0" w:space="0" w:color="auto"/>
      </w:divBdr>
    </w:div>
    <w:div w:id="1829246059">
      <w:bodyDiv w:val="1"/>
      <w:marLeft w:val="0"/>
      <w:marRight w:val="0"/>
      <w:marTop w:val="0"/>
      <w:marBottom w:val="0"/>
      <w:divBdr>
        <w:top w:val="none" w:sz="0" w:space="0" w:color="auto"/>
        <w:left w:val="none" w:sz="0" w:space="0" w:color="auto"/>
        <w:bottom w:val="none" w:sz="0" w:space="0" w:color="auto"/>
        <w:right w:val="none" w:sz="0" w:space="0" w:color="auto"/>
      </w:divBdr>
    </w:div>
    <w:div w:id="1986619824">
      <w:bodyDiv w:val="1"/>
      <w:marLeft w:val="0"/>
      <w:marRight w:val="0"/>
      <w:marTop w:val="0"/>
      <w:marBottom w:val="0"/>
      <w:divBdr>
        <w:top w:val="none" w:sz="0" w:space="0" w:color="auto"/>
        <w:left w:val="none" w:sz="0" w:space="0" w:color="auto"/>
        <w:bottom w:val="none" w:sz="0" w:space="0" w:color="auto"/>
        <w:right w:val="none" w:sz="0" w:space="0" w:color="auto"/>
      </w:divBdr>
    </w:div>
    <w:div w:id="2041935975">
      <w:bodyDiv w:val="1"/>
      <w:marLeft w:val="0"/>
      <w:marRight w:val="0"/>
      <w:marTop w:val="0"/>
      <w:marBottom w:val="0"/>
      <w:divBdr>
        <w:top w:val="none" w:sz="0" w:space="0" w:color="auto"/>
        <w:left w:val="none" w:sz="0" w:space="0" w:color="auto"/>
        <w:bottom w:val="none" w:sz="0" w:space="0" w:color="auto"/>
        <w:right w:val="none" w:sz="0" w:space="0" w:color="auto"/>
      </w:divBdr>
    </w:div>
    <w:div w:id="2111847290">
      <w:bodyDiv w:val="1"/>
      <w:marLeft w:val="0"/>
      <w:marRight w:val="0"/>
      <w:marTop w:val="0"/>
      <w:marBottom w:val="0"/>
      <w:divBdr>
        <w:top w:val="none" w:sz="0" w:space="0" w:color="auto"/>
        <w:left w:val="none" w:sz="0" w:space="0" w:color="auto"/>
        <w:bottom w:val="none" w:sz="0" w:space="0" w:color="auto"/>
        <w:right w:val="none" w:sz="0" w:space="0" w:color="auto"/>
      </w:divBdr>
    </w:div>
    <w:div w:id="214650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3FCEB-DB08-4FF7-9507-55B4D7B5D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772</Words>
  <Characters>4868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Alea Ruf</dc:creator>
  <cp:keywords/>
  <dc:description/>
  <cp:lastModifiedBy>Alea Ruf</cp:lastModifiedBy>
  <cp:revision>63</cp:revision>
  <dcterms:created xsi:type="dcterms:W3CDTF">2020-04-23T07:35:00Z</dcterms:created>
  <dcterms:modified xsi:type="dcterms:W3CDTF">2021-06-14T08:15:00Z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b21d892d-621f-364c-a1d1-7d2894cee26c</vt:lpwstr>
  </property>
  <property fmtid="{D5CDD505-2E9C-101B-9397-08002B2CF9AE}" pid="4" name="Mendeley Citation Style_1">
    <vt:lpwstr>http://csl.mendeley.com/styles/3155741/journal-of-medical-internet-research</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http://www.zotero.org/styles/modern-humanities-research-association</vt:lpwstr>
  </property>
  <property fmtid="{D5CDD505-2E9C-101B-9397-08002B2CF9AE}" pid="12" name="Mendeley Recent Style Name 3_1">
    <vt:lpwstr>Modern Humanities Research Association 3rd edition (note with bibliography)</vt:lpwstr>
  </property>
  <property fmtid="{D5CDD505-2E9C-101B-9397-08002B2CF9AE}" pid="13" name="Mendeley Recent Style Id 4_1">
    <vt:lpwstr>http://www.zotero.org/styles/modern-language-association</vt:lpwstr>
  </property>
  <property fmtid="{D5CDD505-2E9C-101B-9397-08002B2CF9AE}" pid="14" name="Mendeley Recent Style Name 4_1">
    <vt:lpwstr>Modern Language Association 8th edition</vt:lpwstr>
  </property>
  <property fmtid="{D5CDD505-2E9C-101B-9397-08002B2CF9AE}" pid="15" name="Mendeley Recent Style Id 5_1">
    <vt:lpwstr>http://csl.mendeley.com/styles/3155741/journal-of-medical-internet-research</vt:lpwstr>
  </property>
  <property fmtid="{D5CDD505-2E9C-101B-9397-08002B2CF9AE}" pid="16" name="Mendeley Recent Style Name 5_1">
    <vt:lpwstr>NEW! Journal of Medical Internet Research</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http://www.zotero.org/styles/springer-vancouver-author-date</vt:lpwstr>
  </property>
  <property fmtid="{D5CDD505-2E9C-101B-9397-08002B2CF9AE}" pid="20" name="Mendeley Recent Style Name 7_1">
    <vt:lpwstr>Springer - Vancouver (author-date)</vt:lpwstr>
  </property>
  <property fmtid="{D5CDD505-2E9C-101B-9397-08002B2CF9AE}" pid="21" name="Mendeley Recent Style Id 8_1">
    <vt:lpwstr>http://www.zotero.org/styles/springer-vancouver-brackets</vt:lpwstr>
  </property>
  <property fmtid="{D5CDD505-2E9C-101B-9397-08002B2CF9AE}" pid="22" name="Mendeley Recent Style Name 8_1">
    <vt:lpwstr>Springer - Vancouver (brackets)</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