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02" w:rsidRPr="0055208E" w:rsidRDefault="00940C8A">
      <w:pPr>
        <w:rPr>
          <w:lang w:val="en-US"/>
        </w:rPr>
      </w:pPr>
      <w:r w:rsidRPr="0055208E">
        <w:rPr>
          <w:lang w:val="en-US"/>
        </w:rPr>
        <w:t>Supplement</w:t>
      </w:r>
    </w:p>
    <w:p w:rsidR="00940C8A" w:rsidRPr="0055208E" w:rsidRDefault="00940C8A">
      <w:pPr>
        <w:rPr>
          <w:lang w:val="en-US"/>
        </w:rPr>
      </w:pPr>
    </w:p>
    <w:p w:rsidR="00604B08" w:rsidRDefault="00604B08" w:rsidP="00604B08">
      <w:pPr>
        <w:pStyle w:val="berschrift2"/>
      </w:pPr>
      <w:r>
        <w:t>Supplemental table</w:t>
      </w:r>
      <w:r w:rsidRPr="003A621C">
        <w:t xml:space="preserve"> </w:t>
      </w:r>
      <w:r>
        <w:t>1</w:t>
      </w:r>
      <w:r>
        <w:t>:</w:t>
      </w:r>
      <w:r>
        <w:tab/>
        <w:t xml:space="preserve">List of </w:t>
      </w:r>
      <w:r>
        <w:t>inclusion and exclusion criteria</w:t>
      </w:r>
    </w:p>
    <w:tbl>
      <w:tblPr>
        <w:tblStyle w:val="EinfacheTabelle1"/>
        <w:tblW w:w="9067" w:type="dxa"/>
        <w:tblLook w:val="04A0" w:firstRow="1" w:lastRow="0" w:firstColumn="1" w:lastColumn="0" w:noHBand="0" w:noVBand="1"/>
      </w:tblPr>
      <w:tblGrid>
        <w:gridCol w:w="9067"/>
      </w:tblGrid>
      <w:tr w:rsidR="0060256B" w:rsidTr="00602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u w:val="single"/>
                <w:lang w:val="en-US"/>
              </w:rPr>
            </w:pPr>
            <w:r w:rsidRPr="0060256B">
              <w:rPr>
                <w:u w:val="single"/>
                <w:lang w:val="en-US"/>
              </w:rPr>
              <w:t>Inclusion criteria</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1. Req</w:t>
            </w:r>
            <w:r w:rsidRPr="0060256B">
              <w:rPr>
                <w:b w:val="0"/>
                <w:lang w:val="en-US"/>
              </w:rPr>
              <w:t>uire renal replacement therapy.</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 xml:space="preserve">2. Be ≥ </w:t>
            </w:r>
            <w:r w:rsidRPr="0060256B">
              <w:rPr>
                <w:b w:val="0"/>
                <w:lang w:val="en-US"/>
              </w:rPr>
              <w:t>18 years old and ≤ 90 years old</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3. Positive blood cu</w:t>
            </w:r>
            <w:r w:rsidRPr="0060256B">
              <w:rPr>
                <w:b w:val="0"/>
                <w:lang w:val="en-US"/>
              </w:rPr>
              <w:t>lture and one of the following:</w:t>
            </w:r>
          </w:p>
          <w:p w:rsidR="0060256B" w:rsidRPr="0060256B" w:rsidRDefault="0060256B" w:rsidP="00CD0645">
            <w:pPr>
              <w:rPr>
                <w:b w:val="0"/>
                <w:lang w:val="en-US"/>
              </w:rPr>
            </w:pPr>
            <w:r w:rsidRPr="0060256B">
              <w:rPr>
                <w:b w:val="0"/>
                <w:lang w:val="en-US"/>
              </w:rPr>
              <w:t>a. Clinical evidence of a catheter exit site to tunnel infection as evidenced by redness, tenderness or purulence.</w:t>
            </w:r>
          </w:p>
          <w:p w:rsidR="0060256B" w:rsidRPr="0060256B" w:rsidRDefault="0060256B" w:rsidP="00CD0645">
            <w:pPr>
              <w:rPr>
                <w:b w:val="0"/>
                <w:lang w:val="en-US"/>
              </w:rPr>
            </w:pPr>
            <w:r w:rsidRPr="0060256B">
              <w:rPr>
                <w:b w:val="0"/>
                <w:lang w:val="en-US"/>
              </w:rPr>
              <w:t>b. Bacteremia is proven with two separate blood cultures from independent vein punctures.</w:t>
            </w:r>
          </w:p>
          <w:p w:rsidR="0060256B" w:rsidRPr="0060256B" w:rsidRDefault="0060256B" w:rsidP="00CD0645">
            <w:pPr>
              <w:rPr>
                <w:b w:val="0"/>
                <w:lang w:val="en-US"/>
              </w:rPr>
            </w:pPr>
            <w:r w:rsidRPr="0060256B">
              <w:rPr>
                <w:b w:val="0"/>
                <w:lang w:val="en-US"/>
              </w:rPr>
              <w:t>c. A blood culture where the time to positivity is within 14 hours.</w:t>
            </w:r>
          </w:p>
          <w:p w:rsidR="0060256B" w:rsidRPr="0060256B" w:rsidRDefault="0060256B" w:rsidP="00CD0645">
            <w:pPr>
              <w:rPr>
                <w:b w:val="0"/>
                <w:lang w:val="en-US"/>
              </w:rPr>
            </w:pPr>
            <w:r w:rsidRPr="0060256B">
              <w:rPr>
                <w:b w:val="0"/>
                <w:lang w:val="en-US"/>
              </w:rPr>
              <w:t>d. Growth from a blood culture taken from the hemodialysis catheter 2 or more hours before the growth of a blood culture drawn peripherally at the same time.</w:t>
            </w:r>
          </w:p>
          <w:p w:rsidR="0060256B" w:rsidRPr="0060256B" w:rsidRDefault="0060256B" w:rsidP="00D83168">
            <w:pPr>
              <w:rPr>
                <w:b w:val="0"/>
                <w:lang w:val="en-US"/>
              </w:rPr>
            </w:pPr>
            <w:r w:rsidRPr="0060256B">
              <w:rPr>
                <w:b w:val="0"/>
                <w:lang w:val="en-US"/>
              </w:rPr>
              <w:t>NOTE: Written results for bacteremia and pathogen identification do not necessarily need to come from the hospital lab and written results can be provided by an outside clinic. The test results from the external source should have been generated within one (1) we</w:t>
            </w:r>
            <w:r w:rsidRPr="0060256B">
              <w:rPr>
                <w:b w:val="0"/>
                <w:lang w:val="en-US"/>
              </w:rPr>
              <w:t>ek prior to hospital admission.</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4. The patient or patient’s legal representative is able to understand the requirements of the study and signs an approved informed consent form prior to enrollment whi</w:t>
            </w:r>
            <w:r w:rsidRPr="0060256B">
              <w:rPr>
                <w:b w:val="0"/>
                <w:lang w:val="en-US"/>
              </w:rPr>
              <w:t>ch explains aggressive care.</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u w:val="single"/>
                <w:lang w:val="en-US"/>
              </w:rPr>
            </w:pPr>
            <w:r w:rsidRPr="0060256B">
              <w:rPr>
                <w:u w:val="single"/>
                <w:lang w:val="en-US"/>
              </w:rPr>
              <w:t>E</w:t>
            </w:r>
            <w:r w:rsidRPr="0060256B">
              <w:rPr>
                <w:u w:val="single"/>
                <w:lang w:val="en-US"/>
              </w:rPr>
              <w:t>xclusion criteria</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1. Have an arteriovenous polyte</w:t>
            </w:r>
            <w:r w:rsidRPr="0060256B">
              <w:rPr>
                <w:b w:val="0"/>
                <w:lang w:val="en-US"/>
              </w:rPr>
              <w:t>trafluoroethylene (PTFE) graft.</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D83168">
            <w:pPr>
              <w:rPr>
                <w:b w:val="0"/>
                <w:lang w:val="en-US"/>
              </w:rPr>
            </w:pPr>
            <w:r w:rsidRPr="0060256B">
              <w:rPr>
                <w:b w:val="0"/>
                <w:lang w:val="en-US"/>
              </w:rPr>
              <w:t>2. Lack of a commitm</w:t>
            </w:r>
            <w:r w:rsidRPr="0060256B">
              <w:rPr>
                <w:b w:val="0"/>
                <w:lang w:val="en-US"/>
              </w:rPr>
              <w:t>ent to full aggressive support.</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3. Have inability to maintain a minimum mean arterial pressure of ≥ 65 mm Hg despite vasopressor t</w:t>
            </w:r>
            <w:r w:rsidRPr="0060256B">
              <w:rPr>
                <w:b w:val="0"/>
                <w:lang w:val="en-US"/>
              </w:rPr>
              <w:t>herapy and fluid resuscitation.</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4. Have had chest compressions as part of cardiopulmonary resuscitation (C</w:t>
            </w:r>
            <w:r w:rsidRPr="0060256B">
              <w:rPr>
                <w:b w:val="0"/>
                <w:lang w:val="en-US"/>
              </w:rPr>
              <w:t>PR)</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5. Have had an acute myocardial infarction</w:t>
            </w:r>
            <w:r w:rsidRPr="0060256B">
              <w:rPr>
                <w:b w:val="0"/>
                <w:lang w:val="en-US"/>
              </w:rPr>
              <w:t xml:space="preserve"> (MI) within the past 3 months.</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6. Have had serious injur</w:t>
            </w:r>
            <w:r w:rsidRPr="0060256B">
              <w:rPr>
                <w:b w:val="0"/>
                <w:lang w:val="en-US"/>
              </w:rPr>
              <w:t>y within 36 hours of screening.</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7</w:t>
            </w:r>
            <w:r w:rsidRPr="0060256B">
              <w:rPr>
                <w:b w:val="0"/>
                <w:lang w:val="en-US"/>
              </w:rPr>
              <w:t>. Have uncontrolled hemorrhage.</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 xml:space="preserve">8. Are </w:t>
            </w:r>
            <w:r w:rsidRPr="0060256B">
              <w:rPr>
                <w:b w:val="0"/>
                <w:lang w:val="en-US"/>
              </w:rPr>
              <w:t>not expected to live &gt; 14 days.</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9. Have malignancy and are not expected to live 4</w:t>
            </w:r>
            <w:r w:rsidRPr="0060256B">
              <w:rPr>
                <w:b w:val="0"/>
                <w:lang w:val="en-US"/>
              </w:rPr>
              <w:t>2 days.</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10. Have neutropenia (absolute n</w:t>
            </w:r>
            <w:r w:rsidRPr="0060256B">
              <w:rPr>
                <w:b w:val="0"/>
                <w:lang w:val="en-US"/>
              </w:rPr>
              <w:t>eutrophil count &lt;500 cells/</w:t>
            </w:r>
            <w:proofErr w:type="spellStart"/>
            <w:r w:rsidRPr="0060256B">
              <w:rPr>
                <w:b w:val="0"/>
                <w:lang w:val="en-US"/>
              </w:rPr>
              <w:t>μL</w:t>
            </w:r>
            <w:proofErr w:type="spellEnd"/>
            <w:r w:rsidRPr="0060256B">
              <w:rPr>
                <w:b w:val="0"/>
                <w:lang w:val="en-US"/>
              </w:rPr>
              <w:t>).</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11. Hav</w:t>
            </w:r>
            <w:r w:rsidRPr="0060256B">
              <w:rPr>
                <w:b w:val="0"/>
                <w:lang w:val="en-US"/>
              </w:rPr>
              <w:t>e Child-Pugh Class C cirrhosis.</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12. Have New York Heart Association Class IV Heart Failur</w:t>
            </w:r>
            <w:r w:rsidRPr="0060256B">
              <w:rPr>
                <w:b w:val="0"/>
                <w:lang w:val="en-US"/>
              </w:rPr>
              <w:t>e or an ejection fraction &lt;30%.</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13. Have kno</w:t>
            </w:r>
            <w:r w:rsidRPr="0060256B">
              <w:rPr>
                <w:b w:val="0"/>
                <w:lang w:val="en-US"/>
              </w:rPr>
              <w:t xml:space="preserve">wn </w:t>
            </w:r>
            <w:proofErr w:type="spellStart"/>
            <w:r w:rsidRPr="0060256B">
              <w:rPr>
                <w:b w:val="0"/>
                <w:lang w:val="en-US"/>
              </w:rPr>
              <w:t>Antithrombin</w:t>
            </w:r>
            <w:proofErr w:type="spellEnd"/>
            <w:r w:rsidRPr="0060256B">
              <w:rPr>
                <w:b w:val="0"/>
                <w:lang w:val="en-US"/>
              </w:rPr>
              <w:t xml:space="preserve"> III deficiency.</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14. Have platelet count &lt;30,000/</w:t>
            </w:r>
            <w:proofErr w:type="spellStart"/>
            <w:r w:rsidRPr="0060256B">
              <w:rPr>
                <w:b w:val="0"/>
                <w:lang w:val="en-US"/>
              </w:rPr>
              <w:t>μL</w:t>
            </w:r>
            <w:proofErr w:type="spellEnd"/>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15. Cannot have intravenous (IV) supplemental i</w:t>
            </w:r>
            <w:r w:rsidRPr="0060256B">
              <w:rPr>
                <w:b w:val="0"/>
                <w:lang w:val="en-US"/>
              </w:rPr>
              <w:t>ron halted during trial period.</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16. Are currently involved in an invest</w:t>
            </w:r>
            <w:r w:rsidRPr="0060256B">
              <w:rPr>
                <w:b w:val="0"/>
                <w:lang w:val="en-US"/>
              </w:rPr>
              <w:t>igational drug or device trial.</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17. Have been previously e</w:t>
            </w:r>
            <w:r w:rsidRPr="0060256B">
              <w:rPr>
                <w:b w:val="0"/>
                <w:lang w:val="en-US"/>
              </w:rPr>
              <w:t>nrolled in this clinical trial.</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18. Next hemodialysis treatment will not take place for at l</w:t>
            </w:r>
            <w:r w:rsidRPr="0060256B">
              <w:rPr>
                <w:b w:val="0"/>
                <w:lang w:val="en-US"/>
              </w:rPr>
              <w:t>east 24 hours after enrollment.</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19. Serious bleedings and clotting disorders, determined by blood transfusion of &gt; 2 units of packed red blood cells, or, An acute (48 h) hemoglobin decline of at least 2 g/</w:t>
            </w:r>
            <w:proofErr w:type="spellStart"/>
            <w:r w:rsidRPr="0060256B">
              <w:rPr>
                <w:b w:val="0"/>
                <w:lang w:val="en-US"/>
              </w:rPr>
              <w:t>dL</w:t>
            </w:r>
            <w:proofErr w:type="spellEnd"/>
            <w:r w:rsidRPr="0060256B">
              <w:rPr>
                <w:b w:val="0"/>
                <w:lang w:val="en-US"/>
              </w:rPr>
              <w:t xml:space="preserve">, transfusion requirement of &gt;4 units over 48 h, objective evidence of </w:t>
            </w:r>
            <w:r w:rsidRPr="0060256B">
              <w:rPr>
                <w:b w:val="0"/>
                <w:lang w:val="en-US"/>
              </w:rPr>
              <w:t>bleed, documented by physician.</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20. Br</w:t>
            </w:r>
            <w:r w:rsidRPr="0060256B">
              <w:rPr>
                <w:b w:val="0"/>
                <w:lang w:val="en-US"/>
              </w:rPr>
              <w:t>east feeding and pregnant women</w:t>
            </w:r>
          </w:p>
        </w:tc>
      </w:tr>
      <w:tr w:rsidR="0060256B" w:rsidTr="0060256B">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t>21. Contraindications for heparin sodium for injection are:</w:t>
            </w:r>
          </w:p>
          <w:p w:rsidR="0060256B" w:rsidRPr="0060256B" w:rsidRDefault="0060256B" w:rsidP="0060256B">
            <w:pPr>
              <w:rPr>
                <w:b w:val="0"/>
                <w:lang w:val="en-US"/>
              </w:rPr>
            </w:pPr>
            <w:r w:rsidRPr="0060256B">
              <w:rPr>
                <w:b w:val="0"/>
                <w:lang w:val="en-US"/>
              </w:rPr>
              <w:t>a. Have heparin sensitivity</w:t>
            </w:r>
          </w:p>
          <w:p w:rsidR="0060256B" w:rsidRPr="0060256B" w:rsidRDefault="0060256B" w:rsidP="0060256B">
            <w:pPr>
              <w:rPr>
                <w:b w:val="0"/>
                <w:lang w:val="en-US"/>
              </w:rPr>
            </w:pPr>
            <w:r w:rsidRPr="0060256B">
              <w:rPr>
                <w:b w:val="0"/>
                <w:lang w:val="en-US"/>
              </w:rPr>
              <w:t>b. Severe thrombocytopenia.</w:t>
            </w:r>
          </w:p>
          <w:p w:rsidR="0060256B" w:rsidRPr="0060256B" w:rsidRDefault="0060256B" w:rsidP="0060256B">
            <w:pPr>
              <w:rPr>
                <w:b w:val="0"/>
                <w:lang w:val="en-US"/>
              </w:rPr>
            </w:pPr>
            <w:proofErr w:type="gramStart"/>
            <w:r w:rsidRPr="0060256B">
              <w:rPr>
                <w:b w:val="0"/>
                <w:lang w:val="en-US"/>
              </w:rPr>
              <w:lastRenderedPageBreak/>
              <w:t>c</w:t>
            </w:r>
            <w:proofErr w:type="gramEnd"/>
            <w:r w:rsidRPr="0060256B">
              <w:rPr>
                <w:b w:val="0"/>
                <w:lang w:val="en-US"/>
              </w:rPr>
              <w:t>. With an uncontrolled active bleeding state, except when this is due to disseminated intravascular coagulation.</w:t>
            </w:r>
          </w:p>
          <w:p w:rsidR="0060256B" w:rsidRPr="0060256B" w:rsidRDefault="0060256B" w:rsidP="0060256B">
            <w:pPr>
              <w:rPr>
                <w:b w:val="0"/>
                <w:lang w:val="en-US"/>
              </w:rPr>
            </w:pPr>
            <w:r w:rsidRPr="0060256B">
              <w:rPr>
                <w:b w:val="0"/>
                <w:lang w:val="en-US"/>
              </w:rPr>
              <w:t xml:space="preserve">d. In whom suitable blood coagulation tests, e.g. whole blood clotting time, partial thromboplastin time, </w:t>
            </w:r>
            <w:proofErr w:type="spellStart"/>
            <w:r w:rsidRPr="0060256B">
              <w:rPr>
                <w:b w:val="0"/>
                <w:lang w:val="en-US"/>
              </w:rPr>
              <w:t>etc</w:t>
            </w:r>
            <w:proofErr w:type="spellEnd"/>
            <w:r w:rsidRPr="0060256B">
              <w:rPr>
                <w:b w:val="0"/>
                <w:lang w:val="en-US"/>
              </w:rPr>
              <w:t xml:space="preserve"> cannot be performed at appropriate intervals (this contraindication refers to full-dose heparin; there is usually no need to monitor coagulation parameters in patie</w:t>
            </w:r>
            <w:r w:rsidRPr="0060256B">
              <w:rPr>
                <w:b w:val="0"/>
                <w:lang w:val="en-US"/>
              </w:rPr>
              <w:t>nts receiving low-dose heparin)</w:t>
            </w:r>
          </w:p>
        </w:tc>
      </w:tr>
      <w:tr w:rsidR="0060256B" w:rsidTr="0060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0256B" w:rsidRPr="0060256B" w:rsidRDefault="0060256B" w:rsidP="0060256B">
            <w:pPr>
              <w:rPr>
                <w:b w:val="0"/>
                <w:lang w:val="en-US"/>
              </w:rPr>
            </w:pPr>
            <w:r w:rsidRPr="0060256B">
              <w:rPr>
                <w:b w:val="0"/>
                <w:lang w:val="en-US"/>
              </w:rPr>
              <w:lastRenderedPageBreak/>
              <w:t>22. Serious injuries, which have occurred more than 36 hours, have to be excluded.</w:t>
            </w:r>
          </w:p>
        </w:tc>
      </w:tr>
    </w:tbl>
    <w:p w:rsidR="00CD0645" w:rsidRDefault="00CD0645" w:rsidP="00D83168">
      <w:pPr>
        <w:rPr>
          <w:lang w:val="en-US"/>
        </w:rPr>
      </w:pPr>
    </w:p>
    <w:p w:rsidR="00604B08" w:rsidRDefault="00604B08" w:rsidP="00604B08">
      <w:pPr>
        <w:pStyle w:val="berschrift2"/>
      </w:pPr>
      <w:r>
        <w:t>Supplemental t</w:t>
      </w:r>
      <w:r>
        <w:t>able</w:t>
      </w:r>
      <w:r w:rsidRPr="003A621C">
        <w:t xml:space="preserve"> </w:t>
      </w:r>
      <w:r>
        <w:t>2:</w:t>
      </w:r>
      <w:r>
        <w:tab/>
        <w:t>List of individual adverse events and their degree as well as their relationship to the procedure.</w:t>
      </w:r>
      <w:bookmarkStart w:id="0" w:name="_GoBack"/>
      <w:bookmarkEnd w:id="0"/>
    </w:p>
    <w:tbl>
      <w:tblPr>
        <w:tblStyle w:val="EinfacheTabelle1"/>
        <w:tblpPr w:leftFromText="141" w:rightFromText="141" w:vertAnchor="text" w:horzAnchor="margin" w:tblpY="173"/>
        <w:tblW w:w="0" w:type="auto"/>
        <w:tblLook w:val="04A0" w:firstRow="1" w:lastRow="0" w:firstColumn="1" w:lastColumn="0" w:noHBand="0" w:noVBand="1"/>
      </w:tblPr>
      <w:tblGrid>
        <w:gridCol w:w="3539"/>
        <w:gridCol w:w="851"/>
        <w:gridCol w:w="1134"/>
        <w:gridCol w:w="992"/>
        <w:gridCol w:w="1417"/>
        <w:gridCol w:w="1129"/>
      </w:tblGrid>
      <w:tr w:rsidR="0060256B" w:rsidRPr="0060256B" w:rsidTr="0060256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color w:val="000000"/>
                <w:sz w:val="20"/>
                <w:szCs w:val="20"/>
              </w:rPr>
            </w:pPr>
            <w:proofErr w:type="spellStart"/>
            <w:r w:rsidRPr="0060256B">
              <w:rPr>
                <w:color w:val="000000"/>
                <w:sz w:val="20"/>
                <w:szCs w:val="20"/>
              </w:rPr>
              <w:t>Adverse</w:t>
            </w:r>
            <w:proofErr w:type="spellEnd"/>
            <w:r w:rsidRPr="0060256B">
              <w:rPr>
                <w:color w:val="000000"/>
                <w:sz w:val="20"/>
                <w:szCs w:val="20"/>
              </w:rPr>
              <w:t xml:space="preserve"> </w:t>
            </w:r>
            <w:proofErr w:type="spellStart"/>
            <w:r w:rsidRPr="0060256B">
              <w:rPr>
                <w:color w:val="000000"/>
                <w:sz w:val="20"/>
                <w:szCs w:val="20"/>
              </w:rPr>
              <w:t>event</w:t>
            </w:r>
            <w:proofErr w:type="spellEnd"/>
          </w:p>
        </w:tc>
        <w:tc>
          <w:tcPr>
            <w:tcW w:w="851" w:type="dxa"/>
            <w:noWrap/>
            <w:hideMark/>
          </w:tcPr>
          <w:p w:rsidR="00604B08" w:rsidRPr="0060256B" w:rsidRDefault="00604B08" w:rsidP="004F2EFA">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SAE</w:t>
            </w:r>
          </w:p>
        </w:tc>
        <w:tc>
          <w:tcPr>
            <w:tcW w:w="1134" w:type="dxa"/>
            <w:noWrap/>
            <w:hideMark/>
          </w:tcPr>
          <w:p w:rsidR="00604B08" w:rsidRPr="0060256B" w:rsidRDefault="00604B08" w:rsidP="004F2EFA">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 xml:space="preserve">AE </w:t>
            </w:r>
            <w:proofErr w:type="spellStart"/>
            <w:r w:rsidRPr="0060256B">
              <w:rPr>
                <w:color w:val="000000"/>
                <w:sz w:val="20"/>
                <w:szCs w:val="20"/>
              </w:rPr>
              <w:t>during</w:t>
            </w:r>
            <w:proofErr w:type="spellEnd"/>
            <w:r w:rsidRPr="0060256B">
              <w:rPr>
                <w:color w:val="000000"/>
                <w:sz w:val="20"/>
                <w:szCs w:val="20"/>
              </w:rPr>
              <w:t xml:space="preserve"> </w:t>
            </w:r>
            <w:proofErr w:type="spellStart"/>
            <w:r w:rsidRPr="0060256B">
              <w:rPr>
                <w:color w:val="000000"/>
                <w:sz w:val="20"/>
                <w:szCs w:val="20"/>
              </w:rPr>
              <w:t>procedure</w:t>
            </w:r>
            <w:proofErr w:type="spellEnd"/>
          </w:p>
        </w:tc>
        <w:tc>
          <w:tcPr>
            <w:tcW w:w="992" w:type="dxa"/>
            <w:noWrap/>
            <w:hideMark/>
          </w:tcPr>
          <w:p w:rsidR="00604B08" w:rsidRPr="0060256B" w:rsidRDefault="00604B08" w:rsidP="004F2EFA">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Related</w:t>
            </w:r>
            <w:proofErr w:type="spellEnd"/>
            <w:r w:rsidRPr="0060256B">
              <w:rPr>
                <w:color w:val="000000"/>
                <w:sz w:val="20"/>
                <w:szCs w:val="20"/>
              </w:rPr>
              <w:t xml:space="preserve"> </w:t>
            </w:r>
            <w:proofErr w:type="spellStart"/>
            <w:r w:rsidRPr="0060256B">
              <w:rPr>
                <w:color w:val="000000"/>
                <w:sz w:val="20"/>
                <w:szCs w:val="20"/>
              </w:rPr>
              <w:t>to</w:t>
            </w:r>
            <w:proofErr w:type="spellEnd"/>
            <w:r w:rsidRPr="0060256B">
              <w:rPr>
                <w:color w:val="000000"/>
                <w:sz w:val="20"/>
                <w:szCs w:val="20"/>
              </w:rPr>
              <w:t xml:space="preserve"> </w:t>
            </w:r>
            <w:proofErr w:type="spellStart"/>
            <w:r w:rsidRPr="0060256B">
              <w:rPr>
                <w:color w:val="000000"/>
                <w:sz w:val="20"/>
                <w:szCs w:val="20"/>
              </w:rPr>
              <w:t>device</w:t>
            </w:r>
            <w:proofErr w:type="spellEnd"/>
          </w:p>
        </w:tc>
        <w:tc>
          <w:tcPr>
            <w:tcW w:w="1417" w:type="dxa"/>
            <w:noWrap/>
            <w:hideMark/>
          </w:tcPr>
          <w:p w:rsidR="00604B08" w:rsidRPr="0060256B" w:rsidRDefault="00604B08" w:rsidP="004F2EFA">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Severity</w:t>
            </w:r>
            <w:proofErr w:type="spellEnd"/>
            <w:r w:rsidRPr="0060256B">
              <w:rPr>
                <w:color w:val="000000"/>
                <w:sz w:val="20"/>
                <w:szCs w:val="20"/>
              </w:rPr>
              <w:t xml:space="preserve"> </w:t>
            </w:r>
            <w:proofErr w:type="spellStart"/>
            <w:r w:rsidRPr="0060256B">
              <w:rPr>
                <w:color w:val="000000"/>
                <w:sz w:val="20"/>
                <w:szCs w:val="20"/>
              </w:rPr>
              <w:t>of</w:t>
            </w:r>
            <w:proofErr w:type="spellEnd"/>
            <w:r w:rsidRPr="0060256B">
              <w:rPr>
                <w:color w:val="000000"/>
                <w:sz w:val="20"/>
                <w:szCs w:val="20"/>
              </w:rPr>
              <w:t xml:space="preserve"> </w:t>
            </w:r>
            <w:proofErr w:type="spellStart"/>
            <w:r w:rsidRPr="0060256B">
              <w:rPr>
                <w:color w:val="000000"/>
                <w:sz w:val="20"/>
                <w:szCs w:val="20"/>
              </w:rPr>
              <w:t>event</w:t>
            </w:r>
            <w:proofErr w:type="spellEnd"/>
          </w:p>
        </w:tc>
        <w:tc>
          <w:tcPr>
            <w:tcW w:w="1129" w:type="dxa"/>
          </w:tcPr>
          <w:p w:rsidR="00604B08" w:rsidRPr="0060256B" w:rsidRDefault="00604B08" w:rsidP="004F2EFA">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Related</w:t>
            </w:r>
            <w:proofErr w:type="spellEnd"/>
            <w:r w:rsidRPr="0060256B">
              <w:rPr>
                <w:color w:val="000000"/>
                <w:sz w:val="20"/>
                <w:szCs w:val="20"/>
              </w:rPr>
              <w:t xml:space="preserve"> </w:t>
            </w:r>
            <w:proofErr w:type="spellStart"/>
            <w:r w:rsidRPr="0060256B">
              <w:rPr>
                <w:color w:val="000000"/>
                <w:sz w:val="20"/>
                <w:szCs w:val="20"/>
              </w:rPr>
              <w:t>to</w:t>
            </w:r>
            <w:proofErr w:type="spellEnd"/>
            <w:r w:rsidRPr="0060256B">
              <w:rPr>
                <w:color w:val="000000"/>
                <w:sz w:val="20"/>
                <w:szCs w:val="20"/>
              </w:rPr>
              <w:t xml:space="preserve"> </w:t>
            </w:r>
            <w:proofErr w:type="spellStart"/>
            <w:r w:rsidRPr="0060256B">
              <w:rPr>
                <w:color w:val="000000"/>
                <w:sz w:val="20"/>
                <w:szCs w:val="20"/>
              </w:rPr>
              <w:t>procedure</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AENAMIA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ANAEMIA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ANAEMIA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BACKACHE</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BLEEDING POSTOPERATIVE</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EDEMA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ENDOCARDITIS</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MODERATE</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HEMATOMA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HYPERKALEMIA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HYPERKALEMIA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HYPERPHOSPHATEMIA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HYPERTENSION</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lang w:val="en-US"/>
              </w:rPr>
            </w:pPr>
            <w:r w:rsidRPr="0060256B">
              <w:rPr>
                <w:b w:val="0"/>
                <w:color w:val="000000"/>
                <w:sz w:val="20"/>
                <w:szCs w:val="20"/>
                <w:lang w:val="en-US"/>
              </w:rPr>
              <w:t>INCREASE OF SIZE OF VALVULAR VEGETATION</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LOW BLOOD FLOW DIALYSIS</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Yes</w:t>
            </w:r>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LUMBAR BODY FRACTURE</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Yes</w:t>
            </w:r>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MODERATE</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EDEMA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PLEURA EMPYEMA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Yes</w:t>
            </w:r>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MODERATE</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PROGRESSIVE ANEMIA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PRURITUS</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RALES</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SURGICAL REVISION OF AVFISTULA</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Yes</w:t>
            </w:r>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SYSTOLIKUM</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SYSTOLIKUM</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TACHYARRHYTHMIA ABSOLUTA</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THROMBOSIS V. JUGULARIS</w:t>
            </w:r>
          </w:p>
        </w:tc>
        <w:tc>
          <w:tcPr>
            <w:tcW w:w="851"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Yes</w:t>
            </w:r>
          </w:p>
        </w:tc>
        <w:tc>
          <w:tcPr>
            <w:tcW w:w="1134"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256B">
              <w:rPr>
                <w:color w:val="000000"/>
                <w:sz w:val="20"/>
                <w:szCs w:val="20"/>
              </w:rPr>
              <w:t>MILD</w:t>
            </w:r>
          </w:p>
        </w:tc>
        <w:tc>
          <w:tcPr>
            <w:tcW w:w="1129" w:type="dxa"/>
          </w:tcPr>
          <w:p w:rsidR="00604B08" w:rsidRPr="0060256B" w:rsidRDefault="00604B08" w:rsidP="004F2EF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r w:rsidR="0060256B" w:rsidRPr="0060256B" w:rsidTr="0060256B">
        <w:trPr>
          <w:trHeight w:val="372"/>
        </w:trPr>
        <w:tc>
          <w:tcPr>
            <w:cnfStyle w:val="001000000000" w:firstRow="0" w:lastRow="0" w:firstColumn="1" w:lastColumn="0" w:oddVBand="0" w:evenVBand="0" w:oddHBand="0" w:evenHBand="0" w:firstRowFirstColumn="0" w:firstRowLastColumn="0" w:lastRowFirstColumn="0" w:lastRowLastColumn="0"/>
            <w:tcW w:w="3539" w:type="dxa"/>
            <w:noWrap/>
            <w:hideMark/>
          </w:tcPr>
          <w:p w:rsidR="00604B08" w:rsidRPr="0060256B" w:rsidRDefault="00604B08" w:rsidP="004F2EFA">
            <w:pPr>
              <w:rPr>
                <w:b w:val="0"/>
                <w:color w:val="000000"/>
                <w:sz w:val="20"/>
                <w:szCs w:val="20"/>
              </w:rPr>
            </w:pPr>
            <w:r w:rsidRPr="0060256B">
              <w:rPr>
                <w:b w:val="0"/>
                <w:color w:val="000000"/>
                <w:sz w:val="20"/>
                <w:szCs w:val="20"/>
              </w:rPr>
              <w:t>UNSUCCESSFUL ATRIAL LINE IMPL.</w:t>
            </w:r>
          </w:p>
        </w:tc>
        <w:tc>
          <w:tcPr>
            <w:tcW w:w="851"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Yes</w:t>
            </w:r>
          </w:p>
        </w:tc>
        <w:tc>
          <w:tcPr>
            <w:tcW w:w="1134"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992"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c>
          <w:tcPr>
            <w:tcW w:w="1417" w:type="dxa"/>
            <w:noWrap/>
            <w:hideMark/>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0256B">
              <w:rPr>
                <w:color w:val="000000"/>
                <w:sz w:val="20"/>
                <w:szCs w:val="20"/>
              </w:rPr>
              <w:t>MODERATE</w:t>
            </w:r>
          </w:p>
        </w:tc>
        <w:tc>
          <w:tcPr>
            <w:tcW w:w="1129" w:type="dxa"/>
          </w:tcPr>
          <w:p w:rsidR="00604B08" w:rsidRPr="0060256B" w:rsidRDefault="00604B08" w:rsidP="004F2EF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60256B">
              <w:rPr>
                <w:color w:val="000000"/>
                <w:sz w:val="20"/>
                <w:szCs w:val="20"/>
              </w:rPr>
              <w:t>No</w:t>
            </w:r>
            <w:proofErr w:type="spellEnd"/>
          </w:p>
        </w:tc>
      </w:tr>
    </w:tbl>
    <w:p w:rsidR="00604B08" w:rsidRDefault="00604B08" w:rsidP="00940C8A"/>
    <w:p w:rsidR="00604B08" w:rsidRDefault="00604B08">
      <w:r>
        <w:br w:type="page"/>
      </w:r>
    </w:p>
    <w:p w:rsidR="00604B08" w:rsidRDefault="00604B08" w:rsidP="00604B08">
      <w:pPr>
        <w:pStyle w:val="berschrift2"/>
      </w:pPr>
      <w:r>
        <w:lastRenderedPageBreak/>
        <w:t>Supplemental figure 1:</w:t>
      </w:r>
      <w:r>
        <w:tab/>
        <w:t>TTP</w:t>
      </w:r>
      <w:r w:rsidRPr="00FA383E">
        <w:t xml:space="preserve"> </w:t>
      </w:r>
      <w:r>
        <w:t>at the inflow and outflow site of</w:t>
      </w:r>
      <w:r w:rsidRPr="00FA383E">
        <w:t xml:space="preserve"> the Seraph</w:t>
      </w:r>
      <w:r w:rsidRPr="00AA06AF">
        <w:rPr>
          <w:vertAlign w:val="superscript"/>
        </w:rPr>
        <w:t>®</w:t>
      </w:r>
      <w:r>
        <w:t xml:space="preserve"> 100 in all patients who started with positive blood cultures</w:t>
      </w:r>
      <w:r w:rsidRPr="00FA383E">
        <w:t>.</w:t>
      </w:r>
    </w:p>
    <w:p w:rsidR="00604B08" w:rsidRPr="008513CF" w:rsidRDefault="00604B08" w:rsidP="00604B08">
      <w:pPr>
        <w:spacing w:after="160" w:line="259" w:lineRule="auto"/>
        <w:rPr>
          <w:b/>
          <w:lang w:val="en-GB"/>
        </w:rPr>
      </w:pPr>
    </w:p>
    <w:p w:rsidR="00604B08" w:rsidRDefault="00604B08" w:rsidP="00604B08">
      <w:pPr>
        <w:spacing w:after="160" w:line="259" w:lineRule="auto"/>
        <w:rPr>
          <w:b/>
        </w:rPr>
      </w:pPr>
      <w:r>
        <w:rPr>
          <w:bCs/>
          <w:noProof/>
        </w:rPr>
        <w:drawing>
          <wp:inline distT="0" distB="0" distL="0" distR="0" wp14:anchorId="1A9263CD" wp14:editId="7D0B736E">
            <wp:extent cx="5760720" cy="3295195"/>
            <wp:effectExtent l="0" t="0" r="508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95195"/>
                    </a:xfrm>
                    <a:prstGeom prst="rect">
                      <a:avLst/>
                    </a:prstGeom>
                    <a:noFill/>
                    <a:ln>
                      <a:noFill/>
                    </a:ln>
                  </pic:spPr>
                </pic:pic>
              </a:graphicData>
            </a:graphic>
          </wp:inline>
        </w:drawing>
      </w:r>
    </w:p>
    <w:p w:rsidR="00604B08" w:rsidRDefault="00604B08" w:rsidP="00604B08"/>
    <w:p w:rsidR="00604B08" w:rsidRDefault="00604B08" w:rsidP="00940C8A"/>
    <w:sectPr w:rsidR="00604B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A"/>
    <w:rsid w:val="0021571C"/>
    <w:rsid w:val="0055208E"/>
    <w:rsid w:val="0060256B"/>
    <w:rsid w:val="00604B08"/>
    <w:rsid w:val="00940C8A"/>
    <w:rsid w:val="00967AEA"/>
    <w:rsid w:val="00C824D8"/>
    <w:rsid w:val="00CD0645"/>
    <w:rsid w:val="00D83168"/>
    <w:rsid w:val="00F31D02"/>
    <w:rsid w:val="00F84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7F16"/>
  <w15:chartTrackingRefBased/>
  <w15:docId w15:val="{691BABD2-E144-4800-BCFB-48EDDFD7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C8A"/>
    <w:rPr>
      <w:rFonts w:ascii="Times New Roman" w:hAnsi="Times New Roman"/>
      <w:sz w:val="24"/>
    </w:rPr>
  </w:style>
  <w:style w:type="paragraph" w:styleId="berschrift2">
    <w:name w:val="heading 2"/>
    <w:basedOn w:val="Standard"/>
    <w:next w:val="Standard"/>
    <w:link w:val="berschrift2Zchn"/>
    <w:uiPriority w:val="9"/>
    <w:unhideWhenUsed/>
    <w:qFormat/>
    <w:rsid w:val="00604B08"/>
    <w:pPr>
      <w:spacing w:after="0" w:line="480" w:lineRule="auto"/>
      <w:outlineLvl w:val="1"/>
    </w:pPr>
    <w:rPr>
      <w:rFonts w:eastAsia="Times New Roman" w:cs="Times New Roman"/>
      <w:b/>
      <w:bCs/>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6farbigAkzent3">
    <w:name w:val="Grid Table 6 Colorful Accent 3"/>
    <w:basedOn w:val="NormaleTabelle"/>
    <w:uiPriority w:val="51"/>
    <w:rsid w:val="0055208E"/>
    <w:pPr>
      <w:spacing w:after="0" w:line="240" w:lineRule="auto"/>
    </w:pPr>
    <w:rPr>
      <w:rFonts w:eastAsiaTheme="minorEastAsia"/>
      <w:color w:val="76923C" w:themeColor="accent3" w:themeShade="BF"/>
      <w:lang w:eastAsia="de-D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erschrift2Zchn">
    <w:name w:val="Überschrift 2 Zchn"/>
    <w:basedOn w:val="Absatz-Standardschriftart"/>
    <w:link w:val="berschrift2"/>
    <w:uiPriority w:val="9"/>
    <w:rsid w:val="00604B08"/>
    <w:rPr>
      <w:rFonts w:ascii="Times New Roman" w:eastAsia="Times New Roman" w:hAnsi="Times New Roman" w:cs="Times New Roman"/>
      <w:b/>
      <w:bCs/>
      <w:sz w:val="24"/>
      <w:szCs w:val="24"/>
      <w:lang w:val="en-US" w:eastAsia="de-DE"/>
    </w:rPr>
  </w:style>
  <w:style w:type="table" w:styleId="Tabellenraster">
    <w:name w:val="Table Grid"/>
    <w:basedOn w:val="NormaleTabelle"/>
    <w:uiPriority w:val="59"/>
    <w:rsid w:val="00CD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6025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Julius Johannes Dr.</dc:creator>
  <cp:keywords/>
  <dc:description/>
  <cp:lastModifiedBy>Schmidt, Julius Johannes Dr.</cp:lastModifiedBy>
  <cp:revision>4</cp:revision>
  <dcterms:created xsi:type="dcterms:W3CDTF">2021-12-31T15:16:00Z</dcterms:created>
  <dcterms:modified xsi:type="dcterms:W3CDTF">2022-03-25T14:41:00Z</dcterms:modified>
</cp:coreProperties>
</file>