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5DC27" w14:textId="77777777" w:rsidR="00556E9A" w:rsidRPr="00DC66C9" w:rsidRDefault="00556E9A" w:rsidP="00F87A2A">
      <w:pPr>
        <w:pStyle w:val="EndNoteBibliography"/>
        <w:jc w:val="center"/>
        <w:rPr>
          <w:b/>
          <w:sz w:val="24"/>
          <w:u w:val="single"/>
        </w:rPr>
      </w:pPr>
      <w:r w:rsidRPr="00DC66C9">
        <w:rPr>
          <w:b/>
          <w:sz w:val="24"/>
          <w:u w:val="single"/>
        </w:rPr>
        <w:t>SUPPLEMENT</w:t>
      </w:r>
    </w:p>
    <w:p w14:paraId="7542F75C" w14:textId="240707FE" w:rsidR="00F87A2A" w:rsidRDefault="00F87A2A" w:rsidP="00F87A2A">
      <w:pPr>
        <w:spacing w:line="276" w:lineRule="auto"/>
        <w:rPr>
          <w:rFonts w:eastAsiaTheme="minorEastAsia"/>
          <w:b/>
          <w:bCs/>
          <w:sz w:val="24"/>
          <w:szCs w:val="24"/>
        </w:rPr>
      </w:pPr>
      <w:r>
        <w:rPr>
          <w:rFonts w:eastAsiaTheme="minorEastAsia"/>
          <w:b/>
          <w:bCs/>
          <w:sz w:val="24"/>
          <w:szCs w:val="24"/>
        </w:rPr>
        <w:t>Efficacy of s</w:t>
      </w:r>
      <w:r w:rsidRPr="00D766A9">
        <w:rPr>
          <w:rFonts w:eastAsiaTheme="minorEastAsia"/>
          <w:b/>
          <w:bCs/>
          <w:sz w:val="24"/>
          <w:szCs w:val="24"/>
        </w:rPr>
        <w:t xml:space="preserve">ecukinumab </w:t>
      </w:r>
      <w:r>
        <w:rPr>
          <w:rFonts w:eastAsiaTheme="minorEastAsia"/>
          <w:b/>
          <w:bCs/>
          <w:sz w:val="24"/>
          <w:szCs w:val="24"/>
        </w:rPr>
        <w:t>and</w:t>
      </w:r>
      <w:r w:rsidRPr="00D766A9">
        <w:rPr>
          <w:rFonts w:eastAsiaTheme="minorEastAsia"/>
          <w:b/>
          <w:bCs/>
          <w:sz w:val="24"/>
          <w:szCs w:val="24"/>
        </w:rPr>
        <w:t xml:space="preserve"> </w:t>
      </w:r>
      <w:r>
        <w:rPr>
          <w:rFonts w:eastAsiaTheme="minorEastAsia"/>
          <w:b/>
          <w:bCs/>
          <w:sz w:val="24"/>
          <w:szCs w:val="24"/>
        </w:rPr>
        <w:t>a</w:t>
      </w:r>
      <w:r w:rsidRPr="00D766A9">
        <w:rPr>
          <w:rFonts w:eastAsiaTheme="minorEastAsia"/>
          <w:b/>
          <w:bCs/>
          <w:sz w:val="24"/>
          <w:szCs w:val="24"/>
        </w:rPr>
        <w:t xml:space="preserve">dalimumab in psoriatic arthritis </w:t>
      </w:r>
      <w:r>
        <w:rPr>
          <w:rFonts w:eastAsiaTheme="minorEastAsia"/>
          <w:b/>
          <w:bCs/>
          <w:sz w:val="24"/>
          <w:szCs w:val="24"/>
        </w:rPr>
        <w:t xml:space="preserve">patients </w:t>
      </w:r>
      <w:r w:rsidRPr="00D766A9">
        <w:rPr>
          <w:rFonts w:eastAsiaTheme="minorEastAsia"/>
          <w:b/>
          <w:bCs/>
          <w:sz w:val="24"/>
          <w:szCs w:val="24"/>
        </w:rPr>
        <w:t xml:space="preserve">with concomitant </w:t>
      </w:r>
      <w:r w:rsidRPr="0097283E">
        <w:rPr>
          <w:rFonts w:eastAsiaTheme="minorEastAsia"/>
          <w:b/>
          <w:bCs/>
          <w:sz w:val="24"/>
          <w:szCs w:val="24"/>
        </w:rPr>
        <w:t>moderate to severe</w:t>
      </w:r>
      <w:r w:rsidRPr="00D766A9">
        <w:rPr>
          <w:rFonts w:eastAsiaTheme="minorEastAsia"/>
          <w:b/>
          <w:bCs/>
          <w:sz w:val="24"/>
          <w:szCs w:val="24"/>
        </w:rPr>
        <w:t xml:space="preserve"> plaque psoriasis: </w:t>
      </w:r>
      <w:r>
        <w:rPr>
          <w:rFonts w:eastAsiaTheme="minorEastAsia"/>
          <w:b/>
          <w:bCs/>
          <w:sz w:val="24"/>
          <w:szCs w:val="24"/>
        </w:rPr>
        <w:t>R</w:t>
      </w:r>
      <w:r w:rsidRPr="00D766A9">
        <w:rPr>
          <w:rFonts w:eastAsiaTheme="minorEastAsia"/>
          <w:b/>
          <w:bCs/>
          <w:sz w:val="24"/>
          <w:szCs w:val="24"/>
        </w:rPr>
        <w:t>esults from the EXCEED</w:t>
      </w:r>
      <w:r w:rsidR="00B56BDC">
        <w:rPr>
          <w:rFonts w:eastAsiaTheme="minorEastAsia"/>
          <w:b/>
          <w:bCs/>
          <w:sz w:val="24"/>
          <w:szCs w:val="24"/>
        </w:rPr>
        <w:t>, a randomised</w:t>
      </w:r>
      <w:r w:rsidR="0059509A">
        <w:rPr>
          <w:rFonts w:eastAsiaTheme="minorEastAsia"/>
          <w:b/>
          <w:bCs/>
          <w:sz w:val="24"/>
          <w:szCs w:val="24"/>
        </w:rPr>
        <w:t xml:space="preserve">, </w:t>
      </w:r>
      <w:r w:rsidR="0059509A" w:rsidRPr="008334EC">
        <w:rPr>
          <w:rFonts w:eastAsiaTheme="minorEastAsia"/>
          <w:b/>
          <w:bCs/>
          <w:sz w:val="24"/>
          <w:szCs w:val="24"/>
        </w:rPr>
        <w:t>double-blind</w:t>
      </w:r>
      <w:r w:rsidR="0059509A">
        <w:rPr>
          <w:rFonts w:eastAsiaTheme="minorEastAsia"/>
          <w:b/>
          <w:bCs/>
          <w:sz w:val="24"/>
          <w:szCs w:val="24"/>
        </w:rPr>
        <w:t xml:space="preserve"> head-to-head</w:t>
      </w:r>
      <w:r w:rsidRPr="00D766A9">
        <w:rPr>
          <w:rFonts w:eastAsiaTheme="minorEastAsia"/>
          <w:b/>
          <w:bCs/>
          <w:sz w:val="24"/>
          <w:szCs w:val="24"/>
        </w:rPr>
        <w:t xml:space="preserve"> </w:t>
      </w:r>
      <w:r w:rsidR="002A4DB1">
        <w:rPr>
          <w:rFonts w:eastAsiaTheme="minorEastAsia"/>
          <w:b/>
          <w:bCs/>
          <w:sz w:val="24"/>
          <w:szCs w:val="24"/>
        </w:rPr>
        <w:t xml:space="preserve">monotherapy </w:t>
      </w:r>
      <w:r w:rsidRPr="00D766A9">
        <w:rPr>
          <w:rFonts w:eastAsiaTheme="minorEastAsia"/>
          <w:b/>
          <w:bCs/>
          <w:sz w:val="24"/>
          <w:szCs w:val="24"/>
        </w:rPr>
        <w:t xml:space="preserve">study </w:t>
      </w:r>
    </w:p>
    <w:p w14:paraId="2518835A" w14:textId="77777777" w:rsidR="00F87A2A" w:rsidRPr="00F64284" w:rsidRDefault="00F87A2A" w:rsidP="00F87A2A">
      <w:pPr>
        <w:spacing w:line="276" w:lineRule="auto"/>
        <w:rPr>
          <w:rFonts w:eastAsiaTheme="minorEastAsia"/>
          <w:b/>
          <w:bCs/>
          <w:i/>
          <w:sz w:val="24"/>
          <w:szCs w:val="24"/>
        </w:rPr>
      </w:pPr>
      <w:r>
        <w:rPr>
          <w:rFonts w:eastAsiaTheme="minorEastAsia"/>
          <w:b/>
          <w:bCs/>
          <w:sz w:val="24"/>
          <w:szCs w:val="24"/>
        </w:rPr>
        <w:t xml:space="preserve">Running Head: </w:t>
      </w:r>
      <w:r w:rsidRPr="00F64284">
        <w:rPr>
          <w:rFonts w:eastAsiaTheme="minorEastAsia"/>
          <w:b/>
          <w:bCs/>
          <w:i/>
          <w:sz w:val="24"/>
          <w:szCs w:val="24"/>
        </w:rPr>
        <w:t>Secukinumab versus Adalimumab in Psoriatic Arthritis Patients with Psoriasis</w:t>
      </w:r>
    </w:p>
    <w:p w14:paraId="3397C02D" w14:textId="7738E7C7" w:rsidR="00F87A2A" w:rsidRPr="00F87A2A" w:rsidRDefault="00F87A2A" w:rsidP="00F87A2A">
      <w:pPr>
        <w:pStyle w:val="ListParagraph"/>
        <w:numPr>
          <w:ilvl w:val="0"/>
          <w:numId w:val="5"/>
        </w:numPr>
        <w:spacing w:line="276" w:lineRule="auto"/>
        <w:rPr>
          <w:b/>
          <w:sz w:val="24"/>
          <w:szCs w:val="22"/>
        </w:rPr>
      </w:pPr>
      <w:r w:rsidRPr="00F87A2A">
        <w:rPr>
          <w:b/>
          <w:sz w:val="24"/>
          <w:szCs w:val="22"/>
        </w:rPr>
        <w:t>Supplementary Appendix S1</w:t>
      </w:r>
    </w:p>
    <w:p w14:paraId="2BA05310" w14:textId="3CF12762" w:rsidR="00F87A2A" w:rsidRDefault="00F87A2A" w:rsidP="00F87A2A">
      <w:pPr>
        <w:pStyle w:val="ListParagraph"/>
        <w:numPr>
          <w:ilvl w:val="0"/>
          <w:numId w:val="5"/>
        </w:numPr>
        <w:spacing w:line="276" w:lineRule="auto"/>
        <w:rPr>
          <w:b/>
          <w:sz w:val="24"/>
          <w:szCs w:val="22"/>
        </w:rPr>
      </w:pPr>
      <w:r w:rsidRPr="00F87A2A">
        <w:rPr>
          <w:b/>
          <w:sz w:val="24"/>
          <w:szCs w:val="22"/>
        </w:rPr>
        <w:t>Supplementary Figures: 02</w:t>
      </w:r>
    </w:p>
    <w:p w14:paraId="0A80BD5C" w14:textId="4EF8D28E" w:rsidR="00A93AA6" w:rsidRPr="00A93AA6" w:rsidRDefault="00927AC8" w:rsidP="00A93AA6">
      <w:pPr>
        <w:pStyle w:val="ListParagraph"/>
        <w:numPr>
          <w:ilvl w:val="0"/>
          <w:numId w:val="5"/>
        </w:numPr>
        <w:spacing w:line="276" w:lineRule="auto"/>
        <w:rPr>
          <w:b/>
          <w:sz w:val="24"/>
          <w:szCs w:val="22"/>
        </w:rPr>
      </w:pPr>
      <w:r w:rsidRPr="00F87A2A">
        <w:rPr>
          <w:b/>
          <w:sz w:val="24"/>
          <w:szCs w:val="22"/>
        </w:rPr>
        <w:t xml:space="preserve">Supplementary </w:t>
      </w:r>
      <w:r>
        <w:rPr>
          <w:b/>
          <w:sz w:val="24"/>
          <w:szCs w:val="22"/>
        </w:rPr>
        <w:t>Table: 01</w:t>
      </w:r>
    </w:p>
    <w:p w14:paraId="409F4875" w14:textId="3132673D" w:rsidR="00F87A2A" w:rsidRPr="00F64284" w:rsidRDefault="00F87A2A" w:rsidP="00C67ACA">
      <w:pPr>
        <w:spacing w:line="276" w:lineRule="auto"/>
        <w:rPr>
          <w:rFonts w:eastAsiaTheme="minorEastAsia"/>
          <w:sz w:val="24"/>
          <w:szCs w:val="22"/>
          <w:lang w:val="en-GB"/>
        </w:rPr>
      </w:pPr>
      <w:r>
        <w:rPr>
          <w:sz w:val="24"/>
          <w:szCs w:val="22"/>
        </w:rPr>
        <w:t>A</w:t>
      </w:r>
      <w:r w:rsidRPr="00F64284">
        <w:rPr>
          <w:sz w:val="24"/>
          <w:szCs w:val="22"/>
        </w:rPr>
        <w:t>B Gottlieb</w:t>
      </w:r>
      <w:r w:rsidRPr="00F64284">
        <w:rPr>
          <w:sz w:val="24"/>
          <w:szCs w:val="22"/>
          <w:vertAlign w:val="superscript"/>
        </w:rPr>
        <w:t>1</w:t>
      </w:r>
      <w:r w:rsidRPr="00F64284">
        <w:rPr>
          <w:sz w:val="24"/>
          <w:szCs w:val="22"/>
        </w:rPr>
        <w:t xml:space="preserve">, </w:t>
      </w:r>
      <w:r>
        <w:rPr>
          <w:sz w:val="24"/>
          <w:szCs w:val="22"/>
        </w:rPr>
        <w:t>JF</w:t>
      </w:r>
      <w:r w:rsidRPr="00F64284">
        <w:rPr>
          <w:sz w:val="24"/>
          <w:szCs w:val="22"/>
        </w:rPr>
        <w:t xml:space="preserve"> Merola</w:t>
      </w:r>
      <w:r w:rsidRPr="00F64284">
        <w:rPr>
          <w:sz w:val="24"/>
          <w:szCs w:val="22"/>
          <w:vertAlign w:val="superscript"/>
        </w:rPr>
        <w:t>2</w:t>
      </w:r>
      <w:r w:rsidRPr="00F64284">
        <w:rPr>
          <w:sz w:val="24"/>
          <w:szCs w:val="22"/>
        </w:rPr>
        <w:t xml:space="preserve">, </w:t>
      </w:r>
      <w:r>
        <w:rPr>
          <w:sz w:val="24"/>
          <w:szCs w:val="22"/>
        </w:rPr>
        <w:t>K</w:t>
      </w:r>
      <w:r w:rsidRPr="00F64284">
        <w:rPr>
          <w:sz w:val="24"/>
          <w:szCs w:val="22"/>
        </w:rPr>
        <w:t xml:space="preserve"> Reich</w:t>
      </w:r>
      <w:r w:rsidRPr="00F64284">
        <w:rPr>
          <w:sz w:val="24"/>
          <w:szCs w:val="22"/>
          <w:vertAlign w:val="superscript"/>
        </w:rPr>
        <w:t>3</w:t>
      </w:r>
      <w:r w:rsidRPr="00F64284">
        <w:rPr>
          <w:sz w:val="24"/>
          <w:szCs w:val="22"/>
        </w:rPr>
        <w:t xml:space="preserve">, </w:t>
      </w:r>
      <w:r>
        <w:rPr>
          <w:sz w:val="24"/>
          <w:szCs w:val="22"/>
        </w:rPr>
        <w:t xml:space="preserve">F </w:t>
      </w:r>
      <w:r w:rsidRPr="00F64284">
        <w:rPr>
          <w:sz w:val="24"/>
          <w:szCs w:val="22"/>
        </w:rPr>
        <w:t>Behrens</w:t>
      </w:r>
      <w:r w:rsidRPr="00F64284">
        <w:rPr>
          <w:sz w:val="24"/>
          <w:szCs w:val="22"/>
          <w:vertAlign w:val="superscript"/>
        </w:rPr>
        <w:t>4</w:t>
      </w:r>
      <w:r w:rsidRPr="00F64284">
        <w:rPr>
          <w:sz w:val="24"/>
          <w:szCs w:val="22"/>
        </w:rPr>
        <w:t xml:space="preserve">, </w:t>
      </w:r>
      <w:r>
        <w:rPr>
          <w:sz w:val="24"/>
          <w:szCs w:val="22"/>
        </w:rPr>
        <w:t>P</w:t>
      </w:r>
      <w:r w:rsidRPr="00F64284">
        <w:rPr>
          <w:sz w:val="24"/>
          <w:szCs w:val="22"/>
        </w:rPr>
        <w:t xml:space="preserve"> Nash</w:t>
      </w:r>
      <w:r w:rsidRPr="00F64284">
        <w:rPr>
          <w:sz w:val="24"/>
          <w:szCs w:val="22"/>
          <w:vertAlign w:val="superscript"/>
        </w:rPr>
        <w:t>5</w:t>
      </w:r>
      <w:r w:rsidRPr="00F64284">
        <w:rPr>
          <w:sz w:val="24"/>
          <w:szCs w:val="22"/>
        </w:rPr>
        <w:t>,</w:t>
      </w:r>
      <w:r w:rsidRPr="00F64284">
        <w:t xml:space="preserve"> </w:t>
      </w:r>
      <w:r>
        <w:rPr>
          <w:sz w:val="24"/>
          <w:szCs w:val="22"/>
        </w:rPr>
        <w:t>CEM</w:t>
      </w:r>
      <w:r w:rsidRPr="00F64284">
        <w:rPr>
          <w:sz w:val="24"/>
          <w:szCs w:val="22"/>
        </w:rPr>
        <w:t xml:space="preserve"> Griffiths</w:t>
      </w:r>
      <w:r w:rsidRPr="00F64284">
        <w:rPr>
          <w:sz w:val="24"/>
          <w:szCs w:val="22"/>
          <w:vertAlign w:val="superscript"/>
        </w:rPr>
        <w:t>6</w:t>
      </w:r>
      <w:r w:rsidRPr="00F64284">
        <w:rPr>
          <w:sz w:val="24"/>
          <w:szCs w:val="22"/>
        </w:rPr>
        <w:t xml:space="preserve">, </w:t>
      </w:r>
      <w:r>
        <w:rPr>
          <w:sz w:val="24"/>
          <w:szCs w:val="22"/>
        </w:rPr>
        <w:t>W Bao</w:t>
      </w:r>
      <w:r w:rsidRPr="00F64284">
        <w:rPr>
          <w:sz w:val="24"/>
          <w:szCs w:val="22"/>
          <w:vertAlign w:val="superscript"/>
        </w:rPr>
        <w:t>7</w:t>
      </w:r>
      <w:r w:rsidRPr="00F64284">
        <w:rPr>
          <w:sz w:val="24"/>
          <w:szCs w:val="22"/>
        </w:rPr>
        <w:t xml:space="preserve">, </w:t>
      </w:r>
      <w:r>
        <w:rPr>
          <w:sz w:val="24"/>
          <w:szCs w:val="22"/>
        </w:rPr>
        <w:t xml:space="preserve">P </w:t>
      </w:r>
      <w:r w:rsidRPr="00F64284">
        <w:rPr>
          <w:sz w:val="24"/>
          <w:szCs w:val="22"/>
        </w:rPr>
        <w:t>Pellet</w:t>
      </w:r>
      <w:r w:rsidRPr="00F64284">
        <w:rPr>
          <w:sz w:val="24"/>
          <w:szCs w:val="22"/>
          <w:vertAlign w:val="superscript"/>
        </w:rPr>
        <w:t>8</w:t>
      </w:r>
      <w:r w:rsidRPr="00F64284">
        <w:rPr>
          <w:sz w:val="24"/>
          <w:szCs w:val="22"/>
        </w:rPr>
        <w:t xml:space="preserve">, </w:t>
      </w:r>
      <w:r>
        <w:rPr>
          <w:sz w:val="24"/>
          <w:szCs w:val="22"/>
        </w:rPr>
        <w:t xml:space="preserve">L </w:t>
      </w:r>
      <w:r w:rsidRPr="00F64284">
        <w:rPr>
          <w:sz w:val="24"/>
          <w:szCs w:val="22"/>
        </w:rPr>
        <w:t>Pricop</w:t>
      </w:r>
      <w:r w:rsidRPr="00F64284">
        <w:rPr>
          <w:sz w:val="24"/>
          <w:szCs w:val="22"/>
          <w:vertAlign w:val="superscript"/>
        </w:rPr>
        <w:t>7</w:t>
      </w:r>
      <w:r w:rsidRPr="00F64284">
        <w:rPr>
          <w:sz w:val="24"/>
          <w:szCs w:val="22"/>
        </w:rPr>
        <w:t xml:space="preserve">, </w:t>
      </w:r>
      <w:r>
        <w:rPr>
          <w:sz w:val="24"/>
          <w:szCs w:val="22"/>
        </w:rPr>
        <w:t>IB</w:t>
      </w:r>
      <w:r w:rsidRPr="00F64284">
        <w:rPr>
          <w:sz w:val="24"/>
          <w:szCs w:val="22"/>
        </w:rPr>
        <w:t xml:space="preserve"> McInnes</w:t>
      </w:r>
      <w:r w:rsidRPr="00F64284">
        <w:rPr>
          <w:sz w:val="24"/>
          <w:szCs w:val="22"/>
          <w:vertAlign w:val="superscript"/>
        </w:rPr>
        <w:t>9</w:t>
      </w:r>
    </w:p>
    <w:p w14:paraId="39AB7A75"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1</w:t>
      </w:r>
      <w:r w:rsidRPr="00F64284">
        <w:rPr>
          <w:rFonts w:eastAsiaTheme="minorEastAsia"/>
          <w:sz w:val="24"/>
          <w:szCs w:val="24"/>
          <w:lang w:val="en-GB"/>
        </w:rPr>
        <w:t>Department of Dermatology, Icahn School of Medicine at Mount Sinai, New York, United States</w:t>
      </w:r>
    </w:p>
    <w:p w14:paraId="0285BF10"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2</w:t>
      </w:r>
      <w:r w:rsidRPr="00F64284">
        <w:rPr>
          <w:rFonts w:eastAsiaTheme="minorEastAsia"/>
          <w:sz w:val="24"/>
          <w:szCs w:val="24"/>
          <w:lang w:val="en-GB"/>
        </w:rPr>
        <w:t>Brigham and Women's Hospital, Harvard Medical School, Boston, United States</w:t>
      </w:r>
    </w:p>
    <w:p w14:paraId="5FFF7325" w14:textId="77777777" w:rsidR="00F87A2A" w:rsidRDefault="00F87A2A" w:rsidP="00F87A2A">
      <w:pPr>
        <w:spacing w:line="276" w:lineRule="auto"/>
        <w:rPr>
          <w:rFonts w:eastAsiaTheme="minorEastAsia"/>
          <w:sz w:val="24"/>
          <w:szCs w:val="24"/>
          <w:lang w:val="en-GB"/>
        </w:rPr>
      </w:pPr>
      <w:r w:rsidRPr="00CE4A34">
        <w:rPr>
          <w:rFonts w:eastAsiaTheme="minorEastAsia"/>
          <w:sz w:val="24"/>
          <w:szCs w:val="24"/>
          <w:vertAlign w:val="superscript"/>
          <w:lang w:val="en-GB"/>
        </w:rPr>
        <w:t>3</w:t>
      </w:r>
      <w:r w:rsidRPr="00CE4A34">
        <w:rPr>
          <w:rFonts w:eastAsiaTheme="minorEastAsia"/>
          <w:sz w:val="24"/>
          <w:szCs w:val="24"/>
          <w:lang w:val="en-GB"/>
        </w:rPr>
        <w:t>Translational Research in Inflammatory Skin Diseases, Institute for Health Services Research in Dermatology and Nursing, University Medical Center Hamburg- Eppendorf, Hamburg, Germany</w:t>
      </w:r>
    </w:p>
    <w:p w14:paraId="65F14455"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4</w:t>
      </w:r>
      <w:r w:rsidRPr="00F64284">
        <w:rPr>
          <w:rFonts w:eastAsiaTheme="minorEastAsia"/>
          <w:sz w:val="24"/>
          <w:szCs w:val="24"/>
          <w:lang w:val="en-GB"/>
        </w:rPr>
        <w:t>Rheumatology University Hospital and Fraunhofer Institute for Molecular Biology and Applied Ecology IME, Branch for Translational Medicine and Pharmacology TMP and Fraunhofer Cluster of Excellence for Immune-Mediated Diseases CIMD, Goethe University, Frankfurt, Germany</w:t>
      </w:r>
    </w:p>
    <w:p w14:paraId="73D76551"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5</w:t>
      </w:r>
      <w:r w:rsidRPr="00F64284">
        <w:rPr>
          <w:rFonts w:eastAsiaTheme="minorEastAsia"/>
          <w:sz w:val="24"/>
          <w:szCs w:val="24"/>
          <w:lang w:val="en-GB"/>
        </w:rPr>
        <w:t>Department of Medicine, Griffith University, Brisbane, Australia</w:t>
      </w:r>
    </w:p>
    <w:p w14:paraId="2956B89B" w14:textId="77777777" w:rsidR="00F87A2A"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6</w:t>
      </w:r>
      <w:r w:rsidRPr="000255A3">
        <w:rPr>
          <w:rFonts w:eastAsiaTheme="minorEastAsia"/>
          <w:sz w:val="24"/>
          <w:szCs w:val="24"/>
          <w:lang w:val="en-GB"/>
        </w:rPr>
        <w:t>The Dermatology Centre, Salford Royal NHS Foundation Trust, NIHR Manchester Biomedical Research Centre, University of Manchester, Manchester, United Kingdom</w:t>
      </w:r>
      <w:r w:rsidRPr="000255A3" w:rsidDel="000255A3">
        <w:rPr>
          <w:rFonts w:eastAsiaTheme="minorEastAsia"/>
          <w:sz w:val="24"/>
          <w:szCs w:val="24"/>
          <w:lang w:val="en-GB"/>
        </w:rPr>
        <w:t xml:space="preserve"> </w:t>
      </w:r>
    </w:p>
    <w:p w14:paraId="7EF4E699" w14:textId="77777777" w:rsidR="00F87A2A" w:rsidRPr="00F64284" w:rsidRDefault="00F87A2A" w:rsidP="00F87A2A">
      <w:pPr>
        <w:spacing w:line="276" w:lineRule="auto"/>
        <w:rPr>
          <w:rFonts w:eastAsiaTheme="minorEastAsia"/>
          <w:sz w:val="24"/>
          <w:szCs w:val="24"/>
          <w:vertAlign w:val="superscript"/>
          <w:lang w:val="en-GB"/>
        </w:rPr>
      </w:pPr>
      <w:r w:rsidRPr="00F64284">
        <w:rPr>
          <w:rFonts w:eastAsiaTheme="minorEastAsia"/>
          <w:sz w:val="24"/>
          <w:szCs w:val="24"/>
          <w:vertAlign w:val="superscript"/>
          <w:lang w:val="en-GB"/>
        </w:rPr>
        <w:t>7</w:t>
      </w:r>
      <w:r w:rsidRPr="00F64284">
        <w:rPr>
          <w:rFonts w:eastAsiaTheme="minorEastAsia"/>
          <w:sz w:val="24"/>
          <w:szCs w:val="24"/>
          <w:lang w:val="en-GB"/>
        </w:rPr>
        <w:t>Novartis Pharmaceuticals Corporation, East Hanover, United States</w:t>
      </w:r>
    </w:p>
    <w:p w14:paraId="143F890D"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8</w:t>
      </w:r>
      <w:r w:rsidRPr="00F64284">
        <w:rPr>
          <w:rFonts w:eastAsiaTheme="minorEastAsia"/>
          <w:sz w:val="24"/>
          <w:szCs w:val="24"/>
          <w:lang w:val="en-GB"/>
        </w:rPr>
        <w:t>Novartis Pharma AG, Basel, Switzerland</w:t>
      </w:r>
    </w:p>
    <w:p w14:paraId="647968CC"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7</w:t>
      </w:r>
      <w:r w:rsidRPr="00F64284">
        <w:rPr>
          <w:rFonts w:eastAsiaTheme="minorEastAsia"/>
          <w:sz w:val="24"/>
          <w:szCs w:val="24"/>
          <w:lang w:val="en-GB"/>
        </w:rPr>
        <w:t>Novartis Pharmaceuticals Corporation, East Hanover, United States</w:t>
      </w:r>
    </w:p>
    <w:p w14:paraId="20B65957" w14:textId="77777777" w:rsidR="00F87A2A" w:rsidRPr="00F64284" w:rsidRDefault="00F87A2A" w:rsidP="00F87A2A">
      <w:pPr>
        <w:spacing w:line="276" w:lineRule="auto"/>
        <w:rPr>
          <w:rFonts w:eastAsiaTheme="minorEastAsia"/>
          <w:sz w:val="24"/>
          <w:szCs w:val="24"/>
          <w:lang w:val="en-GB"/>
        </w:rPr>
      </w:pPr>
      <w:r w:rsidRPr="00F64284">
        <w:rPr>
          <w:rFonts w:eastAsiaTheme="minorEastAsia"/>
          <w:sz w:val="24"/>
          <w:szCs w:val="24"/>
          <w:vertAlign w:val="superscript"/>
          <w:lang w:val="en-GB"/>
        </w:rPr>
        <w:t>9</w:t>
      </w:r>
      <w:r w:rsidRPr="00F64284">
        <w:rPr>
          <w:rFonts w:eastAsiaTheme="minorEastAsia"/>
          <w:sz w:val="24"/>
          <w:szCs w:val="24"/>
          <w:lang w:val="en-GB"/>
        </w:rPr>
        <w:t>University of Glasgow, Glasgow, United Kingdom</w:t>
      </w:r>
    </w:p>
    <w:p w14:paraId="0E8E226B" w14:textId="77777777" w:rsidR="00F87A2A" w:rsidRPr="00F64284" w:rsidRDefault="00F87A2A" w:rsidP="00F87A2A">
      <w:pPr>
        <w:spacing w:after="0" w:line="276" w:lineRule="auto"/>
        <w:rPr>
          <w:rFonts w:eastAsiaTheme="minorEastAsia"/>
          <w:b/>
          <w:sz w:val="24"/>
          <w:szCs w:val="24"/>
          <w:lang w:val="en-GB"/>
        </w:rPr>
      </w:pPr>
    </w:p>
    <w:p w14:paraId="7DCB251B" w14:textId="77777777" w:rsidR="00F87A2A" w:rsidRDefault="00F87A2A" w:rsidP="00F87A2A">
      <w:pPr>
        <w:spacing w:after="0" w:line="276" w:lineRule="auto"/>
        <w:rPr>
          <w:rFonts w:eastAsiaTheme="minorEastAsia"/>
          <w:b/>
          <w:sz w:val="24"/>
          <w:szCs w:val="24"/>
          <w:lang w:val="en-GB"/>
        </w:rPr>
      </w:pPr>
    </w:p>
    <w:p w14:paraId="755B6C86" w14:textId="4F22F95C" w:rsidR="00F87A2A" w:rsidRDefault="00F87A2A" w:rsidP="00F87A2A">
      <w:pPr>
        <w:spacing w:after="0" w:line="276" w:lineRule="auto"/>
        <w:rPr>
          <w:rFonts w:eastAsiaTheme="minorEastAsia"/>
          <w:b/>
          <w:sz w:val="24"/>
          <w:szCs w:val="24"/>
          <w:lang w:val="en-GB"/>
        </w:rPr>
      </w:pPr>
    </w:p>
    <w:p w14:paraId="0BC52514" w14:textId="77777777" w:rsidR="002A4DB1" w:rsidRDefault="002A4DB1" w:rsidP="00F87A2A">
      <w:pPr>
        <w:spacing w:after="0" w:line="276" w:lineRule="auto"/>
        <w:rPr>
          <w:rFonts w:eastAsiaTheme="minorEastAsia"/>
          <w:b/>
          <w:sz w:val="24"/>
          <w:szCs w:val="24"/>
          <w:lang w:val="en-GB"/>
        </w:rPr>
      </w:pPr>
    </w:p>
    <w:p w14:paraId="4F5F4A4A" w14:textId="77777777" w:rsidR="00F87A2A" w:rsidRDefault="00F87A2A" w:rsidP="00F87A2A">
      <w:pPr>
        <w:spacing w:after="0" w:line="276" w:lineRule="auto"/>
        <w:rPr>
          <w:rFonts w:eastAsiaTheme="minorEastAsia"/>
          <w:b/>
          <w:sz w:val="24"/>
          <w:szCs w:val="24"/>
          <w:lang w:val="en-GB"/>
        </w:rPr>
      </w:pPr>
    </w:p>
    <w:p w14:paraId="60CE61CF" w14:textId="7B6CE7EF" w:rsidR="00F87A2A" w:rsidRPr="00F64284" w:rsidRDefault="00F87A2A" w:rsidP="00F87A2A">
      <w:pPr>
        <w:spacing w:after="0" w:line="276" w:lineRule="auto"/>
        <w:rPr>
          <w:rFonts w:eastAsiaTheme="minorEastAsia"/>
          <w:b/>
          <w:sz w:val="24"/>
          <w:szCs w:val="24"/>
          <w:lang w:val="en-GB"/>
        </w:rPr>
      </w:pPr>
      <w:r w:rsidRPr="00F64284">
        <w:rPr>
          <w:rFonts w:eastAsiaTheme="minorEastAsia"/>
          <w:b/>
          <w:sz w:val="24"/>
          <w:szCs w:val="24"/>
          <w:lang w:val="en-GB"/>
        </w:rPr>
        <w:lastRenderedPageBreak/>
        <w:t>Corresponding author:</w:t>
      </w:r>
      <w:r w:rsidRPr="00F64284">
        <w:rPr>
          <w:rFonts w:eastAsiaTheme="minorEastAsia"/>
          <w:sz w:val="24"/>
          <w:szCs w:val="24"/>
          <w:lang w:val="en-GB"/>
        </w:rPr>
        <w:t xml:space="preserve">   </w:t>
      </w:r>
      <w:r>
        <w:rPr>
          <w:rFonts w:eastAsiaTheme="minorEastAsia"/>
          <w:sz w:val="24"/>
          <w:szCs w:val="24"/>
          <w:lang w:val="en-GB"/>
        </w:rPr>
        <w:t xml:space="preserve">  </w:t>
      </w:r>
      <w:r w:rsidRPr="00A6659C">
        <w:rPr>
          <w:rFonts w:eastAsiaTheme="minorEastAsia"/>
          <w:b/>
          <w:sz w:val="24"/>
          <w:szCs w:val="24"/>
          <w:lang w:val="en-GB"/>
        </w:rPr>
        <w:t>Alice B. Gottlieb MD, PhD</w:t>
      </w:r>
    </w:p>
    <w:p w14:paraId="688B380F" w14:textId="77777777" w:rsidR="00F87A2A" w:rsidRPr="00F64284" w:rsidRDefault="00F87A2A" w:rsidP="00F87A2A">
      <w:pPr>
        <w:spacing w:after="0" w:line="276" w:lineRule="auto"/>
        <w:ind w:left="2160"/>
        <w:rPr>
          <w:rFonts w:eastAsiaTheme="minorEastAsia"/>
          <w:sz w:val="24"/>
          <w:szCs w:val="24"/>
          <w:lang w:val="en-GB"/>
        </w:rPr>
      </w:pPr>
      <w:r w:rsidRPr="00F64284">
        <w:rPr>
          <w:rFonts w:eastAsiaTheme="minorEastAsia"/>
          <w:sz w:val="24"/>
          <w:szCs w:val="24"/>
          <w:lang w:val="en-GB"/>
        </w:rPr>
        <w:t xml:space="preserve">       </w:t>
      </w:r>
      <w:r>
        <w:rPr>
          <w:rFonts w:eastAsiaTheme="minorEastAsia"/>
          <w:sz w:val="24"/>
          <w:szCs w:val="24"/>
          <w:lang w:val="en-GB"/>
        </w:rPr>
        <w:t xml:space="preserve">     </w:t>
      </w:r>
      <w:r w:rsidRPr="00F64284">
        <w:rPr>
          <w:rFonts w:eastAsiaTheme="minorEastAsia"/>
          <w:sz w:val="24"/>
          <w:szCs w:val="24"/>
          <w:lang w:val="en-GB"/>
        </w:rPr>
        <w:t>Department of Dermatology</w:t>
      </w:r>
    </w:p>
    <w:p w14:paraId="3FF28CF0" w14:textId="77777777" w:rsidR="00F87A2A" w:rsidRPr="00F64284" w:rsidRDefault="00F87A2A" w:rsidP="00F87A2A">
      <w:pPr>
        <w:spacing w:after="0" w:line="276" w:lineRule="auto"/>
        <w:rPr>
          <w:rFonts w:eastAsiaTheme="minorEastAsia"/>
          <w:sz w:val="24"/>
          <w:szCs w:val="24"/>
          <w:lang w:val="en-GB"/>
        </w:rPr>
      </w:pPr>
      <w:r w:rsidRPr="00F64284">
        <w:rPr>
          <w:rFonts w:eastAsiaTheme="minorEastAsia"/>
          <w:sz w:val="24"/>
          <w:szCs w:val="24"/>
          <w:lang w:val="en-GB"/>
        </w:rPr>
        <w:t xml:space="preserve">                                           </w:t>
      </w:r>
      <w:r>
        <w:rPr>
          <w:rFonts w:eastAsiaTheme="minorEastAsia"/>
          <w:sz w:val="24"/>
          <w:szCs w:val="24"/>
          <w:lang w:val="en-GB"/>
        </w:rPr>
        <w:t xml:space="preserve"> </w:t>
      </w:r>
      <w:r w:rsidRPr="00F64284">
        <w:rPr>
          <w:rFonts w:eastAsiaTheme="minorEastAsia"/>
          <w:sz w:val="24"/>
          <w:szCs w:val="24"/>
          <w:lang w:val="en-GB"/>
        </w:rPr>
        <w:t>Icahn School of Medicine at Mount Sinai</w:t>
      </w:r>
    </w:p>
    <w:p w14:paraId="5715A5D5" w14:textId="77777777" w:rsidR="00F87A2A" w:rsidRPr="00F64284" w:rsidRDefault="00F87A2A" w:rsidP="00F87A2A">
      <w:pPr>
        <w:spacing w:after="0" w:line="276" w:lineRule="auto"/>
        <w:rPr>
          <w:rFonts w:eastAsiaTheme="minorEastAsia"/>
          <w:sz w:val="24"/>
          <w:szCs w:val="24"/>
          <w:lang w:val="en-GB"/>
        </w:rPr>
      </w:pPr>
      <w:r w:rsidRPr="00F64284">
        <w:rPr>
          <w:rFonts w:eastAsiaTheme="minorEastAsia"/>
          <w:sz w:val="24"/>
          <w:szCs w:val="24"/>
          <w:lang w:val="en-GB"/>
        </w:rPr>
        <w:t xml:space="preserve">                                           </w:t>
      </w:r>
      <w:r>
        <w:rPr>
          <w:rFonts w:eastAsiaTheme="minorEastAsia"/>
          <w:sz w:val="24"/>
          <w:szCs w:val="24"/>
          <w:lang w:val="en-GB"/>
        </w:rPr>
        <w:t xml:space="preserve"> </w:t>
      </w:r>
      <w:r w:rsidRPr="00F64284">
        <w:rPr>
          <w:rFonts w:eastAsiaTheme="minorEastAsia"/>
          <w:sz w:val="24"/>
          <w:szCs w:val="24"/>
          <w:lang w:val="en-GB"/>
        </w:rPr>
        <w:t>10 Union Square East, New York</w:t>
      </w:r>
    </w:p>
    <w:p w14:paraId="7487C3A1" w14:textId="77777777" w:rsidR="00F87A2A" w:rsidRPr="00F64284" w:rsidRDefault="00F87A2A" w:rsidP="00F87A2A">
      <w:pPr>
        <w:spacing w:after="0" w:line="276" w:lineRule="auto"/>
        <w:rPr>
          <w:rFonts w:eastAsiaTheme="minorEastAsia"/>
          <w:sz w:val="24"/>
          <w:szCs w:val="24"/>
          <w:lang w:val="en-GB"/>
        </w:rPr>
      </w:pPr>
      <w:r w:rsidRPr="00F64284">
        <w:rPr>
          <w:rFonts w:eastAsiaTheme="minorEastAsia"/>
          <w:sz w:val="24"/>
          <w:szCs w:val="24"/>
          <w:lang w:val="en-GB"/>
        </w:rPr>
        <w:t xml:space="preserve">                                           </w:t>
      </w:r>
      <w:r>
        <w:rPr>
          <w:rFonts w:eastAsiaTheme="minorEastAsia"/>
          <w:sz w:val="24"/>
          <w:szCs w:val="24"/>
          <w:lang w:val="en-GB"/>
        </w:rPr>
        <w:t xml:space="preserve"> </w:t>
      </w:r>
      <w:r w:rsidRPr="00F64284">
        <w:rPr>
          <w:rFonts w:eastAsiaTheme="minorEastAsia"/>
          <w:sz w:val="24"/>
          <w:szCs w:val="24"/>
          <w:lang w:val="en-GB"/>
        </w:rPr>
        <w:t>New York 10003, United States</w:t>
      </w:r>
    </w:p>
    <w:p w14:paraId="1768DCDE" w14:textId="77777777" w:rsidR="00F87A2A" w:rsidRPr="00A6659C" w:rsidRDefault="00F87A2A" w:rsidP="00F87A2A">
      <w:pPr>
        <w:spacing w:after="0" w:line="276" w:lineRule="auto"/>
        <w:rPr>
          <w:sz w:val="24"/>
          <w:lang w:val="pt-BR"/>
        </w:rPr>
      </w:pPr>
      <w:r w:rsidRPr="00F64284">
        <w:rPr>
          <w:rFonts w:eastAsiaTheme="minorEastAsia"/>
          <w:sz w:val="24"/>
          <w:szCs w:val="24"/>
          <w:lang w:val="en-GB"/>
        </w:rPr>
        <w:t xml:space="preserve">                                           </w:t>
      </w:r>
      <w:r>
        <w:rPr>
          <w:rFonts w:eastAsiaTheme="minorEastAsia"/>
          <w:sz w:val="24"/>
          <w:szCs w:val="24"/>
          <w:lang w:val="en-GB"/>
        </w:rPr>
        <w:t xml:space="preserve"> </w:t>
      </w:r>
      <w:r w:rsidRPr="00A6659C">
        <w:rPr>
          <w:sz w:val="24"/>
          <w:lang w:val="pt-BR"/>
        </w:rPr>
        <w:t>Tel: +2128448800</w:t>
      </w:r>
    </w:p>
    <w:p w14:paraId="2CEE0159" w14:textId="77777777" w:rsidR="00F87A2A" w:rsidRPr="00A6659C" w:rsidRDefault="00F87A2A" w:rsidP="00F87A2A">
      <w:pPr>
        <w:spacing w:after="0" w:line="276" w:lineRule="auto"/>
        <w:rPr>
          <w:sz w:val="24"/>
          <w:lang w:val="pt-BR"/>
        </w:rPr>
      </w:pPr>
      <w:r w:rsidRPr="00A6659C">
        <w:rPr>
          <w:sz w:val="24"/>
          <w:lang w:val="pt-BR"/>
        </w:rPr>
        <w:t xml:space="preserve">                                            E-mail: </w:t>
      </w:r>
      <w:hyperlink r:id="rId10" w:history="1">
        <w:r w:rsidRPr="00A6659C">
          <w:rPr>
            <w:rStyle w:val="Hyperlink"/>
            <w:sz w:val="24"/>
            <w:lang w:val="pt-BR"/>
          </w:rPr>
          <w:t>alice.gottlieb@mountsinai.org</w:t>
        </w:r>
      </w:hyperlink>
    </w:p>
    <w:p w14:paraId="41B67EDC" w14:textId="77777777" w:rsidR="00F87A2A" w:rsidRDefault="00F87A2A" w:rsidP="00F87A2A">
      <w:pPr>
        <w:spacing w:before="240" w:after="0" w:line="360" w:lineRule="auto"/>
        <w:rPr>
          <w:b/>
          <w:sz w:val="24"/>
          <w:szCs w:val="24"/>
          <w:lang w:val="de-CH"/>
        </w:rPr>
      </w:pPr>
      <w:r w:rsidRPr="00F64284">
        <w:rPr>
          <w:b/>
          <w:sz w:val="24"/>
          <w:szCs w:val="24"/>
          <w:lang w:val="de-CH"/>
        </w:rPr>
        <w:t xml:space="preserve">Funding: </w:t>
      </w:r>
      <w:r w:rsidRPr="00F64284">
        <w:rPr>
          <w:sz w:val="24"/>
          <w:szCs w:val="24"/>
          <w:lang w:val="de-CH"/>
        </w:rPr>
        <w:t>Novartis Pharma AG, Basel, Switzerland</w:t>
      </w:r>
    </w:p>
    <w:p w14:paraId="4E07ECE1" w14:textId="77777777" w:rsidR="00F87A2A" w:rsidRDefault="00F87A2A" w:rsidP="00556E9A">
      <w:pPr>
        <w:spacing w:before="240" w:after="0" w:line="360" w:lineRule="auto"/>
        <w:rPr>
          <w:rFonts w:eastAsiaTheme="minorEastAsia"/>
          <w:b/>
          <w:sz w:val="24"/>
          <w:szCs w:val="24"/>
          <w:u w:val="single"/>
          <w:lang w:val="en-GB"/>
        </w:rPr>
      </w:pPr>
    </w:p>
    <w:p w14:paraId="364C424B" w14:textId="77777777" w:rsidR="00F87A2A" w:rsidRDefault="00F87A2A" w:rsidP="00556E9A">
      <w:pPr>
        <w:spacing w:before="240" w:after="0" w:line="360" w:lineRule="auto"/>
        <w:rPr>
          <w:rFonts w:eastAsiaTheme="minorEastAsia"/>
          <w:b/>
          <w:sz w:val="24"/>
          <w:szCs w:val="24"/>
          <w:u w:val="single"/>
          <w:lang w:val="en-GB"/>
        </w:rPr>
      </w:pPr>
    </w:p>
    <w:p w14:paraId="06F8F1A0" w14:textId="77777777" w:rsidR="00F87A2A" w:rsidRDefault="00F87A2A" w:rsidP="00556E9A">
      <w:pPr>
        <w:spacing w:before="240" w:after="0" w:line="360" w:lineRule="auto"/>
        <w:rPr>
          <w:rFonts w:eastAsiaTheme="minorEastAsia"/>
          <w:b/>
          <w:sz w:val="24"/>
          <w:szCs w:val="24"/>
          <w:u w:val="single"/>
          <w:lang w:val="en-GB"/>
        </w:rPr>
      </w:pPr>
    </w:p>
    <w:p w14:paraId="3A080821" w14:textId="77777777" w:rsidR="00F87A2A" w:rsidRDefault="00F87A2A" w:rsidP="00556E9A">
      <w:pPr>
        <w:spacing w:before="240" w:after="0" w:line="360" w:lineRule="auto"/>
        <w:rPr>
          <w:rFonts w:eastAsiaTheme="minorEastAsia"/>
          <w:b/>
          <w:sz w:val="24"/>
          <w:szCs w:val="24"/>
          <w:u w:val="single"/>
          <w:lang w:val="en-GB"/>
        </w:rPr>
      </w:pPr>
    </w:p>
    <w:p w14:paraId="75CE40C9" w14:textId="77777777" w:rsidR="00F87A2A" w:rsidRDefault="00F87A2A" w:rsidP="00556E9A">
      <w:pPr>
        <w:spacing w:before="240" w:after="0" w:line="360" w:lineRule="auto"/>
        <w:rPr>
          <w:rFonts w:eastAsiaTheme="minorEastAsia"/>
          <w:b/>
          <w:sz w:val="24"/>
          <w:szCs w:val="24"/>
          <w:u w:val="single"/>
          <w:lang w:val="en-GB"/>
        </w:rPr>
      </w:pPr>
    </w:p>
    <w:p w14:paraId="148C77F5" w14:textId="77777777" w:rsidR="00F87A2A" w:rsidRDefault="00F87A2A" w:rsidP="00556E9A">
      <w:pPr>
        <w:spacing w:before="240" w:after="0" w:line="360" w:lineRule="auto"/>
        <w:rPr>
          <w:rFonts w:eastAsiaTheme="minorEastAsia"/>
          <w:b/>
          <w:sz w:val="24"/>
          <w:szCs w:val="24"/>
          <w:u w:val="single"/>
          <w:lang w:val="en-GB"/>
        </w:rPr>
      </w:pPr>
    </w:p>
    <w:p w14:paraId="5B7EB22C" w14:textId="77777777" w:rsidR="00F87A2A" w:rsidRDefault="00F87A2A" w:rsidP="00556E9A">
      <w:pPr>
        <w:spacing w:before="240" w:after="0" w:line="360" w:lineRule="auto"/>
        <w:rPr>
          <w:rFonts w:eastAsiaTheme="minorEastAsia"/>
          <w:b/>
          <w:sz w:val="24"/>
          <w:szCs w:val="24"/>
          <w:u w:val="single"/>
          <w:lang w:val="en-GB"/>
        </w:rPr>
      </w:pPr>
    </w:p>
    <w:p w14:paraId="6B44419D" w14:textId="77777777" w:rsidR="00F87A2A" w:rsidRDefault="00F87A2A" w:rsidP="00556E9A">
      <w:pPr>
        <w:spacing w:before="240" w:after="0" w:line="360" w:lineRule="auto"/>
        <w:rPr>
          <w:rFonts w:eastAsiaTheme="minorEastAsia"/>
          <w:b/>
          <w:sz w:val="24"/>
          <w:szCs w:val="24"/>
          <w:u w:val="single"/>
          <w:lang w:val="en-GB"/>
        </w:rPr>
      </w:pPr>
    </w:p>
    <w:p w14:paraId="0EF1F259" w14:textId="77777777" w:rsidR="00F87A2A" w:rsidRDefault="00F87A2A" w:rsidP="00556E9A">
      <w:pPr>
        <w:spacing w:before="240" w:after="0" w:line="360" w:lineRule="auto"/>
        <w:rPr>
          <w:rFonts w:eastAsiaTheme="minorEastAsia"/>
          <w:b/>
          <w:sz w:val="24"/>
          <w:szCs w:val="24"/>
          <w:u w:val="single"/>
          <w:lang w:val="en-GB"/>
        </w:rPr>
      </w:pPr>
    </w:p>
    <w:p w14:paraId="1E91DB67" w14:textId="77777777" w:rsidR="00F87A2A" w:rsidRDefault="00F87A2A" w:rsidP="00556E9A">
      <w:pPr>
        <w:spacing w:before="240" w:after="0" w:line="360" w:lineRule="auto"/>
        <w:rPr>
          <w:rFonts w:eastAsiaTheme="minorEastAsia"/>
          <w:b/>
          <w:sz w:val="24"/>
          <w:szCs w:val="24"/>
          <w:u w:val="single"/>
          <w:lang w:val="en-GB"/>
        </w:rPr>
      </w:pPr>
    </w:p>
    <w:p w14:paraId="52A7E45F" w14:textId="77777777" w:rsidR="00F87A2A" w:rsidRDefault="00F87A2A" w:rsidP="00556E9A">
      <w:pPr>
        <w:spacing w:before="240" w:after="0" w:line="360" w:lineRule="auto"/>
        <w:rPr>
          <w:rFonts w:eastAsiaTheme="minorEastAsia"/>
          <w:b/>
          <w:sz w:val="24"/>
          <w:szCs w:val="24"/>
          <w:u w:val="single"/>
          <w:lang w:val="en-GB"/>
        </w:rPr>
      </w:pPr>
    </w:p>
    <w:p w14:paraId="5D3AC17F" w14:textId="77777777" w:rsidR="00F87A2A" w:rsidRDefault="00F87A2A" w:rsidP="00556E9A">
      <w:pPr>
        <w:spacing w:before="240" w:after="0" w:line="360" w:lineRule="auto"/>
        <w:rPr>
          <w:rFonts w:eastAsiaTheme="minorEastAsia"/>
          <w:b/>
          <w:sz w:val="24"/>
          <w:szCs w:val="24"/>
          <w:u w:val="single"/>
          <w:lang w:val="en-GB"/>
        </w:rPr>
      </w:pPr>
    </w:p>
    <w:p w14:paraId="36EF7F3D" w14:textId="77777777" w:rsidR="00F87A2A" w:rsidRDefault="00F87A2A" w:rsidP="00556E9A">
      <w:pPr>
        <w:spacing w:before="240" w:after="0" w:line="360" w:lineRule="auto"/>
        <w:rPr>
          <w:rFonts w:eastAsiaTheme="minorEastAsia"/>
          <w:b/>
          <w:sz w:val="24"/>
          <w:szCs w:val="24"/>
          <w:u w:val="single"/>
          <w:lang w:val="en-GB"/>
        </w:rPr>
      </w:pPr>
    </w:p>
    <w:p w14:paraId="2E640375" w14:textId="77777777" w:rsidR="00F87A2A" w:rsidRDefault="00F87A2A" w:rsidP="00556E9A">
      <w:pPr>
        <w:spacing w:before="240" w:after="0" w:line="360" w:lineRule="auto"/>
        <w:rPr>
          <w:rFonts w:eastAsiaTheme="minorEastAsia"/>
          <w:b/>
          <w:sz w:val="24"/>
          <w:szCs w:val="24"/>
          <w:u w:val="single"/>
          <w:lang w:val="en-GB"/>
        </w:rPr>
      </w:pPr>
    </w:p>
    <w:p w14:paraId="6798B467" w14:textId="77777777" w:rsidR="00F87A2A" w:rsidRDefault="00F87A2A" w:rsidP="00556E9A">
      <w:pPr>
        <w:spacing w:before="240" w:after="0" w:line="360" w:lineRule="auto"/>
        <w:rPr>
          <w:rFonts w:eastAsiaTheme="minorEastAsia"/>
          <w:b/>
          <w:sz w:val="24"/>
          <w:szCs w:val="24"/>
          <w:u w:val="single"/>
          <w:lang w:val="en-GB"/>
        </w:rPr>
      </w:pPr>
    </w:p>
    <w:p w14:paraId="315B8415" w14:textId="45B90F9C" w:rsidR="00556E9A" w:rsidRPr="00F87A2A" w:rsidRDefault="00C70E0C" w:rsidP="00556E9A">
      <w:pPr>
        <w:spacing w:before="240" w:after="0" w:line="360" w:lineRule="auto"/>
        <w:rPr>
          <w:rFonts w:eastAsiaTheme="minorEastAsia"/>
          <w:b/>
          <w:sz w:val="24"/>
          <w:szCs w:val="24"/>
          <w:u w:val="single"/>
          <w:lang w:val="en-GB"/>
        </w:rPr>
      </w:pPr>
      <w:r w:rsidRPr="00F87A2A">
        <w:rPr>
          <w:rFonts w:eastAsiaTheme="minorEastAsia"/>
          <w:b/>
          <w:sz w:val="24"/>
          <w:szCs w:val="24"/>
          <w:u w:val="single"/>
          <w:lang w:val="en-GB"/>
        </w:rPr>
        <w:lastRenderedPageBreak/>
        <w:t xml:space="preserve">Appendix S1: </w:t>
      </w:r>
      <w:r w:rsidR="00556E9A" w:rsidRPr="00F87A2A">
        <w:rPr>
          <w:rFonts w:eastAsiaTheme="minorEastAsia"/>
          <w:b/>
          <w:sz w:val="24"/>
          <w:szCs w:val="24"/>
          <w:u w:val="single"/>
          <w:lang w:val="en-GB"/>
        </w:rPr>
        <w:t>Clinical Assessments</w:t>
      </w:r>
    </w:p>
    <w:p w14:paraId="1EE6F126" w14:textId="77777777" w:rsidR="00556E9A" w:rsidRPr="00346808" w:rsidRDefault="00556E9A" w:rsidP="00556E9A">
      <w:pPr>
        <w:pStyle w:val="ListParagraph"/>
        <w:numPr>
          <w:ilvl w:val="0"/>
          <w:numId w:val="2"/>
        </w:numPr>
        <w:spacing w:before="240" w:after="0" w:line="360" w:lineRule="auto"/>
        <w:rPr>
          <w:rFonts w:eastAsiaTheme="minorEastAsia"/>
          <w:b/>
          <w:sz w:val="24"/>
          <w:szCs w:val="24"/>
          <w:lang w:val="en-GB"/>
        </w:rPr>
      </w:pPr>
      <w:r w:rsidRPr="00346808">
        <w:rPr>
          <w:rFonts w:eastAsiaTheme="minorEastAsia"/>
          <w:b/>
          <w:sz w:val="24"/>
          <w:szCs w:val="24"/>
          <w:lang w:val="en-GB"/>
        </w:rPr>
        <w:t>Musculoskeletal outcomes:</w:t>
      </w:r>
    </w:p>
    <w:p w14:paraId="1CBDF847" w14:textId="5DCA0553" w:rsidR="00556E9A" w:rsidRDefault="00556E9A" w:rsidP="00556E9A">
      <w:pPr>
        <w:spacing w:before="240" w:after="0" w:line="360" w:lineRule="auto"/>
        <w:rPr>
          <w:rFonts w:eastAsiaTheme="minorEastAsia"/>
          <w:sz w:val="24"/>
          <w:szCs w:val="24"/>
          <w:lang w:val="en-GB"/>
        </w:rPr>
      </w:pPr>
      <w:r>
        <w:rPr>
          <w:rFonts w:eastAsiaTheme="minorEastAsia"/>
          <w:sz w:val="24"/>
          <w:szCs w:val="24"/>
          <w:lang w:val="en-GB"/>
        </w:rPr>
        <w:t xml:space="preserve">ACR20/50 response is an outcome </w:t>
      </w:r>
      <w:r w:rsidRPr="00DA2855">
        <w:rPr>
          <w:rFonts w:eastAsiaTheme="minorEastAsia"/>
          <w:sz w:val="24"/>
          <w:szCs w:val="24"/>
          <w:lang w:val="en-GB"/>
        </w:rPr>
        <w:t xml:space="preserve">measure for assessing treatment efficacy in clinical trials of PsA, where improvement is defined as: </w:t>
      </w:r>
      <w:r>
        <w:rPr>
          <w:rFonts w:eastAsiaTheme="minorEastAsia"/>
          <w:sz w:val="24"/>
          <w:szCs w:val="24"/>
          <w:lang w:val="en-GB"/>
        </w:rPr>
        <w:t>≥20/50</w:t>
      </w:r>
      <w:r w:rsidRPr="00DA2855">
        <w:rPr>
          <w:rFonts w:eastAsiaTheme="minorEastAsia"/>
          <w:sz w:val="24"/>
          <w:szCs w:val="24"/>
          <w:lang w:val="en-GB"/>
        </w:rPr>
        <w:t>% improvement in tender</w:t>
      </w:r>
      <w:r>
        <w:rPr>
          <w:rFonts w:eastAsiaTheme="minorEastAsia"/>
          <w:sz w:val="24"/>
          <w:szCs w:val="24"/>
          <w:lang w:val="en-GB"/>
        </w:rPr>
        <w:t xml:space="preserve"> joint counts (TJC) (68 joints)</w:t>
      </w:r>
      <w:r w:rsidRPr="00DA2855">
        <w:rPr>
          <w:rFonts w:eastAsiaTheme="minorEastAsia"/>
          <w:sz w:val="24"/>
          <w:szCs w:val="24"/>
          <w:lang w:val="en-GB"/>
        </w:rPr>
        <w:t xml:space="preserve"> and swollen joint counts</w:t>
      </w:r>
      <w:r>
        <w:rPr>
          <w:rFonts w:eastAsiaTheme="minorEastAsia"/>
          <w:sz w:val="24"/>
          <w:szCs w:val="24"/>
          <w:lang w:val="en-GB"/>
        </w:rPr>
        <w:t xml:space="preserve"> (SJC) (66 joints)</w:t>
      </w:r>
      <w:r w:rsidRPr="00DA2855">
        <w:rPr>
          <w:rFonts w:eastAsiaTheme="minorEastAsia"/>
          <w:sz w:val="24"/>
          <w:szCs w:val="24"/>
          <w:lang w:val="en-GB"/>
        </w:rPr>
        <w:t xml:space="preserve"> and</w:t>
      </w:r>
      <w:r>
        <w:rPr>
          <w:rFonts w:eastAsiaTheme="minorEastAsia"/>
          <w:sz w:val="24"/>
          <w:szCs w:val="24"/>
          <w:lang w:val="en-GB"/>
        </w:rPr>
        <w:t xml:space="preserve"> </w:t>
      </w:r>
      <w:r w:rsidRPr="00DA2855">
        <w:rPr>
          <w:rFonts w:eastAsiaTheme="minorEastAsia"/>
          <w:sz w:val="24"/>
          <w:szCs w:val="24"/>
          <w:lang w:val="en-GB"/>
        </w:rPr>
        <w:t>≥</w:t>
      </w:r>
      <w:r>
        <w:rPr>
          <w:rFonts w:eastAsiaTheme="minorEastAsia"/>
          <w:sz w:val="24"/>
          <w:szCs w:val="24"/>
          <w:lang w:val="en-GB"/>
        </w:rPr>
        <w:t>20/50</w:t>
      </w:r>
      <w:r w:rsidRPr="00DA2855">
        <w:rPr>
          <w:rFonts w:eastAsiaTheme="minorEastAsia"/>
          <w:sz w:val="24"/>
          <w:szCs w:val="24"/>
          <w:lang w:val="en-GB"/>
        </w:rPr>
        <w:t>% improvement in ≥3 of 5 other measures, including pain, patient’s global assessment, physician’s global assessment, self-assessed physical disability, and acute-phase reactant levels​.</w: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LDI8L3N0eWxlPjwvRGlzcGxheVRleHQ+PHJlY29yZD48cmVjLW51bWJlcj4xPC9yZWMtbnVtYmVy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ZWxlY3Ryb25pYy1yZXNvdXJjZS1udW0+PC9yZWNvcmQ+PC9DaXRlPjxDaXRlPjxBdXRob3I+RmVs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</w:fldData>
        </w:fldChar>
      </w:r>
      <w:r w:rsidR="00EC32D4">
        <w:rPr>
          <w:rFonts w:eastAsiaTheme="minorEastAsia"/>
          <w:sz w:val="24"/>
          <w:szCs w:val="24"/>
          <w:lang w:val="en-GB"/>
        </w:rPr>
        <w:instrText xml:space="preserve"> ADDIN EN.CITE </w:instrTex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LDI8L3N0eWxlPjwvRGlzcGxheVRleHQ+PHJlY29yZD48cmVjLW51bWJlcj4xPC9yZWMtbnVtYmVy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ZWxlY3Ryb25pYy1yZXNvdXJjZS1udW0+PC9yZWNvcmQ+PC9DaXRlPjxDaXRlPjxBdXRob3I+RmVs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</w:fldData>
        </w:fldChar>
      </w:r>
      <w:r w:rsidR="00EC32D4">
        <w:rPr>
          <w:rFonts w:eastAsiaTheme="minorEastAsia"/>
          <w:sz w:val="24"/>
          <w:szCs w:val="24"/>
          <w:lang w:val="en-GB"/>
        </w:rPr>
        <w:instrText xml:space="preserve"> ADDIN EN.CITE.DATA </w:instrText>
      </w:r>
      <w:r w:rsidR="00EC32D4">
        <w:rPr>
          <w:rFonts w:eastAsiaTheme="minorEastAsia"/>
          <w:sz w:val="24"/>
          <w:szCs w:val="24"/>
          <w:lang w:val="en-GB"/>
        </w:rPr>
      </w:r>
      <w:r w:rsidR="00EC32D4">
        <w:rPr>
          <w:rFonts w:eastAsiaTheme="minorEastAsia"/>
          <w:sz w:val="24"/>
          <w:szCs w:val="24"/>
          <w:lang w:val="en-GB"/>
        </w:rPr>
        <w:fldChar w:fldCharType="end"/>
      </w:r>
      <w:r w:rsidR="00EC32D4">
        <w:rPr>
          <w:rFonts w:eastAsiaTheme="minorEastAsia"/>
          <w:sz w:val="24"/>
          <w:szCs w:val="24"/>
          <w:lang w:val="en-GB"/>
        </w:rPr>
      </w:r>
      <w:r w:rsidR="00EC32D4">
        <w:rPr>
          <w:rFonts w:eastAsiaTheme="minorEastAsia"/>
          <w:sz w:val="24"/>
          <w:szCs w:val="24"/>
          <w:lang w:val="en-GB"/>
        </w:rPr>
        <w:fldChar w:fldCharType="separate"/>
      </w:r>
      <w:r w:rsidR="00EC32D4" w:rsidRPr="00EC32D4">
        <w:rPr>
          <w:rFonts w:eastAsiaTheme="minorEastAsia"/>
          <w:noProof/>
          <w:sz w:val="24"/>
          <w:szCs w:val="24"/>
          <w:vertAlign w:val="superscript"/>
          <w:lang w:val="en-GB"/>
        </w:rPr>
        <w:t>1,2</w:t>
      </w:r>
      <w:r w:rsidR="00EC32D4">
        <w:rPr>
          <w:rFonts w:eastAsiaTheme="minorEastAsia"/>
          <w:sz w:val="24"/>
          <w:szCs w:val="24"/>
          <w:lang w:val="en-GB"/>
        </w:rPr>
        <w:fldChar w:fldCharType="end"/>
      </w:r>
    </w:p>
    <w:p w14:paraId="3EEA7B7B" w14:textId="77777777" w:rsidR="00556E9A" w:rsidRPr="00346808" w:rsidRDefault="00556E9A" w:rsidP="00556E9A">
      <w:pPr>
        <w:pStyle w:val="ListParagraph"/>
        <w:numPr>
          <w:ilvl w:val="0"/>
          <w:numId w:val="2"/>
        </w:numPr>
        <w:spacing w:before="240" w:after="0" w:line="360" w:lineRule="auto"/>
        <w:rPr>
          <w:rFonts w:eastAsiaTheme="minorEastAsia"/>
          <w:b/>
          <w:sz w:val="24"/>
          <w:szCs w:val="24"/>
          <w:lang w:val="en-GB"/>
        </w:rPr>
      </w:pPr>
      <w:r w:rsidRPr="00346808">
        <w:rPr>
          <w:rFonts w:eastAsiaTheme="minorEastAsia"/>
          <w:b/>
          <w:sz w:val="24"/>
          <w:szCs w:val="24"/>
          <w:lang w:val="en-GB"/>
        </w:rPr>
        <w:t>Skin Outcomes:</w:t>
      </w:r>
    </w:p>
    <w:p w14:paraId="449006A8" w14:textId="443EEC35" w:rsidR="00556E9A" w:rsidRDefault="00556E9A" w:rsidP="00556E9A">
      <w:pPr>
        <w:spacing w:before="240" w:after="0" w:line="360" w:lineRule="auto"/>
        <w:rPr>
          <w:rFonts w:eastAsiaTheme="minorEastAsia"/>
          <w:sz w:val="24"/>
          <w:szCs w:val="24"/>
          <w:lang w:val="en-GB"/>
        </w:rPr>
      </w:pPr>
      <w:r>
        <w:rPr>
          <w:rFonts w:eastAsiaTheme="minorEastAsia"/>
          <w:sz w:val="24"/>
          <w:szCs w:val="24"/>
          <w:lang w:val="en-GB"/>
        </w:rPr>
        <w:t>PASI score is a clinical tool used for the assessment of severity of lesions and the area affected in psoriasis patients (0 for no disease and 72 for maximal disease). PASI 75/90/100 represents the proportion of patients who have achieved 75/90/100% reduction in their PASI score from baseline.</w: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LDM8L3N0eWxlPjwvRGlzcGxheVRleHQ+PHJlY29yZD48cmVjLW51bWJlcj4xPC9yZWMtbnVtYmVy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ZWxlY3Ryb25pYy1yZXNvdXJjZS1udW0+PC9yZWNvcmQ+PC9DaXRlPjxDaXRlPjxBdXRob3I+RmVs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</w:fldData>
        </w:fldChar>
      </w:r>
      <w:r w:rsidR="00EC32D4">
        <w:rPr>
          <w:rFonts w:eastAsiaTheme="minorEastAsia"/>
          <w:sz w:val="24"/>
          <w:szCs w:val="24"/>
          <w:lang w:val="en-GB"/>
        </w:rPr>
        <w:instrText xml:space="preserve"> ADDIN EN.CITE </w:instrTex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LDM8L3N0eWxlPjwvRGlzcGxheVRleHQ+PHJlY29yZD48cmVjLW51bWJlcj4xPC9yZWMtbnVtYmVy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ZWxlY3Ryb25pYy1yZXNvdXJjZS1udW0+PC9yZWNvcmQ+PC9DaXRlPjxDaXRlPjxBdXRob3I+RmVs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</w:fldData>
        </w:fldChar>
      </w:r>
      <w:r w:rsidR="00EC32D4">
        <w:rPr>
          <w:rFonts w:eastAsiaTheme="minorEastAsia"/>
          <w:sz w:val="24"/>
          <w:szCs w:val="24"/>
          <w:lang w:val="en-GB"/>
        </w:rPr>
        <w:instrText xml:space="preserve"> ADDIN EN.CITE.DATA </w:instrText>
      </w:r>
      <w:r w:rsidR="00EC32D4">
        <w:rPr>
          <w:rFonts w:eastAsiaTheme="minorEastAsia"/>
          <w:sz w:val="24"/>
          <w:szCs w:val="24"/>
          <w:lang w:val="en-GB"/>
        </w:rPr>
      </w:r>
      <w:r w:rsidR="00EC32D4">
        <w:rPr>
          <w:rFonts w:eastAsiaTheme="minorEastAsia"/>
          <w:sz w:val="24"/>
          <w:szCs w:val="24"/>
          <w:lang w:val="en-GB"/>
        </w:rPr>
        <w:fldChar w:fldCharType="end"/>
      </w:r>
      <w:r w:rsidR="00EC32D4">
        <w:rPr>
          <w:rFonts w:eastAsiaTheme="minorEastAsia"/>
          <w:sz w:val="24"/>
          <w:szCs w:val="24"/>
          <w:lang w:val="en-GB"/>
        </w:rPr>
      </w:r>
      <w:r w:rsidR="00EC32D4">
        <w:rPr>
          <w:rFonts w:eastAsiaTheme="minorEastAsia"/>
          <w:sz w:val="24"/>
          <w:szCs w:val="24"/>
          <w:lang w:val="en-GB"/>
        </w:rPr>
        <w:fldChar w:fldCharType="separate"/>
      </w:r>
      <w:r w:rsidR="00EC32D4" w:rsidRPr="00EC32D4">
        <w:rPr>
          <w:rFonts w:eastAsiaTheme="minorEastAsia"/>
          <w:noProof/>
          <w:sz w:val="24"/>
          <w:szCs w:val="24"/>
          <w:vertAlign w:val="superscript"/>
          <w:lang w:val="en-GB"/>
        </w:rPr>
        <w:t>1,3</w:t>
      </w:r>
      <w:r w:rsidR="00EC32D4">
        <w:rPr>
          <w:rFonts w:eastAsiaTheme="minorEastAsia"/>
          <w:sz w:val="24"/>
          <w:szCs w:val="24"/>
          <w:lang w:val="en-GB"/>
        </w:rPr>
        <w:fldChar w:fldCharType="end"/>
      </w:r>
    </w:p>
    <w:p w14:paraId="645C473A" w14:textId="77777777" w:rsidR="00556E9A" w:rsidRPr="00346808" w:rsidRDefault="00556E9A" w:rsidP="00556E9A">
      <w:pPr>
        <w:pStyle w:val="ListParagraph"/>
        <w:numPr>
          <w:ilvl w:val="0"/>
          <w:numId w:val="2"/>
        </w:numPr>
        <w:spacing w:before="240" w:after="0" w:line="360" w:lineRule="auto"/>
        <w:rPr>
          <w:rFonts w:eastAsiaTheme="minorEastAsia"/>
          <w:b/>
          <w:sz w:val="24"/>
          <w:szCs w:val="24"/>
          <w:lang w:val="en-GB"/>
        </w:rPr>
      </w:pPr>
      <w:r w:rsidRPr="00346808">
        <w:rPr>
          <w:rFonts w:eastAsiaTheme="minorEastAsia"/>
          <w:b/>
          <w:sz w:val="24"/>
          <w:szCs w:val="24"/>
          <w:lang w:val="en-GB"/>
        </w:rPr>
        <w:t>Composite Indices Outcomes:</w:t>
      </w:r>
    </w:p>
    <w:p w14:paraId="43256100" w14:textId="50E65406" w:rsidR="00556E9A" w:rsidRDefault="00556E9A" w:rsidP="00556E9A">
      <w:pPr>
        <w:spacing w:before="240" w:after="0" w:line="360" w:lineRule="auto"/>
        <w:rPr>
          <w:rFonts w:eastAsiaTheme="minorEastAsia"/>
          <w:sz w:val="24"/>
          <w:szCs w:val="24"/>
          <w:lang w:val="en-GB"/>
        </w:rPr>
      </w:pPr>
      <w:r>
        <w:rPr>
          <w:rFonts w:eastAsiaTheme="minorEastAsia"/>
          <w:sz w:val="24"/>
          <w:szCs w:val="24"/>
          <w:lang w:val="en-GB"/>
        </w:rPr>
        <w:t xml:space="preserve">DAPSA is a composite measure for the assessment of PsA disease activity including five disease domains of TJC, SJC, pain, patient global assessment, CRP levels. PASDAS is another composite index outcome measure to distinguish between the high and low disease activity in PsA patients, including seven domains of physician global assessment, patient global assessment, skin, peripheral joint counts, enthesitis, dactylitis, SF-36 PCS and acute-phase response. </w:t>
      </w:r>
      <w:r w:rsidRPr="00B30F9F">
        <w:rPr>
          <w:rFonts w:eastAsiaTheme="minorEastAsia"/>
          <w:sz w:val="24"/>
          <w:szCs w:val="24"/>
          <w:lang w:val="en-GB"/>
        </w:rPr>
        <w:t>As per GRAPPA/OMERACT guidelines, PASDAS is derived from real life patient data and is multi-dimensional unlike DAPSA</w:t>
      </w:r>
      <w:r>
        <w:rPr>
          <w:rFonts w:eastAsiaTheme="minorEastAsia"/>
          <w:sz w:val="24"/>
          <w:szCs w:val="24"/>
          <w:lang w:val="en-GB"/>
        </w:rPr>
        <w:t>,</w:t>
      </w:r>
      <w:r w:rsidRPr="00B30F9F">
        <w:rPr>
          <w:rFonts w:eastAsiaTheme="minorEastAsia"/>
          <w:sz w:val="24"/>
          <w:szCs w:val="24"/>
          <w:lang w:val="en-GB"/>
        </w:rPr>
        <w:t xml:space="preserve"> as it evaluates enthesitis along with other domains involved in the disease</w:t>
      </w:r>
      <w:r>
        <w:rPr>
          <w:rFonts w:eastAsiaTheme="minorEastAsia"/>
          <w:sz w:val="24"/>
          <w:szCs w:val="24"/>
          <w:lang w:val="en-GB"/>
        </w:rPr>
        <w:t>.</w: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LDQ8L3N0eWxlPjwvRGlzcGxheVRleHQ+PHJlY29yZD48cmVjLW51bWJlcj4xPC9yZWMtbnVtYmVy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ZWxlY3Ryb25pYy1yZXNvdXJjZS1udW0+PC9yZWNvcmQ+PC9DaXRlPjxDaXRlPjxBdXRob3I+V29u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</w:fldData>
        </w:fldChar>
      </w:r>
      <w:r w:rsidR="00EC32D4">
        <w:rPr>
          <w:rFonts w:eastAsiaTheme="minorEastAsia"/>
          <w:sz w:val="24"/>
          <w:szCs w:val="24"/>
          <w:lang w:val="en-GB"/>
        </w:rPr>
        <w:instrText xml:space="preserve"> ADDIN EN.CITE </w:instrTex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LDQ8L3N0eWxlPjwvRGlzcGxheVRleHQ+PHJlY29yZD48cmVjLW51bWJlcj4xPC9yZWMtbnVtYmVy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ZWxlY3Ryb25pYy1yZXNvdXJjZS1udW0+PC9yZWNvcmQ+PC9DaXRlPjxDaXRlPjxBdXRob3I+V29u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</w:fldData>
        </w:fldChar>
      </w:r>
      <w:r w:rsidR="00EC32D4">
        <w:rPr>
          <w:rFonts w:eastAsiaTheme="minorEastAsia"/>
          <w:sz w:val="24"/>
          <w:szCs w:val="24"/>
          <w:lang w:val="en-GB"/>
        </w:rPr>
        <w:instrText xml:space="preserve"> ADDIN EN.CITE.DATA </w:instrText>
      </w:r>
      <w:r w:rsidR="00EC32D4">
        <w:rPr>
          <w:rFonts w:eastAsiaTheme="minorEastAsia"/>
          <w:sz w:val="24"/>
          <w:szCs w:val="24"/>
          <w:lang w:val="en-GB"/>
        </w:rPr>
      </w:r>
      <w:r w:rsidR="00EC32D4">
        <w:rPr>
          <w:rFonts w:eastAsiaTheme="minorEastAsia"/>
          <w:sz w:val="24"/>
          <w:szCs w:val="24"/>
          <w:lang w:val="en-GB"/>
        </w:rPr>
        <w:fldChar w:fldCharType="end"/>
      </w:r>
      <w:r w:rsidR="00EC32D4">
        <w:rPr>
          <w:rFonts w:eastAsiaTheme="minorEastAsia"/>
          <w:sz w:val="24"/>
          <w:szCs w:val="24"/>
          <w:lang w:val="en-GB"/>
        </w:rPr>
      </w:r>
      <w:r w:rsidR="00EC32D4">
        <w:rPr>
          <w:rFonts w:eastAsiaTheme="minorEastAsia"/>
          <w:sz w:val="24"/>
          <w:szCs w:val="24"/>
          <w:lang w:val="en-GB"/>
        </w:rPr>
        <w:fldChar w:fldCharType="separate"/>
      </w:r>
      <w:r w:rsidR="00EC32D4" w:rsidRPr="00EC32D4">
        <w:rPr>
          <w:rFonts w:eastAsiaTheme="minorEastAsia"/>
          <w:noProof/>
          <w:sz w:val="24"/>
          <w:szCs w:val="24"/>
          <w:vertAlign w:val="superscript"/>
          <w:lang w:val="en-GB"/>
        </w:rPr>
        <w:t>1,4</w:t>
      </w:r>
      <w:r w:rsidR="00EC32D4">
        <w:rPr>
          <w:rFonts w:eastAsiaTheme="minorEastAsia"/>
          <w:sz w:val="24"/>
          <w:szCs w:val="24"/>
          <w:lang w:val="en-GB"/>
        </w:rPr>
        <w:fldChar w:fldCharType="end"/>
      </w:r>
    </w:p>
    <w:p w14:paraId="0C070A2E" w14:textId="7BBD0AB1" w:rsidR="00556E9A" w:rsidRDefault="00556E9A" w:rsidP="00556E9A">
      <w:pPr>
        <w:spacing w:before="240" w:after="0" w:line="360" w:lineRule="auto"/>
        <w:rPr>
          <w:rFonts w:eastAsiaTheme="minorEastAsia"/>
          <w:sz w:val="24"/>
          <w:szCs w:val="24"/>
          <w:lang w:val="en-GB"/>
        </w:rPr>
      </w:pPr>
      <w:r>
        <w:rPr>
          <w:rFonts w:eastAsiaTheme="minorEastAsia"/>
          <w:sz w:val="24"/>
          <w:szCs w:val="24"/>
          <w:lang w:val="en-GB"/>
        </w:rPr>
        <w:t xml:space="preserve">Some of the other PsA specific composite measures useful for the assessment of disease activity are MDA, VLDA and DAS-28. To achieve MDA, patients must meet five of seven criteria: TJC ≤1, SJC ≤1; PASI </w:t>
      </w:r>
      <w:r w:rsidRPr="00DC66C9">
        <w:rPr>
          <w:rFonts w:eastAsiaTheme="minorEastAsia"/>
          <w:sz w:val="24"/>
          <w:szCs w:val="24"/>
          <w:lang w:val="en-GB"/>
        </w:rPr>
        <w:t xml:space="preserve">≤1 or </w:t>
      </w:r>
      <w:r>
        <w:rPr>
          <w:rFonts w:eastAsiaTheme="minorEastAsia"/>
          <w:sz w:val="24"/>
          <w:szCs w:val="24"/>
          <w:lang w:val="en-GB"/>
        </w:rPr>
        <w:t>BSA</w:t>
      </w:r>
      <w:r w:rsidRPr="00DC66C9">
        <w:rPr>
          <w:rFonts w:eastAsiaTheme="minorEastAsia"/>
          <w:sz w:val="24"/>
          <w:szCs w:val="24"/>
          <w:lang w:val="en-GB"/>
        </w:rPr>
        <w:t xml:space="preserve"> ≤3; patient pain </w:t>
      </w:r>
      <w:r>
        <w:rPr>
          <w:rFonts w:eastAsiaTheme="minorEastAsia"/>
          <w:sz w:val="24"/>
          <w:szCs w:val="24"/>
          <w:lang w:val="en-GB"/>
        </w:rPr>
        <w:t>VAS</w:t>
      </w:r>
      <w:r w:rsidRPr="00DC66C9">
        <w:rPr>
          <w:rFonts w:eastAsiaTheme="minorEastAsia"/>
          <w:sz w:val="24"/>
          <w:szCs w:val="24"/>
          <w:lang w:val="en-GB"/>
        </w:rPr>
        <w:t xml:space="preserve"> ≤15; </w:t>
      </w:r>
      <w:r>
        <w:rPr>
          <w:rFonts w:eastAsiaTheme="minorEastAsia"/>
          <w:sz w:val="24"/>
          <w:szCs w:val="24"/>
          <w:lang w:val="en-GB"/>
        </w:rPr>
        <w:t>patient global assessment</w:t>
      </w:r>
      <w:r w:rsidRPr="00DC66C9">
        <w:rPr>
          <w:rFonts w:eastAsiaTheme="minorEastAsia"/>
          <w:sz w:val="24"/>
          <w:szCs w:val="24"/>
          <w:lang w:val="en-GB"/>
        </w:rPr>
        <w:t xml:space="preserve"> ≤20; H</w:t>
      </w:r>
      <w:r>
        <w:rPr>
          <w:rFonts w:eastAsiaTheme="minorEastAsia"/>
          <w:sz w:val="24"/>
          <w:szCs w:val="24"/>
          <w:lang w:val="en-GB"/>
        </w:rPr>
        <w:t>AQ</w:t>
      </w:r>
      <w:r w:rsidRPr="00DC66C9">
        <w:rPr>
          <w:rFonts w:eastAsiaTheme="minorEastAsia"/>
          <w:sz w:val="24"/>
          <w:szCs w:val="24"/>
          <w:lang w:val="en-GB"/>
        </w:rPr>
        <w:t xml:space="preserve"> ≤0.5 and tender entheseal points</w:t>
      </w:r>
      <w:r>
        <w:rPr>
          <w:rFonts w:eastAsiaTheme="minorEastAsia"/>
          <w:sz w:val="24"/>
          <w:szCs w:val="24"/>
          <w:lang w:val="en-GB"/>
        </w:rPr>
        <w:t xml:space="preserve"> </w:t>
      </w:r>
      <w:r w:rsidRPr="00DC66C9">
        <w:rPr>
          <w:rFonts w:eastAsiaTheme="minorEastAsia"/>
          <w:sz w:val="24"/>
          <w:szCs w:val="24"/>
          <w:lang w:val="en-GB"/>
        </w:rPr>
        <w:t>≤</w:t>
      </w:r>
      <w:r>
        <w:rPr>
          <w:rFonts w:eastAsiaTheme="minorEastAsia"/>
          <w:sz w:val="24"/>
          <w:szCs w:val="24"/>
          <w:lang w:val="en-GB"/>
        </w:rPr>
        <w:t>1</w:t>
      </w:r>
      <w:r w:rsidRPr="00DC66C9">
        <w:rPr>
          <w:rFonts w:eastAsiaTheme="minorEastAsia"/>
          <w:sz w:val="24"/>
          <w:szCs w:val="24"/>
          <w:lang w:val="en-GB"/>
        </w:rPr>
        <w:t>.</w:t>
      </w:r>
      <w:r>
        <w:rPr>
          <w:rFonts w:eastAsiaTheme="minorEastAsia"/>
          <w:sz w:val="24"/>
          <w:szCs w:val="24"/>
          <w:lang w:val="en-GB"/>
        </w:rPr>
        <w:t xml:space="preserve"> VLDA has become a clinically stringent set of criteria relevant for the identification of disease remission, </w:t>
      </w:r>
      <w:r>
        <w:rPr>
          <w:rFonts w:eastAsiaTheme="minorEastAsia"/>
          <w:sz w:val="24"/>
          <w:szCs w:val="24"/>
          <w:lang w:val="en-GB"/>
        </w:rPr>
        <w:lastRenderedPageBreak/>
        <w:t>meeting all seven MDA criteria. DAS-28</w:t>
      </w:r>
      <w:r w:rsidRPr="00DC66C9">
        <w:rPr>
          <w:rFonts w:eastAsiaTheme="minorEastAsia"/>
          <w:sz w:val="24"/>
          <w:szCs w:val="24"/>
          <w:lang w:val="en-GB"/>
        </w:rPr>
        <w:t xml:space="preserve"> was developed as a 28-joint-count (refer</w:t>
      </w:r>
      <w:r>
        <w:rPr>
          <w:rFonts w:eastAsiaTheme="minorEastAsia"/>
          <w:sz w:val="24"/>
          <w:szCs w:val="24"/>
          <w:lang w:val="en-GB"/>
        </w:rPr>
        <w:t>ring to 28 joints affected in rheumatoid arthritis [RA]</w:t>
      </w:r>
      <w:r w:rsidRPr="00DC66C9">
        <w:rPr>
          <w:rFonts w:eastAsiaTheme="minorEastAsia"/>
          <w:sz w:val="24"/>
          <w:szCs w:val="24"/>
          <w:lang w:val="en-GB"/>
        </w:rPr>
        <w:t>) measure to</w:t>
      </w:r>
      <w:r>
        <w:rPr>
          <w:rFonts w:eastAsiaTheme="minorEastAsia"/>
          <w:sz w:val="24"/>
          <w:szCs w:val="24"/>
          <w:lang w:val="en-GB"/>
        </w:rPr>
        <w:t xml:space="preserve"> assess disease activity in RA. </w:t>
      </w:r>
      <w:r w:rsidRPr="00DC66C9">
        <w:rPr>
          <w:rFonts w:eastAsiaTheme="minorEastAsia"/>
          <w:sz w:val="24"/>
          <w:szCs w:val="24"/>
          <w:lang w:val="en-GB"/>
        </w:rPr>
        <w:t xml:space="preserve">Assessment involves evaluation of the number of </w:t>
      </w:r>
      <w:r>
        <w:rPr>
          <w:rFonts w:eastAsiaTheme="minorEastAsia"/>
          <w:sz w:val="24"/>
          <w:szCs w:val="24"/>
          <w:lang w:val="en-GB"/>
        </w:rPr>
        <w:t>TJC and SJC</w:t>
      </w:r>
      <w:r w:rsidRPr="00DC66C9">
        <w:rPr>
          <w:rFonts w:eastAsiaTheme="minorEastAsia"/>
          <w:sz w:val="24"/>
          <w:szCs w:val="24"/>
          <w:lang w:val="en-GB"/>
        </w:rPr>
        <w:t xml:space="preserve"> (out of 28), the </w:t>
      </w:r>
      <w:r>
        <w:rPr>
          <w:rFonts w:eastAsiaTheme="minorEastAsia"/>
          <w:sz w:val="24"/>
          <w:szCs w:val="24"/>
          <w:lang w:val="en-GB"/>
        </w:rPr>
        <w:t>erythrocyte sedimentation rate (</w:t>
      </w:r>
      <w:r w:rsidRPr="00DC66C9">
        <w:rPr>
          <w:rFonts w:eastAsiaTheme="minorEastAsia"/>
          <w:sz w:val="24"/>
          <w:szCs w:val="24"/>
          <w:lang w:val="en-GB"/>
        </w:rPr>
        <w:t>ESR</w:t>
      </w:r>
      <w:r>
        <w:rPr>
          <w:rFonts w:eastAsiaTheme="minorEastAsia"/>
          <w:sz w:val="24"/>
          <w:szCs w:val="24"/>
          <w:lang w:val="en-GB"/>
        </w:rPr>
        <w:t>)</w:t>
      </w:r>
      <w:r w:rsidRPr="00DC66C9">
        <w:rPr>
          <w:rFonts w:eastAsiaTheme="minorEastAsia"/>
          <w:sz w:val="24"/>
          <w:szCs w:val="24"/>
          <w:lang w:val="en-GB"/>
        </w:rPr>
        <w:t xml:space="preserve"> or CRP</w:t>
      </w:r>
      <w:r>
        <w:rPr>
          <w:rFonts w:eastAsiaTheme="minorEastAsia"/>
          <w:sz w:val="24"/>
          <w:szCs w:val="24"/>
          <w:lang w:val="en-GB"/>
        </w:rPr>
        <w:t xml:space="preserve"> levels</w:t>
      </w:r>
      <w:r w:rsidRPr="00DC66C9">
        <w:rPr>
          <w:rFonts w:eastAsiaTheme="minorEastAsia"/>
          <w:sz w:val="24"/>
          <w:szCs w:val="24"/>
          <w:lang w:val="en-GB"/>
        </w:rPr>
        <w:t>, and the patient’s global assessment</w:t>
      </w:r>
      <w:r>
        <w:rPr>
          <w:rFonts w:eastAsiaTheme="minorEastAsia"/>
          <w:sz w:val="24"/>
          <w:szCs w:val="24"/>
          <w:lang w:val="en-GB"/>
        </w:rPr>
        <w:t>.</w: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LDU8L3N0eWxlPjwvRGlzcGxheVRleHQ+PHJlY29yZD48cmVjLW51bWJlcj4xPC9yZWMtbnVtYmVy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ZWxlY3Ryb25pYy1yZXNvdXJjZS1udW0+PC9yZWNvcmQ+PC9DaXRlPjxDaXRlPjxBdXRob3I+Q29h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==
</w:fldData>
        </w:fldChar>
      </w:r>
      <w:r w:rsidR="00EC32D4">
        <w:rPr>
          <w:rFonts w:eastAsiaTheme="minorEastAsia"/>
          <w:sz w:val="24"/>
          <w:szCs w:val="24"/>
          <w:lang w:val="en-GB"/>
        </w:rPr>
        <w:instrText xml:space="preserve"> ADDIN EN.CITE </w:instrText>
      </w:r>
      <w:r w:rsidR="00EC32D4">
        <w:rPr>
          <w:rFonts w:eastAsiaTheme="minorEastAsia"/>
          <w:sz w:val="24"/>
          <w:szCs w:val="24"/>
          <w:lang w:val="en-GB"/>
        </w:rPr>
        <w:fldChar w:fldCharType="begin">
          <w:fldData xml:space="preserve">PEVuZE5vdGU+PENpdGU+PEF1dGhvcj5NY0lubmVzPC9BdXRob3I+PFllYXI+MjAyMDwvWWVhcj48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==
</w:fldData>
        </w:fldChar>
      </w:r>
      <w:r w:rsidR="00EC32D4">
        <w:rPr>
          <w:rFonts w:eastAsiaTheme="minorEastAsia"/>
          <w:sz w:val="24"/>
          <w:szCs w:val="24"/>
          <w:lang w:val="en-GB"/>
        </w:rPr>
        <w:instrText xml:space="preserve"> ADDIN EN.CITE.DATA </w:instrText>
      </w:r>
      <w:r w:rsidR="00EC32D4">
        <w:rPr>
          <w:rFonts w:eastAsiaTheme="minorEastAsia"/>
          <w:sz w:val="24"/>
          <w:szCs w:val="24"/>
          <w:lang w:val="en-GB"/>
        </w:rPr>
      </w:r>
      <w:r w:rsidR="00EC32D4">
        <w:rPr>
          <w:rFonts w:eastAsiaTheme="minorEastAsia"/>
          <w:sz w:val="24"/>
          <w:szCs w:val="24"/>
          <w:lang w:val="en-GB"/>
        </w:rPr>
        <w:fldChar w:fldCharType="end"/>
      </w:r>
      <w:r w:rsidR="00EC32D4">
        <w:rPr>
          <w:rFonts w:eastAsiaTheme="minorEastAsia"/>
          <w:sz w:val="24"/>
          <w:szCs w:val="24"/>
          <w:lang w:val="en-GB"/>
        </w:rPr>
      </w:r>
      <w:r w:rsidR="00EC32D4">
        <w:rPr>
          <w:rFonts w:eastAsiaTheme="minorEastAsia"/>
          <w:sz w:val="24"/>
          <w:szCs w:val="24"/>
          <w:lang w:val="en-GB"/>
        </w:rPr>
        <w:fldChar w:fldCharType="separate"/>
      </w:r>
      <w:r w:rsidR="00EC32D4" w:rsidRPr="00EC32D4">
        <w:rPr>
          <w:rFonts w:eastAsiaTheme="minorEastAsia"/>
          <w:noProof/>
          <w:sz w:val="24"/>
          <w:szCs w:val="24"/>
          <w:vertAlign w:val="superscript"/>
          <w:lang w:val="en-GB"/>
        </w:rPr>
        <w:t>1,5</w:t>
      </w:r>
      <w:r w:rsidR="00EC32D4">
        <w:rPr>
          <w:rFonts w:eastAsiaTheme="minorEastAsia"/>
          <w:sz w:val="24"/>
          <w:szCs w:val="24"/>
          <w:lang w:val="en-GB"/>
        </w:rPr>
        <w:fldChar w:fldCharType="end"/>
      </w:r>
      <w:r>
        <w:rPr>
          <w:rFonts w:eastAsiaTheme="minorEastAsia"/>
          <w:sz w:val="24"/>
          <w:szCs w:val="24"/>
          <w:lang w:val="en-GB"/>
        </w:rPr>
        <w:t xml:space="preserve"> HAQ-DI and DLQI are patient reported outcome instruments that assess the overall quality of life in PsA and psoriasis patients, respectively.</w:t>
      </w:r>
    </w:p>
    <w:p w14:paraId="051E3DA3" w14:textId="77777777" w:rsidR="00556E9A" w:rsidRPr="000339C3" w:rsidRDefault="00556E9A" w:rsidP="00556E9A">
      <w:pPr>
        <w:spacing w:before="240" w:after="0" w:line="360" w:lineRule="auto"/>
        <w:rPr>
          <w:rFonts w:eastAsiaTheme="minorEastAsia"/>
          <w:b/>
          <w:sz w:val="24"/>
          <w:szCs w:val="24"/>
          <w:u w:val="single"/>
          <w:lang w:val="en-GB"/>
        </w:rPr>
      </w:pPr>
      <w:r w:rsidRPr="000339C3">
        <w:rPr>
          <w:rFonts w:eastAsiaTheme="minorEastAsia"/>
          <w:b/>
          <w:sz w:val="24"/>
          <w:szCs w:val="24"/>
          <w:u w:val="single"/>
          <w:lang w:val="en-GB"/>
        </w:rPr>
        <w:t>References</w:t>
      </w:r>
    </w:p>
    <w:p w14:paraId="0619DFC4" w14:textId="77777777" w:rsidR="00EC32D4" w:rsidRPr="00EC32D4" w:rsidRDefault="00EC32D4" w:rsidP="00EC32D4">
      <w:pPr>
        <w:pStyle w:val="EndNoteBibliography"/>
        <w:spacing w:after="0" w:line="360" w:lineRule="auto"/>
        <w:ind w:left="720" w:hanging="720"/>
        <w:rPr>
          <w:noProof/>
          <w:sz w:val="24"/>
        </w:rPr>
      </w:pPr>
      <w:r w:rsidRPr="00EC32D4">
        <w:rPr>
          <w:sz w:val="24"/>
        </w:rPr>
        <w:fldChar w:fldCharType="begin"/>
      </w:r>
      <w:r w:rsidRPr="00EC32D4">
        <w:rPr>
          <w:sz w:val="24"/>
        </w:rPr>
        <w:instrText xml:space="preserve"> ADDIN EN.REFLIST </w:instrText>
      </w:r>
      <w:r w:rsidRPr="00EC32D4">
        <w:rPr>
          <w:sz w:val="24"/>
        </w:rPr>
        <w:fldChar w:fldCharType="separate"/>
      </w:r>
      <w:r w:rsidRPr="00EC32D4">
        <w:rPr>
          <w:noProof/>
          <w:sz w:val="24"/>
        </w:rPr>
        <w:t>1</w:t>
      </w:r>
      <w:r w:rsidRPr="00EC32D4">
        <w:rPr>
          <w:noProof/>
          <w:sz w:val="24"/>
        </w:rPr>
        <w:tab/>
        <w:t>McInnes IB, Behrens F, Mease PJ</w:t>
      </w:r>
      <w:r w:rsidRPr="00EC32D4">
        <w:rPr>
          <w:i/>
          <w:noProof/>
          <w:sz w:val="24"/>
        </w:rPr>
        <w:t xml:space="preserve"> et al.</w:t>
      </w:r>
      <w:r w:rsidRPr="00EC32D4">
        <w:rPr>
          <w:noProof/>
          <w:sz w:val="24"/>
        </w:rPr>
        <w:t xml:space="preserve"> Secukinumab versus adalimumab for treatment of active psoriatic arthritis (EXCEED): a double-blind, parallel-group, randomised, active-controlled, phase 3b trial. </w:t>
      </w:r>
      <w:r w:rsidRPr="00EC32D4">
        <w:rPr>
          <w:i/>
          <w:noProof/>
          <w:sz w:val="24"/>
        </w:rPr>
        <w:t>The Lancet</w:t>
      </w:r>
      <w:r w:rsidRPr="00EC32D4">
        <w:rPr>
          <w:noProof/>
          <w:sz w:val="24"/>
        </w:rPr>
        <w:t xml:space="preserve"> 2020; </w:t>
      </w:r>
      <w:r w:rsidRPr="00EC32D4">
        <w:rPr>
          <w:b/>
          <w:noProof/>
          <w:sz w:val="24"/>
        </w:rPr>
        <w:t>395</w:t>
      </w:r>
      <w:r w:rsidRPr="00EC32D4">
        <w:rPr>
          <w:noProof/>
          <w:sz w:val="24"/>
        </w:rPr>
        <w:t>: 1496-505.</w:t>
      </w:r>
    </w:p>
    <w:p w14:paraId="29AA1515" w14:textId="77777777" w:rsidR="00EC32D4" w:rsidRPr="00EC32D4" w:rsidRDefault="00EC32D4" w:rsidP="00EC32D4">
      <w:pPr>
        <w:pStyle w:val="EndNoteBibliography"/>
        <w:spacing w:after="0" w:line="360" w:lineRule="auto"/>
        <w:ind w:left="720" w:hanging="720"/>
        <w:rPr>
          <w:noProof/>
          <w:sz w:val="24"/>
        </w:rPr>
      </w:pPr>
      <w:r w:rsidRPr="00EC32D4">
        <w:rPr>
          <w:noProof/>
          <w:sz w:val="24"/>
        </w:rPr>
        <w:t>2</w:t>
      </w:r>
      <w:r w:rsidRPr="00EC32D4">
        <w:rPr>
          <w:noProof/>
          <w:sz w:val="24"/>
        </w:rPr>
        <w:tab/>
        <w:t>Felson DT, Anderson JJ, Boers M</w:t>
      </w:r>
      <w:r w:rsidRPr="00EC32D4">
        <w:rPr>
          <w:i/>
          <w:noProof/>
          <w:sz w:val="24"/>
        </w:rPr>
        <w:t xml:space="preserve"> et al.</w:t>
      </w:r>
      <w:r w:rsidRPr="00EC32D4">
        <w:rPr>
          <w:noProof/>
          <w:sz w:val="24"/>
        </w:rPr>
        <w:t xml:space="preserve"> The American College of Rheumatology preliminary core set of disease activity measures for rheumatoid arthritis clinical trials. The Committee on Outcome Measures in Rheumatoid Arthritis Clinical Trials. </w:t>
      </w:r>
      <w:r w:rsidRPr="00EC32D4">
        <w:rPr>
          <w:i/>
          <w:noProof/>
          <w:sz w:val="24"/>
        </w:rPr>
        <w:t>Arthritis Rheum</w:t>
      </w:r>
      <w:r w:rsidRPr="00EC32D4">
        <w:rPr>
          <w:noProof/>
          <w:sz w:val="24"/>
        </w:rPr>
        <w:t xml:space="preserve"> 1993; </w:t>
      </w:r>
      <w:r w:rsidRPr="00EC32D4">
        <w:rPr>
          <w:b/>
          <w:noProof/>
          <w:sz w:val="24"/>
        </w:rPr>
        <w:t>36</w:t>
      </w:r>
      <w:r w:rsidRPr="00EC32D4">
        <w:rPr>
          <w:noProof/>
          <w:sz w:val="24"/>
        </w:rPr>
        <w:t>: 729-40.</w:t>
      </w:r>
    </w:p>
    <w:p w14:paraId="7CF786EA" w14:textId="77777777" w:rsidR="00EC32D4" w:rsidRPr="00EC32D4" w:rsidRDefault="00EC32D4" w:rsidP="00EC32D4">
      <w:pPr>
        <w:pStyle w:val="EndNoteBibliography"/>
        <w:spacing w:after="0" w:line="360" w:lineRule="auto"/>
        <w:ind w:left="720" w:hanging="720"/>
        <w:rPr>
          <w:noProof/>
          <w:sz w:val="24"/>
        </w:rPr>
      </w:pPr>
      <w:r w:rsidRPr="00EC32D4">
        <w:rPr>
          <w:noProof/>
          <w:sz w:val="24"/>
        </w:rPr>
        <w:t>3</w:t>
      </w:r>
      <w:r w:rsidRPr="00EC32D4">
        <w:rPr>
          <w:noProof/>
          <w:sz w:val="24"/>
        </w:rPr>
        <w:tab/>
        <w:t xml:space="preserve">Feldman SR, Krueger GG. Psoriasis assessment tools in clinical trials. </w:t>
      </w:r>
      <w:r w:rsidRPr="00EC32D4">
        <w:rPr>
          <w:i/>
          <w:noProof/>
          <w:sz w:val="24"/>
        </w:rPr>
        <w:t>Ann Rheum Dis</w:t>
      </w:r>
      <w:r w:rsidRPr="00EC32D4">
        <w:rPr>
          <w:noProof/>
          <w:sz w:val="24"/>
        </w:rPr>
        <w:t xml:space="preserve"> 2005; </w:t>
      </w:r>
      <w:r w:rsidRPr="00EC32D4">
        <w:rPr>
          <w:b/>
          <w:noProof/>
          <w:sz w:val="24"/>
        </w:rPr>
        <w:t>64 Suppl 2</w:t>
      </w:r>
      <w:r w:rsidRPr="00EC32D4">
        <w:rPr>
          <w:noProof/>
          <w:sz w:val="24"/>
        </w:rPr>
        <w:t>: ii65-8; discussion ii9-73.</w:t>
      </w:r>
    </w:p>
    <w:p w14:paraId="3EFFB95E" w14:textId="77777777" w:rsidR="00EC32D4" w:rsidRPr="00EC32D4" w:rsidRDefault="00EC32D4" w:rsidP="00EC32D4">
      <w:pPr>
        <w:pStyle w:val="EndNoteBibliography"/>
        <w:spacing w:after="0" w:line="360" w:lineRule="auto"/>
        <w:ind w:left="720" w:hanging="720"/>
        <w:rPr>
          <w:noProof/>
          <w:sz w:val="24"/>
        </w:rPr>
      </w:pPr>
      <w:r w:rsidRPr="00EC32D4">
        <w:rPr>
          <w:noProof/>
          <w:sz w:val="24"/>
        </w:rPr>
        <w:t>4</w:t>
      </w:r>
      <w:r w:rsidRPr="00EC32D4">
        <w:rPr>
          <w:noProof/>
          <w:sz w:val="24"/>
        </w:rPr>
        <w:tab/>
        <w:t>Wong PC, Leung YY, Li EK</w:t>
      </w:r>
      <w:r w:rsidRPr="00EC32D4">
        <w:rPr>
          <w:i/>
          <w:noProof/>
          <w:sz w:val="24"/>
        </w:rPr>
        <w:t xml:space="preserve"> et al.</w:t>
      </w:r>
      <w:r w:rsidRPr="00EC32D4">
        <w:rPr>
          <w:noProof/>
          <w:sz w:val="24"/>
        </w:rPr>
        <w:t xml:space="preserve"> Measuring disease activity in psoriatic arthritis. </w:t>
      </w:r>
      <w:r w:rsidRPr="00EC32D4">
        <w:rPr>
          <w:i/>
          <w:noProof/>
          <w:sz w:val="24"/>
        </w:rPr>
        <w:t>Int J Rheumatol</w:t>
      </w:r>
      <w:r w:rsidRPr="00EC32D4">
        <w:rPr>
          <w:noProof/>
          <w:sz w:val="24"/>
        </w:rPr>
        <w:t xml:space="preserve"> 2012; </w:t>
      </w:r>
      <w:r w:rsidRPr="00EC32D4">
        <w:rPr>
          <w:b/>
          <w:noProof/>
          <w:sz w:val="24"/>
        </w:rPr>
        <w:t>2012</w:t>
      </w:r>
      <w:r w:rsidRPr="00EC32D4">
        <w:rPr>
          <w:noProof/>
          <w:sz w:val="24"/>
        </w:rPr>
        <w:t>: 839425.</w:t>
      </w:r>
    </w:p>
    <w:p w14:paraId="73771673" w14:textId="77777777" w:rsidR="00EC32D4" w:rsidRPr="00EC32D4" w:rsidRDefault="00EC32D4" w:rsidP="00EC32D4">
      <w:pPr>
        <w:pStyle w:val="EndNoteBibliography"/>
        <w:spacing w:line="360" w:lineRule="auto"/>
        <w:ind w:left="720" w:hanging="720"/>
        <w:rPr>
          <w:noProof/>
          <w:sz w:val="24"/>
        </w:rPr>
      </w:pPr>
      <w:r w:rsidRPr="00EC32D4">
        <w:rPr>
          <w:noProof/>
          <w:sz w:val="24"/>
        </w:rPr>
        <w:t>5</w:t>
      </w:r>
      <w:r w:rsidRPr="00EC32D4">
        <w:rPr>
          <w:noProof/>
          <w:sz w:val="24"/>
        </w:rPr>
        <w:tab/>
        <w:t>Coates LC, Strand V, Wilson H</w:t>
      </w:r>
      <w:r w:rsidRPr="00EC32D4">
        <w:rPr>
          <w:i/>
          <w:noProof/>
          <w:sz w:val="24"/>
        </w:rPr>
        <w:t xml:space="preserve"> et al.</w:t>
      </w:r>
      <w:r w:rsidRPr="00EC32D4">
        <w:rPr>
          <w:noProof/>
          <w:sz w:val="24"/>
        </w:rPr>
        <w:t xml:space="preserve"> Measurement properties of the minimal disease activity criteria for psoriatic arthritis. </w:t>
      </w:r>
      <w:r w:rsidRPr="00EC32D4">
        <w:rPr>
          <w:i/>
          <w:noProof/>
          <w:sz w:val="24"/>
        </w:rPr>
        <w:t>RMD Open</w:t>
      </w:r>
      <w:r w:rsidRPr="00EC32D4">
        <w:rPr>
          <w:noProof/>
          <w:sz w:val="24"/>
        </w:rPr>
        <w:t xml:space="preserve"> 2019; </w:t>
      </w:r>
      <w:r w:rsidRPr="00EC32D4">
        <w:rPr>
          <w:b/>
          <w:noProof/>
          <w:sz w:val="24"/>
        </w:rPr>
        <w:t>5</w:t>
      </w:r>
      <w:r w:rsidRPr="00EC32D4">
        <w:rPr>
          <w:noProof/>
          <w:sz w:val="24"/>
        </w:rPr>
        <w:t>: e001002.</w:t>
      </w:r>
    </w:p>
    <w:p w14:paraId="29271344" w14:textId="3AA528AC" w:rsidR="00370D43" w:rsidRPr="00EC32D4" w:rsidRDefault="00EC32D4" w:rsidP="00EC32D4">
      <w:pPr>
        <w:pStyle w:val="EndNoteBibliography"/>
        <w:spacing w:before="240" w:line="360" w:lineRule="auto"/>
        <w:ind w:left="360"/>
        <w:rPr>
          <w:sz w:val="32"/>
        </w:rPr>
        <w:sectPr w:rsidR="00370D43" w:rsidRPr="00EC32D4" w:rsidSect="00370D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EC32D4">
        <w:rPr>
          <w:sz w:val="24"/>
        </w:rPr>
        <w:fldChar w:fldCharType="end"/>
      </w:r>
    </w:p>
    <w:p w14:paraId="5A0E63BA" w14:textId="328B4A1D" w:rsidR="00556E9A" w:rsidRPr="000339C3" w:rsidRDefault="00556E9A" w:rsidP="00556E9A">
      <w:pPr>
        <w:pStyle w:val="EndNoteBibliography"/>
        <w:spacing w:after="0" w:line="360" w:lineRule="auto"/>
        <w:rPr>
          <w:b/>
          <w:sz w:val="24"/>
          <w:u w:val="single"/>
        </w:rPr>
      </w:pPr>
      <w:r w:rsidRPr="000339C3">
        <w:rPr>
          <w:b/>
          <w:sz w:val="24"/>
          <w:u w:val="single"/>
        </w:rPr>
        <w:lastRenderedPageBreak/>
        <w:t>Supplementary Figures:</w:t>
      </w:r>
    </w:p>
    <w:p w14:paraId="7514CEAD" w14:textId="77777777" w:rsidR="00556E9A" w:rsidRDefault="00556E9A" w:rsidP="002A4DB1">
      <w:pPr>
        <w:pStyle w:val="EndNoteBibliography"/>
        <w:spacing w:after="0" w:line="360" w:lineRule="auto"/>
        <w:ind w:left="1260" w:hanging="1260"/>
        <w:rPr>
          <w:b/>
          <w:sz w:val="24"/>
        </w:rPr>
      </w:pPr>
      <w:r w:rsidRPr="00C90E66">
        <w:rPr>
          <w:b/>
          <w:sz w:val="24"/>
        </w:rPr>
        <w:t xml:space="preserve">Figure S1. </w:t>
      </w:r>
      <w:r>
        <w:rPr>
          <w:b/>
          <w:sz w:val="24"/>
        </w:rPr>
        <w:t xml:space="preserve">Other musculoskeletal outcomes A) ACR70 response and B) </w:t>
      </w:r>
      <w:r w:rsidRPr="00C90E66">
        <w:rPr>
          <w:b/>
          <w:sz w:val="24"/>
        </w:rPr>
        <w:t>Resolution of dactylitis</w:t>
      </w:r>
      <w:r>
        <w:rPr>
          <w:b/>
          <w:sz w:val="24"/>
        </w:rPr>
        <w:t xml:space="preserve"> </w:t>
      </w:r>
      <w:r w:rsidRPr="00C90E66">
        <w:rPr>
          <w:b/>
          <w:sz w:val="24"/>
        </w:rPr>
        <w:t xml:space="preserve">through Week 52 in </w:t>
      </w:r>
      <w:r>
        <w:rPr>
          <w:b/>
          <w:sz w:val="24"/>
        </w:rPr>
        <w:t>the psoriasis</w:t>
      </w:r>
      <w:r w:rsidRPr="00C90E66">
        <w:rPr>
          <w:b/>
          <w:sz w:val="24"/>
        </w:rPr>
        <w:t xml:space="preserve"> subset</w:t>
      </w:r>
      <w:r>
        <w:rPr>
          <w:b/>
          <w:sz w:val="24"/>
        </w:rPr>
        <w:t xml:space="preserve"> of PsA patients</w:t>
      </w:r>
    </w:p>
    <w:p w14:paraId="3BC6B04B" w14:textId="7096634D" w:rsidR="00556E9A" w:rsidRDefault="00370D43" w:rsidP="00370D43">
      <w:pPr>
        <w:pStyle w:val="EndNoteBibliography"/>
        <w:spacing w:before="240" w:line="360" w:lineRule="auto"/>
        <w:rPr>
          <w:b/>
          <w:sz w:val="24"/>
        </w:rPr>
      </w:pPr>
      <w:r w:rsidRPr="00370D43">
        <w:rPr>
          <w:b/>
          <w:noProof/>
          <w:sz w:val="24"/>
        </w:rPr>
        <w:drawing>
          <wp:inline distT="0" distB="0" distL="0" distR="0" wp14:anchorId="4E348B24" wp14:editId="27520D9A">
            <wp:extent cx="7955103" cy="2952428"/>
            <wp:effectExtent l="0" t="0" r="8255" b="635"/>
            <wp:docPr id="1" name="Picture 1" descr="C:\Users\KAURAGU1\OneDrive - Novartis Pharma AG\Desktop\EXCEED_BJD\FINAL FIGURES_03DEC2020\Figure 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RAGU1\OneDrive - Novartis Pharma AG\Desktop\EXCEED_BJD\FINAL FIGURES_03DEC2020\Figure S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85629" cy="2963757"/>
                    </a:xfrm>
                    <a:prstGeom prst="rect">
                      <a:avLst/>
                    </a:prstGeom>
                    <a:noFill/>
                    <a:ln>
                      <a:noFill/>
                    </a:ln>
                  </pic:spPr>
                </pic:pic>
              </a:graphicData>
            </a:graphic>
          </wp:inline>
        </w:drawing>
      </w:r>
    </w:p>
    <w:p w14:paraId="4B6898D2" w14:textId="77777777" w:rsidR="00556E9A" w:rsidRPr="00503070" w:rsidRDefault="00556E9A" w:rsidP="00556E9A">
      <w:pPr>
        <w:spacing w:after="0"/>
        <w:rPr>
          <w:sz w:val="18"/>
        </w:rPr>
      </w:pPr>
      <w:r w:rsidRPr="00503070">
        <w:rPr>
          <w:sz w:val="18"/>
        </w:rPr>
        <w:t xml:space="preserve">P </w:t>
      </w:r>
      <w:r>
        <w:rPr>
          <w:sz w:val="18"/>
        </w:rPr>
        <w:t xml:space="preserve">versus adalimumab; Unadjusted p </w:t>
      </w:r>
      <w:r w:rsidRPr="00503070">
        <w:rPr>
          <w:sz w:val="18"/>
        </w:rPr>
        <w:t>values are reported at Week 52</w:t>
      </w:r>
    </w:p>
    <w:p w14:paraId="06BB7FA4" w14:textId="77777777" w:rsidR="00556E9A" w:rsidRPr="00503070" w:rsidRDefault="00556E9A" w:rsidP="00556E9A">
      <w:pPr>
        <w:spacing w:after="0"/>
        <w:rPr>
          <w:sz w:val="18"/>
        </w:rPr>
      </w:pPr>
      <w:r w:rsidRPr="00503070">
        <w:rPr>
          <w:sz w:val="18"/>
        </w:rPr>
        <w:t xml:space="preserve">N, number of active PsA patients having BSA&gt;10% or PASI ≥10 affected with psoriasis at baseline </w:t>
      </w:r>
    </w:p>
    <w:p w14:paraId="621C77C4" w14:textId="77777777" w:rsidR="00556E9A" w:rsidRPr="00503070" w:rsidRDefault="00556E9A" w:rsidP="00556E9A">
      <w:pPr>
        <w:spacing w:after="0"/>
        <w:rPr>
          <w:sz w:val="18"/>
        </w:rPr>
      </w:pPr>
      <w:r w:rsidRPr="00503070">
        <w:rPr>
          <w:sz w:val="18"/>
        </w:rPr>
        <w:t xml:space="preserve">ACR, American college of rheumatology; </w:t>
      </w:r>
    </w:p>
    <w:p w14:paraId="792B7517" w14:textId="77777777" w:rsidR="00556E9A" w:rsidRPr="00503070" w:rsidRDefault="00556E9A" w:rsidP="00556E9A">
      <w:pPr>
        <w:spacing w:after="0"/>
        <w:rPr>
          <w:sz w:val="18"/>
        </w:rPr>
      </w:pPr>
      <w:r w:rsidRPr="00503070">
        <w:rPr>
          <w:sz w:val="18"/>
        </w:rPr>
        <w:t>Patients who discontinued study treatment before or at Week 50 or took csDMARDs after Week 36 are considered non-responders for the visits after discontinuation or taking csDMARDs. Multiple imputation is used for all other missing data.</w:t>
      </w:r>
    </w:p>
    <w:p w14:paraId="686C555E" w14:textId="77777777" w:rsidR="00370D43" w:rsidRDefault="00370D43" w:rsidP="00556E9A">
      <w:pPr>
        <w:pStyle w:val="EndNoteBibliography"/>
        <w:spacing w:before="240" w:line="360" w:lineRule="auto"/>
        <w:rPr>
          <w:b/>
          <w:sz w:val="24"/>
        </w:rPr>
      </w:pPr>
    </w:p>
    <w:p w14:paraId="577E9D7C" w14:textId="77777777" w:rsidR="00370D43" w:rsidRDefault="00370D43" w:rsidP="00556E9A">
      <w:pPr>
        <w:pStyle w:val="EndNoteBibliography"/>
        <w:spacing w:before="240" w:line="360" w:lineRule="auto"/>
        <w:rPr>
          <w:b/>
          <w:sz w:val="24"/>
        </w:rPr>
      </w:pPr>
    </w:p>
    <w:p w14:paraId="506640E8" w14:textId="196ABA3E" w:rsidR="002A4DB1" w:rsidRDefault="00556E9A" w:rsidP="002A4DB1">
      <w:pPr>
        <w:pStyle w:val="EndNoteBibliography"/>
        <w:spacing w:before="240" w:line="360" w:lineRule="auto"/>
        <w:ind w:left="1260" w:hanging="1260"/>
        <w:rPr>
          <w:b/>
          <w:sz w:val="24"/>
        </w:rPr>
      </w:pPr>
      <w:r w:rsidRPr="00C90E66">
        <w:rPr>
          <w:b/>
          <w:sz w:val="24"/>
        </w:rPr>
        <w:lastRenderedPageBreak/>
        <w:t>Figure S</w:t>
      </w:r>
      <w:r>
        <w:rPr>
          <w:b/>
          <w:sz w:val="24"/>
        </w:rPr>
        <w:t>2</w:t>
      </w:r>
      <w:r w:rsidRPr="00C90E66">
        <w:rPr>
          <w:b/>
          <w:sz w:val="24"/>
        </w:rPr>
        <w:t xml:space="preserve">. </w:t>
      </w:r>
      <w:r>
        <w:rPr>
          <w:b/>
          <w:sz w:val="24"/>
        </w:rPr>
        <w:t>A. SF-36 PCS, B. SF-36 MCS and C. FACIT-Fatigue mean change from baseline</w:t>
      </w:r>
      <w:r w:rsidRPr="00C90E66">
        <w:rPr>
          <w:b/>
          <w:sz w:val="24"/>
        </w:rPr>
        <w:t xml:space="preserve"> through Week 52 in</w:t>
      </w:r>
      <w:r>
        <w:rPr>
          <w:b/>
          <w:sz w:val="24"/>
        </w:rPr>
        <w:t xml:space="preserve"> the</w:t>
      </w:r>
      <w:r w:rsidRPr="00C90E66">
        <w:rPr>
          <w:b/>
          <w:sz w:val="24"/>
        </w:rPr>
        <w:t xml:space="preserve"> </w:t>
      </w:r>
      <w:r>
        <w:rPr>
          <w:b/>
          <w:sz w:val="24"/>
        </w:rPr>
        <w:t>psoriasis</w:t>
      </w:r>
      <w:r w:rsidRPr="00C90E66">
        <w:rPr>
          <w:b/>
          <w:sz w:val="24"/>
        </w:rPr>
        <w:t xml:space="preserve"> subset</w:t>
      </w:r>
      <w:r>
        <w:rPr>
          <w:b/>
          <w:sz w:val="24"/>
        </w:rPr>
        <w:t xml:space="preserve"> of PsA patients</w:t>
      </w:r>
    </w:p>
    <w:p w14:paraId="60AD92FA" w14:textId="0CFA2A9D" w:rsidR="00556E9A" w:rsidRDefault="001F0A4F" w:rsidP="001F0A4F">
      <w:pPr>
        <w:pStyle w:val="EndNoteBibliography"/>
        <w:spacing w:before="240" w:line="360" w:lineRule="auto"/>
        <w:ind w:left="1260" w:hanging="1260"/>
        <w:rPr>
          <w:b/>
          <w:sz w:val="24"/>
        </w:rPr>
      </w:pPr>
      <w:r>
        <w:rPr>
          <w:b/>
          <w:noProof/>
          <w:sz w:val="24"/>
        </w:rPr>
        <w:drawing>
          <wp:inline distT="0" distB="0" distL="0" distR="0" wp14:anchorId="0473299F" wp14:editId="3145A211">
            <wp:extent cx="7223559"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87336" cy="4151130"/>
                    </a:xfrm>
                    <a:prstGeom prst="rect">
                      <a:avLst/>
                    </a:prstGeom>
                    <a:noFill/>
                  </pic:spPr>
                </pic:pic>
              </a:graphicData>
            </a:graphic>
          </wp:inline>
        </w:drawing>
      </w:r>
    </w:p>
    <w:p w14:paraId="05FA4CB7" w14:textId="7F6EBA63" w:rsidR="00556E9A" w:rsidRDefault="00556E9A" w:rsidP="00556E9A">
      <w:pPr>
        <w:spacing w:after="0"/>
        <w:rPr>
          <w:sz w:val="18"/>
        </w:rPr>
      </w:pPr>
      <w:r w:rsidRPr="007C6077">
        <w:rPr>
          <w:sz w:val="18"/>
        </w:rPr>
        <w:t>P versus adalimumab</w:t>
      </w:r>
      <w:r>
        <w:rPr>
          <w:sz w:val="18"/>
        </w:rPr>
        <w:t xml:space="preserve">; </w:t>
      </w:r>
      <w:r w:rsidRPr="007C6077">
        <w:rPr>
          <w:sz w:val="18"/>
        </w:rPr>
        <w:t>Un</w:t>
      </w:r>
      <w:r w:rsidR="00927AC8">
        <w:rPr>
          <w:sz w:val="18"/>
        </w:rPr>
        <w:t>adjusted p</w:t>
      </w:r>
      <w:r>
        <w:rPr>
          <w:sz w:val="18"/>
        </w:rPr>
        <w:t xml:space="preserve"> </w:t>
      </w:r>
      <w:r w:rsidRPr="007C6077">
        <w:rPr>
          <w:sz w:val="18"/>
        </w:rPr>
        <w:t xml:space="preserve">value is reported; </w:t>
      </w:r>
    </w:p>
    <w:p w14:paraId="6E5DAF71" w14:textId="77777777" w:rsidR="00556E9A" w:rsidRDefault="00556E9A" w:rsidP="00556E9A">
      <w:pPr>
        <w:spacing w:after="0"/>
        <w:rPr>
          <w:sz w:val="18"/>
        </w:rPr>
      </w:pPr>
      <w:r>
        <w:rPr>
          <w:sz w:val="18"/>
        </w:rPr>
        <w:t xml:space="preserve">N, </w:t>
      </w:r>
      <w:r w:rsidRPr="007C6077">
        <w:rPr>
          <w:sz w:val="18"/>
        </w:rPr>
        <w:t xml:space="preserve">number of active PsA patients having BSA&gt;10% or PASI ≥10 affected with psoriasis at baseline </w:t>
      </w:r>
    </w:p>
    <w:p w14:paraId="22A03003" w14:textId="661114F8" w:rsidR="00A93AA6" w:rsidRDefault="00556E9A" w:rsidP="002A4DB1">
      <w:pPr>
        <w:spacing w:after="0"/>
        <w:rPr>
          <w:sz w:val="18"/>
        </w:rPr>
      </w:pPr>
      <w:r w:rsidRPr="007C6077">
        <w:rPr>
          <w:sz w:val="18"/>
        </w:rPr>
        <w:t>csDMARD, conventional synthetic disease modifying anti-rheumatic drugs; FACIT, Functional Assessment of Chronic Illness Therapy; MMRM, Mixed Models Repeated Measures; Patients who discontinued study treatment before or at Week 50 or took csDMARDs after Week 36 are considered non-responders for the visits after discontinuation or taking csDMARDs; Data is presented using MMRM</w:t>
      </w:r>
      <w:r w:rsidR="002A4DB1">
        <w:rPr>
          <w:sz w:val="18"/>
        </w:rPr>
        <w:t>.</w:t>
      </w:r>
    </w:p>
    <w:p w14:paraId="0DFC6EA8" w14:textId="77777777" w:rsidR="001F0A4F" w:rsidRDefault="001F0A4F" w:rsidP="005B66DD">
      <w:pPr>
        <w:spacing w:after="0"/>
        <w:rPr>
          <w:b/>
          <w:sz w:val="24"/>
          <w:szCs w:val="24"/>
        </w:rPr>
      </w:pPr>
    </w:p>
    <w:p w14:paraId="003D99E8" w14:textId="77777777" w:rsidR="001F0A4F" w:rsidRDefault="001F0A4F" w:rsidP="005B66DD">
      <w:pPr>
        <w:spacing w:after="0"/>
        <w:rPr>
          <w:b/>
          <w:sz w:val="24"/>
          <w:szCs w:val="24"/>
        </w:rPr>
      </w:pPr>
    </w:p>
    <w:p w14:paraId="5539A49E" w14:textId="77777777" w:rsidR="001F0A4F" w:rsidRDefault="001F0A4F" w:rsidP="005B66DD">
      <w:pPr>
        <w:spacing w:after="0"/>
        <w:rPr>
          <w:b/>
          <w:sz w:val="24"/>
          <w:szCs w:val="24"/>
        </w:rPr>
      </w:pPr>
    </w:p>
    <w:p w14:paraId="4E3432F6" w14:textId="5645F7A0" w:rsidR="005B66DD" w:rsidRPr="00927AC8" w:rsidRDefault="005B66DD" w:rsidP="005B66DD">
      <w:pPr>
        <w:spacing w:after="0"/>
        <w:rPr>
          <w:b/>
          <w:sz w:val="24"/>
          <w:szCs w:val="24"/>
        </w:rPr>
      </w:pPr>
      <w:r w:rsidRPr="00927AC8">
        <w:rPr>
          <w:b/>
          <w:sz w:val="24"/>
          <w:szCs w:val="24"/>
        </w:rPr>
        <w:t>Table S1: Interaction testing between psoriasis status and the treatment effect at Week 52</w:t>
      </w:r>
    </w:p>
    <w:p w14:paraId="4393D5BE" w14:textId="77777777" w:rsidR="005B66DD" w:rsidRPr="00927AC8" w:rsidRDefault="005B66DD" w:rsidP="005B66DD">
      <w:pPr>
        <w:spacing w:after="0"/>
        <w:rPr>
          <w:b/>
          <w:sz w:val="24"/>
          <w:szCs w:val="24"/>
        </w:rPr>
      </w:pPr>
    </w:p>
    <w:tbl>
      <w:tblPr>
        <w:tblStyle w:val="TableGrid"/>
        <w:tblW w:w="0" w:type="auto"/>
        <w:tblLook w:val="04A0" w:firstRow="1" w:lastRow="0" w:firstColumn="1" w:lastColumn="0" w:noHBand="0" w:noVBand="1"/>
      </w:tblPr>
      <w:tblGrid>
        <w:gridCol w:w="1703"/>
        <w:gridCol w:w="1595"/>
        <w:gridCol w:w="1481"/>
        <w:gridCol w:w="3305"/>
        <w:gridCol w:w="3755"/>
      </w:tblGrid>
      <w:tr w:rsidR="005B66DD" w:rsidRPr="00927AC8" w14:paraId="42B2A885" w14:textId="77777777" w:rsidTr="00F83E74">
        <w:trPr>
          <w:trHeight w:val="320"/>
        </w:trPr>
        <w:tc>
          <w:tcPr>
            <w:tcW w:w="1703" w:type="dxa"/>
            <w:vAlign w:val="center"/>
          </w:tcPr>
          <w:p w14:paraId="197BB3B7" w14:textId="77777777" w:rsidR="005B66DD" w:rsidRPr="00927AC8" w:rsidRDefault="005B66DD" w:rsidP="00F83E74">
            <w:pPr>
              <w:jc w:val="center"/>
              <w:rPr>
                <w:sz w:val="24"/>
                <w:szCs w:val="24"/>
              </w:rPr>
            </w:pPr>
            <w:r w:rsidRPr="00927AC8">
              <w:rPr>
                <w:sz w:val="24"/>
                <w:szCs w:val="24"/>
              </w:rPr>
              <w:t>Efficacy Endpoint</w:t>
            </w:r>
          </w:p>
        </w:tc>
        <w:tc>
          <w:tcPr>
            <w:tcW w:w="1595" w:type="dxa"/>
            <w:vAlign w:val="center"/>
          </w:tcPr>
          <w:p w14:paraId="39AA3737" w14:textId="77777777" w:rsidR="005B66DD" w:rsidRPr="00927AC8" w:rsidRDefault="005B66DD" w:rsidP="00F83E74">
            <w:pPr>
              <w:jc w:val="center"/>
              <w:rPr>
                <w:sz w:val="24"/>
                <w:szCs w:val="24"/>
              </w:rPr>
            </w:pPr>
            <w:r w:rsidRPr="00927AC8">
              <w:rPr>
                <w:sz w:val="24"/>
                <w:szCs w:val="24"/>
              </w:rPr>
              <w:t>ACR20</w:t>
            </w:r>
          </w:p>
        </w:tc>
        <w:tc>
          <w:tcPr>
            <w:tcW w:w="1481" w:type="dxa"/>
            <w:vAlign w:val="center"/>
          </w:tcPr>
          <w:p w14:paraId="52151A9C" w14:textId="77777777" w:rsidR="005B66DD" w:rsidRPr="00927AC8" w:rsidRDefault="005B66DD" w:rsidP="00F83E74">
            <w:pPr>
              <w:jc w:val="center"/>
              <w:rPr>
                <w:sz w:val="24"/>
                <w:szCs w:val="24"/>
              </w:rPr>
            </w:pPr>
            <w:r w:rsidRPr="00927AC8">
              <w:rPr>
                <w:sz w:val="24"/>
                <w:szCs w:val="24"/>
              </w:rPr>
              <w:t>ACR50</w:t>
            </w:r>
          </w:p>
        </w:tc>
        <w:tc>
          <w:tcPr>
            <w:tcW w:w="3305" w:type="dxa"/>
            <w:vAlign w:val="center"/>
          </w:tcPr>
          <w:p w14:paraId="0EAAC684" w14:textId="77777777" w:rsidR="005B66DD" w:rsidRPr="00927AC8" w:rsidRDefault="005B66DD" w:rsidP="00F83E74">
            <w:pPr>
              <w:jc w:val="center"/>
              <w:rPr>
                <w:sz w:val="24"/>
                <w:szCs w:val="24"/>
              </w:rPr>
            </w:pPr>
            <w:r>
              <w:rPr>
                <w:sz w:val="24"/>
                <w:szCs w:val="24"/>
              </w:rPr>
              <w:t>Resolution of e</w:t>
            </w:r>
            <w:r w:rsidRPr="00927AC8">
              <w:rPr>
                <w:sz w:val="24"/>
                <w:szCs w:val="24"/>
              </w:rPr>
              <w:t>nthesitis</w:t>
            </w:r>
          </w:p>
        </w:tc>
        <w:tc>
          <w:tcPr>
            <w:tcW w:w="3755" w:type="dxa"/>
            <w:vAlign w:val="center"/>
          </w:tcPr>
          <w:p w14:paraId="488E6263" w14:textId="77777777" w:rsidR="005B66DD" w:rsidRPr="00927AC8" w:rsidRDefault="005B66DD" w:rsidP="00F83E74">
            <w:pPr>
              <w:jc w:val="center"/>
              <w:rPr>
                <w:sz w:val="24"/>
                <w:szCs w:val="24"/>
              </w:rPr>
            </w:pPr>
            <w:r w:rsidRPr="00927AC8">
              <w:rPr>
                <w:sz w:val="24"/>
                <w:szCs w:val="24"/>
              </w:rPr>
              <w:t xml:space="preserve">Change from Baseline in </w:t>
            </w:r>
          </w:p>
          <w:p w14:paraId="19613ECB" w14:textId="77777777" w:rsidR="005B66DD" w:rsidRPr="00927AC8" w:rsidRDefault="005B66DD" w:rsidP="00F83E74">
            <w:pPr>
              <w:jc w:val="center"/>
              <w:rPr>
                <w:sz w:val="24"/>
                <w:szCs w:val="24"/>
              </w:rPr>
            </w:pPr>
            <w:r w:rsidRPr="00927AC8">
              <w:rPr>
                <w:sz w:val="24"/>
                <w:szCs w:val="24"/>
              </w:rPr>
              <w:t>HAQ-DI</w:t>
            </w:r>
          </w:p>
        </w:tc>
      </w:tr>
      <w:tr w:rsidR="005B66DD" w:rsidRPr="00927AC8" w14:paraId="3FB1819C" w14:textId="77777777" w:rsidTr="00F83E74">
        <w:trPr>
          <w:trHeight w:val="320"/>
        </w:trPr>
        <w:tc>
          <w:tcPr>
            <w:tcW w:w="1703" w:type="dxa"/>
            <w:vAlign w:val="center"/>
          </w:tcPr>
          <w:p w14:paraId="5AF7C7B0" w14:textId="77777777" w:rsidR="005B66DD" w:rsidRPr="00927AC8" w:rsidRDefault="005B66DD" w:rsidP="00F83E74">
            <w:pPr>
              <w:jc w:val="center"/>
              <w:rPr>
                <w:sz w:val="24"/>
                <w:szCs w:val="24"/>
              </w:rPr>
            </w:pPr>
            <w:r w:rsidRPr="00927AC8">
              <w:rPr>
                <w:sz w:val="24"/>
                <w:szCs w:val="24"/>
              </w:rPr>
              <w:t>P-value</w:t>
            </w:r>
          </w:p>
        </w:tc>
        <w:tc>
          <w:tcPr>
            <w:tcW w:w="1595" w:type="dxa"/>
            <w:vAlign w:val="center"/>
          </w:tcPr>
          <w:p w14:paraId="6EB48ED0" w14:textId="77777777" w:rsidR="005B66DD" w:rsidRPr="00927AC8" w:rsidRDefault="005B66DD" w:rsidP="00F83E74">
            <w:pPr>
              <w:jc w:val="center"/>
              <w:rPr>
                <w:sz w:val="24"/>
                <w:szCs w:val="24"/>
              </w:rPr>
            </w:pPr>
            <w:r w:rsidRPr="00927AC8">
              <w:rPr>
                <w:sz w:val="24"/>
                <w:szCs w:val="24"/>
              </w:rPr>
              <w:t>0.8033*</w:t>
            </w:r>
          </w:p>
        </w:tc>
        <w:tc>
          <w:tcPr>
            <w:tcW w:w="1481" w:type="dxa"/>
            <w:vAlign w:val="center"/>
          </w:tcPr>
          <w:p w14:paraId="1FD7C6A3" w14:textId="77777777" w:rsidR="005B66DD" w:rsidRPr="00927AC8" w:rsidRDefault="005B66DD" w:rsidP="00F83E74">
            <w:pPr>
              <w:jc w:val="center"/>
              <w:rPr>
                <w:sz w:val="24"/>
                <w:szCs w:val="24"/>
              </w:rPr>
            </w:pPr>
            <w:r w:rsidRPr="00927AC8">
              <w:rPr>
                <w:sz w:val="24"/>
                <w:szCs w:val="24"/>
              </w:rPr>
              <w:t>0.7158*</w:t>
            </w:r>
          </w:p>
        </w:tc>
        <w:tc>
          <w:tcPr>
            <w:tcW w:w="3305" w:type="dxa"/>
            <w:vAlign w:val="center"/>
          </w:tcPr>
          <w:p w14:paraId="33EC2578" w14:textId="77777777" w:rsidR="005B66DD" w:rsidRPr="00927AC8" w:rsidRDefault="005B66DD" w:rsidP="00F83E74">
            <w:pPr>
              <w:jc w:val="center"/>
              <w:rPr>
                <w:sz w:val="24"/>
                <w:szCs w:val="24"/>
              </w:rPr>
            </w:pPr>
            <w:r w:rsidRPr="00927AC8">
              <w:rPr>
                <w:sz w:val="24"/>
                <w:szCs w:val="24"/>
              </w:rPr>
              <w:t>0.4035*</w:t>
            </w:r>
          </w:p>
        </w:tc>
        <w:tc>
          <w:tcPr>
            <w:tcW w:w="3755" w:type="dxa"/>
            <w:vAlign w:val="center"/>
          </w:tcPr>
          <w:p w14:paraId="056646A9" w14:textId="77777777" w:rsidR="005B66DD" w:rsidRPr="00927AC8" w:rsidRDefault="005B66DD" w:rsidP="00F83E74">
            <w:pPr>
              <w:jc w:val="center"/>
              <w:rPr>
                <w:sz w:val="24"/>
                <w:szCs w:val="24"/>
              </w:rPr>
            </w:pPr>
            <w:r w:rsidRPr="00927AC8">
              <w:rPr>
                <w:sz w:val="24"/>
                <w:szCs w:val="24"/>
              </w:rPr>
              <w:t>0.1531**</w:t>
            </w:r>
          </w:p>
        </w:tc>
      </w:tr>
    </w:tbl>
    <w:p w14:paraId="17C60AB3" w14:textId="77777777" w:rsidR="005B66DD" w:rsidRDefault="005B66DD" w:rsidP="005B66DD">
      <w:pPr>
        <w:spacing w:after="0" w:line="240" w:lineRule="auto"/>
        <w:rPr>
          <w:noProof/>
          <w:sz w:val="24"/>
          <w:szCs w:val="24"/>
        </w:rPr>
      </w:pPr>
    </w:p>
    <w:p w14:paraId="23954461" w14:textId="77777777" w:rsidR="005B66DD" w:rsidRDefault="005B66DD" w:rsidP="005B66DD">
      <w:pPr>
        <w:spacing w:line="240" w:lineRule="auto"/>
        <w:rPr>
          <w:noProof/>
          <w:sz w:val="18"/>
          <w:szCs w:val="18"/>
        </w:rPr>
      </w:pPr>
      <w:r w:rsidRPr="00927AC8">
        <w:rPr>
          <w:noProof/>
          <w:sz w:val="18"/>
          <w:szCs w:val="18"/>
        </w:rPr>
        <w:t xml:space="preserve">*p-values are from a logistic regression model with treatment and psoriasis status as factors and treatment by psoriasis status included as interaction term, and baseline weight as a covariate (at Week 52). </w:t>
      </w:r>
    </w:p>
    <w:p w14:paraId="306CFE6D" w14:textId="77777777" w:rsidR="005B66DD" w:rsidRDefault="005B66DD" w:rsidP="005B66DD">
      <w:pPr>
        <w:spacing w:line="240" w:lineRule="auto"/>
        <w:rPr>
          <w:noProof/>
          <w:sz w:val="18"/>
          <w:szCs w:val="18"/>
        </w:rPr>
      </w:pPr>
      <w:r w:rsidRPr="00927AC8">
        <w:rPr>
          <w:noProof/>
          <w:sz w:val="18"/>
          <w:szCs w:val="18"/>
        </w:rPr>
        <w:t xml:space="preserve">**p-value is from </w:t>
      </w:r>
      <w:r>
        <w:rPr>
          <w:noProof/>
          <w:sz w:val="18"/>
          <w:szCs w:val="18"/>
        </w:rPr>
        <w:t>MMRM</w:t>
      </w:r>
      <w:r w:rsidRPr="00927AC8">
        <w:rPr>
          <w:noProof/>
          <w:sz w:val="18"/>
          <w:szCs w:val="18"/>
        </w:rPr>
        <w:t xml:space="preserve"> with treatment group, psoriasis status and analysis visit as factors, weight and baseline score as covariates, and treatment by psoriasis status, treatment by analysis visit, and baseline score by analysis visit as interaction terms, as well as unstructured covariance structure.</w:t>
      </w:r>
    </w:p>
    <w:p w14:paraId="483B4266" w14:textId="2561806D" w:rsidR="005B66DD" w:rsidRDefault="005B66DD" w:rsidP="005B66DD">
      <w:pPr>
        <w:spacing w:after="0"/>
        <w:rPr>
          <w:sz w:val="18"/>
        </w:rPr>
      </w:pPr>
      <w:r w:rsidRPr="00503070">
        <w:rPr>
          <w:sz w:val="18"/>
        </w:rPr>
        <w:t xml:space="preserve">ACR, American college of rheumatology; </w:t>
      </w:r>
      <w:r>
        <w:rPr>
          <w:sz w:val="18"/>
        </w:rPr>
        <w:t xml:space="preserve">HAQ-DI, </w:t>
      </w:r>
      <w:r w:rsidRPr="0003302B">
        <w:rPr>
          <w:noProof/>
          <w:sz w:val="18"/>
          <w:szCs w:val="18"/>
        </w:rPr>
        <w:t>Health Assessment Questionnaire Disability Index</w:t>
      </w:r>
      <w:r>
        <w:rPr>
          <w:noProof/>
          <w:sz w:val="18"/>
          <w:szCs w:val="18"/>
        </w:rPr>
        <w:t xml:space="preserve">; </w:t>
      </w:r>
      <w:r w:rsidRPr="007C6077">
        <w:rPr>
          <w:sz w:val="18"/>
        </w:rPr>
        <w:t>MMRM,</w:t>
      </w:r>
      <w:r>
        <w:rPr>
          <w:sz w:val="18"/>
        </w:rPr>
        <w:t xml:space="preserve"> Mixed Models Repeated Measures.</w:t>
      </w:r>
    </w:p>
    <w:sectPr w:rsidR="005B66DD" w:rsidSect="00370D43">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D1A26" w14:textId="77777777" w:rsidR="00DE1AE2" w:rsidRDefault="00DE1AE2" w:rsidP="00556E9A">
      <w:pPr>
        <w:spacing w:after="0" w:line="240" w:lineRule="auto"/>
      </w:pPr>
      <w:r>
        <w:separator/>
      </w:r>
    </w:p>
  </w:endnote>
  <w:endnote w:type="continuationSeparator" w:id="0">
    <w:p w14:paraId="3A5EA58B" w14:textId="77777777" w:rsidR="00DE1AE2" w:rsidRDefault="00DE1AE2" w:rsidP="0055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29A5" w14:textId="77777777" w:rsidR="001F0A4F" w:rsidRDefault="001F0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E4CD" w14:textId="77777777" w:rsidR="001F0A4F" w:rsidRDefault="001F0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5041" w14:textId="77777777" w:rsidR="001F0A4F" w:rsidRDefault="001F0A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884688"/>
      <w:docPartObj>
        <w:docPartGallery w:val="Page Numbers (Bottom of Page)"/>
        <w:docPartUnique/>
      </w:docPartObj>
    </w:sdtPr>
    <w:sdtEndPr>
      <w:rPr>
        <w:noProof/>
      </w:rPr>
    </w:sdtEndPr>
    <w:sdtContent>
      <w:p w14:paraId="1C455835" w14:textId="52967519" w:rsidR="008C4015" w:rsidRDefault="008C4015">
        <w:pPr>
          <w:pStyle w:val="Footer"/>
          <w:jc w:val="right"/>
        </w:pPr>
        <w:r>
          <w:fldChar w:fldCharType="begin"/>
        </w:r>
        <w:r>
          <w:instrText xml:space="preserve"> PAGE   \* MERGEFORMAT </w:instrText>
        </w:r>
        <w:r>
          <w:fldChar w:fldCharType="separate"/>
        </w:r>
        <w:r w:rsidR="005B66DD">
          <w:rPr>
            <w:noProof/>
          </w:rPr>
          <w:t>8</w:t>
        </w:r>
        <w:r>
          <w:rPr>
            <w:noProof/>
          </w:rPr>
          <w:fldChar w:fldCharType="end"/>
        </w:r>
      </w:p>
    </w:sdtContent>
  </w:sdt>
  <w:p w14:paraId="2B559E14" w14:textId="77777777" w:rsidR="008C4015" w:rsidRDefault="008C4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7070" w14:textId="77777777" w:rsidR="00DE1AE2" w:rsidRDefault="00DE1AE2" w:rsidP="00556E9A">
      <w:pPr>
        <w:spacing w:after="0" w:line="240" w:lineRule="auto"/>
      </w:pPr>
      <w:r>
        <w:separator/>
      </w:r>
    </w:p>
  </w:footnote>
  <w:footnote w:type="continuationSeparator" w:id="0">
    <w:p w14:paraId="59D82355" w14:textId="77777777" w:rsidR="00DE1AE2" w:rsidRDefault="00DE1AE2" w:rsidP="0055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D8A6" w14:textId="77777777" w:rsidR="001F0A4F" w:rsidRDefault="001F0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2544F" w14:textId="77777777" w:rsidR="001F0A4F" w:rsidRDefault="001F0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DCF4A" w14:textId="77777777" w:rsidR="001F0A4F" w:rsidRDefault="001F0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24"/>
      </w:rPr>
      <w:id w:val="1514349130"/>
      <w:docPartObj>
        <w:docPartGallery w:val="Page Numbers (Top of Page)"/>
        <w:docPartUnique/>
      </w:docPartObj>
    </w:sdtPr>
    <w:sdtEndPr>
      <w:rPr>
        <w:noProof/>
      </w:rPr>
    </w:sdtEndPr>
    <w:sdtContent>
      <w:p w14:paraId="3490239B" w14:textId="6AE45C45" w:rsidR="008C4015" w:rsidRPr="00151F2E" w:rsidRDefault="008C4015" w:rsidP="00151F2E">
        <w:pPr>
          <w:spacing w:line="276" w:lineRule="auto"/>
          <w:rPr>
            <w:rFonts w:eastAsiaTheme="minorEastAsia"/>
            <w:b/>
            <w:bCs/>
            <w:i/>
            <w:sz w:val="18"/>
            <w:szCs w:val="24"/>
          </w:rPr>
        </w:pPr>
        <w:r>
          <w:rPr>
            <w:rFonts w:eastAsiaTheme="minorEastAsia"/>
            <w:b/>
            <w:bCs/>
            <w:i/>
            <w:sz w:val="18"/>
            <w:szCs w:val="24"/>
          </w:rPr>
          <w:tab/>
        </w:r>
        <w:r>
          <w:rPr>
            <w:rFonts w:eastAsiaTheme="minorEastAsia"/>
            <w:b/>
            <w:bCs/>
            <w:i/>
            <w:sz w:val="18"/>
            <w:szCs w:val="24"/>
          </w:rPr>
          <w:tab/>
        </w:r>
        <w:r>
          <w:rPr>
            <w:rFonts w:eastAsiaTheme="minorEastAsia"/>
            <w:b/>
            <w:bCs/>
            <w:i/>
            <w:sz w:val="18"/>
            <w:szCs w:val="24"/>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1663"/>
    <w:multiLevelType w:val="hybridMultilevel"/>
    <w:tmpl w:val="DDFCB1B0"/>
    <w:lvl w:ilvl="0" w:tplc="2D8CA60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07B7"/>
    <w:multiLevelType w:val="hybridMultilevel"/>
    <w:tmpl w:val="68CC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B17B9"/>
    <w:multiLevelType w:val="hybridMultilevel"/>
    <w:tmpl w:val="DF4E4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D75D5"/>
    <w:multiLevelType w:val="hybridMultilevel"/>
    <w:tmpl w:val="769CCE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8D0FE5"/>
    <w:multiLevelType w:val="hybridMultilevel"/>
    <w:tmpl w:val="22C0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Dermatology&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aez20p8xf22zew9afpsrrtrzxw9r9vvw0x&quot;&gt;EXCEED supplement&lt;record-ids&gt;&lt;item&gt;1&lt;/item&gt;&lt;item&gt;2&lt;/item&gt;&lt;item&gt;3&lt;/item&gt;&lt;item&gt;4&lt;/item&gt;&lt;item&gt;5&lt;/item&gt;&lt;/record-ids&gt;&lt;/item&gt;&lt;/Libraries&gt;"/>
  </w:docVars>
  <w:rsids>
    <w:rsidRoot w:val="00556E9A"/>
    <w:rsid w:val="00001DED"/>
    <w:rsid w:val="0003302B"/>
    <w:rsid w:val="0004098C"/>
    <w:rsid w:val="0004210C"/>
    <w:rsid w:val="00161477"/>
    <w:rsid w:val="00181FDC"/>
    <w:rsid w:val="001D61C4"/>
    <w:rsid w:val="001F0A4F"/>
    <w:rsid w:val="00230CF6"/>
    <w:rsid w:val="0024171A"/>
    <w:rsid w:val="00241952"/>
    <w:rsid w:val="00247D4A"/>
    <w:rsid w:val="002732B3"/>
    <w:rsid w:val="002A4DB1"/>
    <w:rsid w:val="00325A42"/>
    <w:rsid w:val="00370D43"/>
    <w:rsid w:val="00382DA0"/>
    <w:rsid w:val="003A5169"/>
    <w:rsid w:val="003C3E13"/>
    <w:rsid w:val="003D4C36"/>
    <w:rsid w:val="00485EB3"/>
    <w:rsid w:val="004B7B1A"/>
    <w:rsid w:val="004D0E76"/>
    <w:rsid w:val="00542F50"/>
    <w:rsid w:val="00556E9A"/>
    <w:rsid w:val="00565E39"/>
    <w:rsid w:val="0059509A"/>
    <w:rsid w:val="005B66DD"/>
    <w:rsid w:val="005F3477"/>
    <w:rsid w:val="007705E4"/>
    <w:rsid w:val="007A7FD9"/>
    <w:rsid w:val="00804500"/>
    <w:rsid w:val="00812F9A"/>
    <w:rsid w:val="008A7594"/>
    <w:rsid w:val="008C2EA5"/>
    <w:rsid w:val="008C4015"/>
    <w:rsid w:val="008D2A93"/>
    <w:rsid w:val="008F1B00"/>
    <w:rsid w:val="008F3568"/>
    <w:rsid w:val="00927AC8"/>
    <w:rsid w:val="00943E1D"/>
    <w:rsid w:val="00951AFF"/>
    <w:rsid w:val="00A4275F"/>
    <w:rsid w:val="00A76FC6"/>
    <w:rsid w:val="00A8536E"/>
    <w:rsid w:val="00A93AA6"/>
    <w:rsid w:val="00AB057D"/>
    <w:rsid w:val="00AE3FAB"/>
    <w:rsid w:val="00AF3C65"/>
    <w:rsid w:val="00B0299F"/>
    <w:rsid w:val="00B56BDC"/>
    <w:rsid w:val="00B8076E"/>
    <w:rsid w:val="00BA7F0A"/>
    <w:rsid w:val="00C153DA"/>
    <w:rsid w:val="00C448CC"/>
    <w:rsid w:val="00C67ACA"/>
    <w:rsid w:val="00C70E0C"/>
    <w:rsid w:val="00C76A68"/>
    <w:rsid w:val="00CA6D1C"/>
    <w:rsid w:val="00CC0E27"/>
    <w:rsid w:val="00CE39CA"/>
    <w:rsid w:val="00DC7D4C"/>
    <w:rsid w:val="00DE1AE2"/>
    <w:rsid w:val="00E45EB9"/>
    <w:rsid w:val="00E81AE3"/>
    <w:rsid w:val="00E82D1B"/>
    <w:rsid w:val="00EC32D4"/>
    <w:rsid w:val="00EC4989"/>
    <w:rsid w:val="00F02E94"/>
    <w:rsid w:val="00F31F85"/>
    <w:rsid w:val="00F35533"/>
    <w:rsid w:val="00F87A2A"/>
    <w:rsid w:val="00FB5FE6"/>
    <w:rsid w:val="00FE49A8"/>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7A946"/>
  <w15:chartTrackingRefBased/>
  <w15:docId w15:val="{76F11914-7391-448E-B551-2977EC09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556E9A"/>
    <w:pPr>
      <w:spacing w:line="240" w:lineRule="auto"/>
    </w:pPr>
    <w:rPr>
      <w:rFonts w:eastAsiaTheme="minorEastAsia"/>
    </w:rPr>
  </w:style>
  <w:style w:type="character" w:customStyle="1" w:styleId="EndNoteBibliographyChar">
    <w:name w:val="EndNote Bibliography Char"/>
    <w:basedOn w:val="DefaultParagraphFont"/>
    <w:link w:val="EndNoteBibliography"/>
    <w:rsid w:val="00556E9A"/>
    <w:rPr>
      <w:rFonts w:eastAsiaTheme="minorEastAsia"/>
    </w:rPr>
  </w:style>
  <w:style w:type="paragraph" w:styleId="NormalWeb">
    <w:name w:val="Normal (Web)"/>
    <w:basedOn w:val="Normal"/>
    <w:uiPriority w:val="99"/>
    <w:unhideWhenUsed/>
    <w:rsid w:val="00556E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6E9A"/>
    <w:pPr>
      <w:ind w:left="720"/>
      <w:contextualSpacing/>
    </w:pPr>
  </w:style>
  <w:style w:type="character" w:styleId="Hyperlink">
    <w:name w:val="Hyperlink"/>
    <w:basedOn w:val="DefaultParagraphFont"/>
    <w:uiPriority w:val="99"/>
    <w:unhideWhenUsed/>
    <w:rsid w:val="00F87A2A"/>
    <w:rPr>
      <w:color w:val="0563C1" w:themeColor="hyperlink"/>
      <w:u w:val="single"/>
    </w:rPr>
  </w:style>
  <w:style w:type="paragraph" w:styleId="Header">
    <w:name w:val="header"/>
    <w:basedOn w:val="Normal"/>
    <w:link w:val="HeaderChar"/>
    <w:uiPriority w:val="99"/>
    <w:unhideWhenUsed/>
    <w:rsid w:val="00F87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A2A"/>
  </w:style>
  <w:style w:type="paragraph" w:styleId="Footer">
    <w:name w:val="footer"/>
    <w:basedOn w:val="Normal"/>
    <w:link w:val="FooterChar"/>
    <w:uiPriority w:val="99"/>
    <w:unhideWhenUsed/>
    <w:rsid w:val="00F87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2A"/>
  </w:style>
  <w:style w:type="paragraph" w:customStyle="1" w:styleId="EndNoteBibliographyTitle">
    <w:name w:val="EndNote Bibliography Title"/>
    <w:basedOn w:val="Normal"/>
    <w:link w:val="EndNoteBibliographyTitleChar"/>
    <w:rsid w:val="00EC32D4"/>
    <w:pPr>
      <w:spacing w:after="0"/>
      <w:jc w:val="center"/>
    </w:pPr>
    <w:rPr>
      <w:noProof/>
    </w:rPr>
  </w:style>
  <w:style w:type="character" w:customStyle="1" w:styleId="EndNoteBibliographyTitleChar">
    <w:name w:val="EndNote Bibliography Title Char"/>
    <w:basedOn w:val="DefaultParagraphFont"/>
    <w:link w:val="EndNoteBibliographyTitle"/>
    <w:rsid w:val="00EC32D4"/>
    <w:rPr>
      <w:noProof/>
    </w:rPr>
  </w:style>
  <w:style w:type="table" w:customStyle="1" w:styleId="TableGrid1">
    <w:name w:val="Table Grid1"/>
    <w:basedOn w:val="TableNormal"/>
    <w:next w:val="TableGrid"/>
    <w:uiPriority w:val="39"/>
    <w:rsid w:val="008C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509A"/>
    <w:rPr>
      <w:sz w:val="16"/>
      <w:szCs w:val="16"/>
    </w:rPr>
  </w:style>
  <w:style w:type="paragraph" w:styleId="CommentText">
    <w:name w:val="annotation text"/>
    <w:basedOn w:val="Normal"/>
    <w:link w:val="CommentTextChar"/>
    <w:uiPriority w:val="99"/>
    <w:semiHidden/>
    <w:unhideWhenUsed/>
    <w:rsid w:val="0059509A"/>
    <w:pPr>
      <w:spacing w:line="240" w:lineRule="auto"/>
    </w:pPr>
  </w:style>
  <w:style w:type="character" w:customStyle="1" w:styleId="CommentTextChar">
    <w:name w:val="Comment Text Char"/>
    <w:basedOn w:val="DefaultParagraphFont"/>
    <w:link w:val="CommentText"/>
    <w:uiPriority w:val="99"/>
    <w:semiHidden/>
    <w:rsid w:val="0059509A"/>
  </w:style>
  <w:style w:type="paragraph" w:styleId="CommentSubject">
    <w:name w:val="annotation subject"/>
    <w:basedOn w:val="CommentText"/>
    <w:next w:val="CommentText"/>
    <w:link w:val="CommentSubjectChar"/>
    <w:uiPriority w:val="99"/>
    <w:semiHidden/>
    <w:unhideWhenUsed/>
    <w:rsid w:val="0059509A"/>
    <w:rPr>
      <w:b/>
      <w:bCs/>
    </w:rPr>
  </w:style>
  <w:style w:type="character" w:customStyle="1" w:styleId="CommentSubjectChar">
    <w:name w:val="Comment Subject Char"/>
    <w:basedOn w:val="CommentTextChar"/>
    <w:link w:val="CommentSubject"/>
    <w:uiPriority w:val="99"/>
    <w:semiHidden/>
    <w:rsid w:val="0059509A"/>
    <w:rPr>
      <w:b/>
      <w:bCs/>
    </w:rPr>
  </w:style>
  <w:style w:type="paragraph" w:styleId="BalloonText">
    <w:name w:val="Balloon Text"/>
    <w:basedOn w:val="Normal"/>
    <w:link w:val="BalloonTextChar"/>
    <w:uiPriority w:val="99"/>
    <w:semiHidden/>
    <w:unhideWhenUsed/>
    <w:rsid w:val="00595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lice.gottlieb@mountsinai.org"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D3A98BB774E4D8B109CC9D9CCA459" ma:contentTypeVersion="13" ma:contentTypeDescription="Create a new document." ma:contentTypeScope="" ma:versionID="4ec44b10398e3927457ed2e30b5be8ba">
  <xsd:schema xmlns:xsd="http://www.w3.org/2001/XMLSchema" xmlns:xs="http://www.w3.org/2001/XMLSchema" xmlns:p="http://schemas.microsoft.com/office/2006/metadata/properties" xmlns:ns3="7e5fc178-6c16-42d5-93b0-738789ec8aa6" xmlns:ns4="acdffd66-8d8b-4f95-98c8-8752c3ec36df" targetNamespace="http://schemas.microsoft.com/office/2006/metadata/properties" ma:root="true" ma:fieldsID="c48450eb7792c24318a0a5b0804f5bd6" ns3:_="" ns4:_="">
    <xsd:import namespace="7e5fc178-6c16-42d5-93b0-738789ec8aa6"/>
    <xsd:import namespace="acdffd66-8d8b-4f95-98c8-8752c3ec36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fc178-6c16-42d5-93b0-738789ec8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ffd66-8d8b-4f95-98c8-8752c3ec36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66CF3-FE73-4BBA-8AE5-8F4FAD8B9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fc178-6c16-42d5-93b0-738789ec8aa6"/>
    <ds:schemaRef ds:uri="acdffd66-8d8b-4f95-98c8-8752c3ec3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7AD01-2F30-4A6D-B7D9-D85CFDACE2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BBCA-8D2D-47F6-80F4-AC153C204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Gurleen</dc:creator>
  <cp:keywords/>
  <dc:description/>
  <cp:lastModifiedBy>Debnath, Tanya</cp:lastModifiedBy>
  <cp:revision>8</cp:revision>
  <dcterms:created xsi:type="dcterms:W3CDTF">2021-03-22T07:22:00Z</dcterms:created>
  <dcterms:modified xsi:type="dcterms:W3CDTF">2021-06-14T13:02:00Z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2020-12-03T09:18:28Z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d09bed97-b07c-4c2c-bd7b-e2aac1b189ae</vt:lpwstr>
  </property>
  <property fmtid="{D5CDD505-2E9C-101B-9397-08002B2CF9AE}" pid="8" name="MSIP_Label_4929bff8-5b33-42aa-95d2-28f72e792cb0_ContentBits">
    <vt:lpwstr>0</vt:lpwstr>
  </property>
  <property fmtid="{D5CDD505-2E9C-101B-9397-08002B2CF9AE}" pid="9" name="ContentTypeId">
    <vt:lpwstr>0x0101002C9D3A98BB774E4D8B109CC9D9CCA459</vt:lpwstr>
  </property>
</Properties>
</file>