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4D131" w14:textId="6626EF13" w:rsidR="00871812" w:rsidRPr="00943249" w:rsidRDefault="00871812" w:rsidP="00476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43249">
        <w:rPr>
          <w:rFonts w:cs="Times New Roman"/>
        </w:rPr>
        <w:t>Practice modality of motor sequences impacts the neural signature of motor imagery</w:t>
      </w:r>
    </w:p>
    <w:p w14:paraId="2C03E64F" w14:textId="07C76576" w:rsidR="00871812" w:rsidRPr="00871812" w:rsidRDefault="00871812" w:rsidP="00476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0"/>
        </w:tabs>
        <w:spacing w:line="360" w:lineRule="auto"/>
      </w:pPr>
      <w:r w:rsidRPr="00943249">
        <w:tab/>
      </w:r>
    </w:p>
    <w:p w14:paraId="2CA7352C" w14:textId="77777777" w:rsidR="00871812" w:rsidRPr="002C7A2D" w:rsidRDefault="00871812" w:rsidP="00476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lang w:val="de-DE"/>
        </w:rPr>
      </w:pPr>
      <w:r w:rsidRPr="002C7A2D">
        <w:rPr>
          <w:rFonts w:cs="Times New Roman"/>
          <w:lang w:val="de-DE"/>
        </w:rPr>
        <w:t>Britta Krüger</w:t>
      </w:r>
      <w:r w:rsidRPr="002C7A2D">
        <w:rPr>
          <w:rFonts w:cs="Times New Roman"/>
          <w:vertAlign w:val="superscript"/>
          <w:lang w:val="de-DE"/>
        </w:rPr>
        <w:t>1</w:t>
      </w:r>
      <w:r w:rsidRPr="002C7A2D">
        <w:rPr>
          <w:rFonts w:cs="Times New Roman"/>
          <w:lang w:val="de-DE"/>
        </w:rPr>
        <w:t>, Meike Hettwer</w:t>
      </w:r>
      <w:r>
        <w:rPr>
          <w:rFonts w:cs="Times New Roman"/>
          <w:vertAlign w:val="superscript"/>
          <w:lang w:val="de-DE"/>
        </w:rPr>
        <w:t>2</w:t>
      </w:r>
      <w:r w:rsidRPr="002C7A2D">
        <w:rPr>
          <w:rFonts w:cs="Times New Roman"/>
          <w:lang w:val="de-DE"/>
        </w:rPr>
        <w:t>, Adam Zabicki</w:t>
      </w:r>
      <w:r w:rsidRPr="002C7A2D">
        <w:rPr>
          <w:rFonts w:cs="Times New Roman"/>
          <w:vertAlign w:val="superscript"/>
          <w:lang w:val="de-DE"/>
        </w:rPr>
        <w:t>1</w:t>
      </w:r>
      <w:r w:rsidRPr="002C7A2D">
        <w:rPr>
          <w:rFonts w:cs="Times New Roman"/>
          <w:lang w:val="de-DE"/>
        </w:rPr>
        <w:t>, Benjamin de Haas</w:t>
      </w:r>
      <w:r>
        <w:rPr>
          <w:rFonts w:cs="Times New Roman"/>
          <w:vertAlign w:val="superscript"/>
          <w:lang w:val="de-DE"/>
        </w:rPr>
        <w:t>4</w:t>
      </w:r>
      <w:r w:rsidRPr="002C7A2D">
        <w:rPr>
          <w:rFonts w:cs="Times New Roman"/>
          <w:lang w:val="de-DE"/>
        </w:rPr>
        <w:t>,</w:t>
      </w:r>
    </w:p>
    <w:p w14:paraId="25AFB5F9" w14:textId="77777777" w:rsidR="00871812" w:rsidRPr="002C7A2D" w:rsidRDefault="00871812" w:rsidP="00476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vertAlign w:val="superscript"/>
          <w:lang w:val="de-DE"/>
        </w:rPr>
      </w:pPr>
      <w:r w:rsidRPr="002C7A2D">
        <w:rPr>
          <w:rFonts w:cs="Times New Roman"/>
          <w:lang w:val="de-DE"/>
        </w:rPr>
        <w:t>Jörn Munzert</w:t>
      </w:r>
      <w:r w:rsidRPr="002C7A2D">
        <w:rPr>
          <w:rFonts w:cs="Times New Roman"/>
          <w:vertAlign w:val="superscript"/>
          <w:lang w:val="de-DE"/>
        </w:rPr>
        <w:t>1</w:t>
      </w:r>
      <w:r w:rsidRPr="002C7A2D">
        <w:rPr>
          <w:rFonts w:cs="Times New Roman"/>
          <w:lang w:val="de-DE"/>
        </w:rPr>
        <w:t>, and Karen Zentgraf*</w:t>
      </w:r>
      <w:r>
        <w:rPr>
          <w:rFonts w:cs="Times New Roman"/>
          <w:vertAlign w:val="superscript"/>
          <w:lang w:val="de-DE"/>
        </w:rPr>
        <w:t>3</w:t>
      </w:r>
    </w:p>
    <w:p w14:paraId="60E4D4E4" w14:textId="77777777" w:rsidR="00871812" w:rsidRPr="002C7A2D" w:rsidRDefault="00871812" w:rsidP="00476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lang w:val="de-DE"/>
        </w:rPr>
      </w:pPr>
    </w:p>
    <w:p w14:paraId="45C81AF3" w14:textId="77777777" w:rsidR="00871812" w:rsidRPr="00943249" w:rsidRDefault="00871812" w:rsidP="00476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</w:rPr>
      </w:pPr>
      <w:r w:rsidRPr="00943249">
        <w:rPr>
          <w:rFonts w:cs="Times New Roman"/>
          <w:vertAlign w:val="superscript"/>
        </w:rPr>
        <w:t>1</w:t>
      </w:r>
      <w:r w:rsidRPr="00943249">
        <w:rPr>
          <w:rFonts w:cs="Times New Roman"/>
        </w:rPr>
        <w:t>Institute for Sports Science, Justus Liebig University Giessen, Germany</w:t>
      </w:r>
    </w:p>
    <w:p w14:paraId="28BEBA3D" w14:textId="77777777" w:rsidR="00871812" w:rsidRPr="007374D5" w:rsidRDefault="00871812" w:rsidP="00476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lang w:val="de-DE"/>
        </w:rPr>
      </w:pPr>
      <w:r>
        <w:rPr>
          <w:rFonts w:cs="Times New Roman"/>
          <w:vertAlign w:val="superscript"/>
        </w:rPr>
        <w:t>2</w:t>
      </w:r>
      <w:r w:rsidRPr="007374D5">
        <w:rPr>
          <w:rFonts w:cs="Times New Roman"/>
          <w:lang w:val="de-DE"/>
        </w:rPr>
        <w:t xml:space="preserve">Max Planck School </w:t>
      </w:r>
      <w:proofErr w:type="spellStart"/>
      <w:r w:rsidRPr="007374D5">
        <w:rPr>
          <w:rFonts w:cs="Times New Roman"/>
          <w:lang w:val="de-DE"/>
        </w:rPr>
        <w:t>of</w:t>
      </w:r>
      <w:proofErr w:type="spellEnd"/>
      <w:r w:rsidRPr="007374D5">
        <w:rPr>
          <w:rFonts w:cs="Times New Roman"/>
          <w:lang w:val="de-DE"/>
        </w:rPr>
        <w:t xml:space="preserve"> </w:t>
      </w:r>
      <w:proofErr w:type="spellStart"/>
      <w:r w:rsidRPr="007374D5">
        <w:rPr>
          <w:rFonts w:cs="Times New Roman"/>
          <w:lang w:val="de-DE"/>
        </w:rPr>
        <w:t>Cognition</w:t>
      </w:r>
      <w:proofErr w:type="spellEnd"/>
      <w:r w:rsidRPr="007374D5">
        <w:rPr>
          <w:rFonts w:cs="Times New Roman"/>
          <w:lang w:val="de-DE"/>
        </w:rPr>
        <w:t>, Leipzig, Germany</w:t>
      </w:r>
    </w:p>
    <w:p w14:paraId="37FB8775" w14:textId="77777777" w:rsidR="00871812" w:rsidRPr="00943249" w:rsidRDefault="00871812" w:rsidP="00476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</w:rPr>
      </w:pPr>
      <w:r>
        <w:rPr>
          <w:rFonts w:cs="Times New Roman"/>
          <w:vertAlign w:val="superscript"/>
        </w:rPr>
        <w:t>3</w:t>
      </w:r>
      <w:r w:rsidRPr="00943249">
        <w:rPr>
          <w:rFonts w:cs="Times New Roman"/>
        </w:rPr>
        <w:t xml:space="preserve">Institute of Sport Sciences, Goethe University Frankfurt, Germany </w:t>
      </w:r>
    </w:p>
    <w:p w14:paraId="4788706A" w14:textId="77777777" w:rsidR="00871812" w:rsidRPr="00943249" w:rsidRDefault="00871812" w:rsidP="00476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</w:rPr>
      </w:pPr>
      <w:r>
        <w:rPr>
          <w:rFonts w:cs="Times New Roman"/>
          <w:vertAlign w:val="superscript"/>
        </w:rPr>
        <w:t>4</w:t>
      </w:r>
      <w:r w:rsidRPr="00943249">
        <w:rPr>
          <w:rFonts w:cs="Times New Roman"/>
        </w:rPr>
        <w:t>Experimental Psychology, Justus Liebig University Giessen, Germany</w:t>
      </w:r>
    </w:p>
    <w:p w14:paraId="63235F62" w14:textId="77777777" w:rsidR="00871812" w:rsidRDefault="00871812" w:rsidP="00C47C8F">
      <w:pPr>
        <w:rPr>
          <w:rFonts w:ascii="Cambria" w:hAnsi="Cambria" w:cs="Arial"/>
          <w:sz w:val="20"/>
          <w:szCs w:val="20"/>
        </w:rPr>
      </w:pPr>
    </w:p>
    <w:p w14:paraId="523D0688" w14:textId="4B06E8F2" w:rsidR="00C47C8F" w:rsidRDefault="00C47C8F" w:rsidP="00C47C8F">
      <w:pPr>
        <w:rPr>
          <w:rFonts w:ascii="Cambria" w:hAnsi="Cambria" w:cs="Arial"/>
          <w:sz w:val="20"/>
          <w:szCs w:val="20"/>
        </w:rPr>
      </w:pPr>
      <w:r w:rsidRPr="006C1088">
        <w:rPr>
          <w:rFonts w:ascii="Cambria" w:hAnsi="Cambria" w:cs="Arial"/>
          <w:sz w:val="20"/>
          <w:szCs w:val="20"/>
        </w:rPr>
        <w:t xml:space="preserve">Supplementary Figures </w:t>
      </w:r>
      <w:bookmarkStart w:id="0" w:name="_GoBack"/>
      <w:bookmarkEnd w:id="0"/>
    </w:p>
    <w:p w14:paraId="54BACAD6" w14:textId="77777777" w:rsidR="00871812" w:rsidRPr="006C1088" w:rsidRDefault="00871812" w:rsidP="00C47C8F">
      <w:pPr>
        <w:rPr>
          <w:rFonts w:ascii="Cambria" w:hAnsi="Cambria" w:cs="Arial"/>
          <w:sz w:val="20"/>
          <w:szCs w:val="20"/>
        </w:rPr>
      </w:pPr>
    </w:p>
    <w:p w14:paraId="2EAF3BF1" w14:textId="0A464716" w:rsidR="009C3008" w:rsidRPr="006C1088" w:rsidRDefault="009241DC">
      <w:pPr>
        <w:rPr>
          <w:rFonts w:ascii="Cambria" w:hAnsi="Cambria" w:cs="Arial"/>
          <w:b/>
          <w:bCs/>
          <w:sz w:val="20"/>
          <w:szCs w:val="20"/>
        </w:rPr>
      </w:pPr>
      <w:r w:rsidRPr="006C1088">
        <w:rPr>
          <w:rFonts w:ascii="Cambria" w:hAnsi="Cambria" w:cs="Arial"/>
          <w:b/>
          <w:bCs/>
          <w:i/>
          <w:iCs/>
          <w:sz w:val="20"/>
          <w:szCs w:val="20"/>
        </w:rPr>
        <w:t xml:space="preserve">Figure </w:t>
      </w:r>
      <w:r w:rsidR="0027029E" w:rsidRPr="00476091">
        <w:rPr>
          <w:rFonts w:ascii="Cambria" w:hAnsi="Cambria" w:cs="Arial"/>
          <w:b/>
          <w:bCs/>
          <w:i/>
          <w:iCs/>
          <w:sz w:val="20"/>
          <w:szCs w:val="20"/>
        </w:rPr>
        <w:t>S</w:t>
      </w:r>
      <w:r w:rsidR="0027029E">
        <w:rPr>
          <w:rFonts w:ascii="Cambria" w:hAnsi="Cambria" w:cs="Arial"/>
          <w:b/>
          <w:bCs/>
          <w:i/>
          <w:iCs/>
          <w:sz w:val="20"/>
          <w:szCs w:val="20"/>
        </w:rPr>
        <w:t>1</w:t>
      </w:r>
      <w:r w:rsidRPr="006C1088">
        <w:rPr>
          <w:rFonts w:ascii="Cambria" w:hAnsi="Cambria" w:cs="Arial"/>
          <w:b/>
          <w:bCs/>
          <w:i/>
          <w:iCs/>
          <w:sz w:val="20"/>
          <w:szCs w:val="20"/>
        </w:rPr>
        <w:t xml:space="preserve">. </w:t>
      </w:r>
      <w:r w:rsidRPr="006C1088">
        <w:rPr>
          <w:rFonts w:ascii="Cambria" w:hAnsi="Cambria" w:cs="Arial"/>
          <w:i/>
          <w:iCs/>
          <w:sz w:val="20"/>
          <w:szCs w:val="20"/>
        </w:rPr>
        <w:t xml:space="preserve">Additional </w:t>
      </w:r>
      <w:proofErr w:type="spellStart"/>
      <w:r w:rsidRPr="006C1088">
        <w:rPr>
          <w:rFonts w:ascii="Cambria" w:hAnsi="Cambria" w:cs="Arial"/>
          <w:i/>
          <w:iCs/>
          <w:sz w:val="20"/>
          <w:szCs w:val="20"/>
        </w:rPr>
        <w:t>behavioral</w:t>
      </w:r>
      <w:proofErr w:type="spellEnd"/>
      <w:r w:rsidRPr="006C1088">
        <w:rPr>
          <w:rFonts w:ascii="Cambria" w:hAnsi="Cambria" w:cs="Arial"/>
          <w:i/>
          <w:iCs/>
          <w:sz w:val="20"/>
          <w:szCs w:val="20"/>
        </w:rPr>
        <w:t xml:space="preserve"> data</w:t>
      </w:r>
      <w:r w:rsidRPr="006C1088">
        <w:rPr>
          <w:rFonts w:ascii="Cambria" w:hAnsi="Cambria" w:cs="Arial"/>
          <w:sz w:val="20"/>
          <w:szCs w:val="20"/>
        </w:rPr>
        <w:t>.</w:t>
      </w:r>
      <w:r w:rsidRPr="006C108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C1088">
        <w:rPr>
          <w:rFonts w:ascii="Cambria" w:hAnsi="Cambria" w:cs="Arial"/>
          <w:sz w:val="20"/>
          <w:szCs w:val="20"/>
        </w:rPr>
        <w:t>Subjects’ sequence execution sped up during practice, as indicated by</w:t>
      </w:r>
      <w:r w:rsidRPr="006C1088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C3008" w:rsidRPr="006C1088">
        <w:rPr>
          <w:rFonts w:ascii="Cambria" w:hAnsi="Cambria" w:cs="Arial"/>
          <w:b/>
          <w:bCs/>
          <w:sz w:val="20"/>
          <w:szCs w:val="20"/>
        </w:rPr>
        <w:t>A)</w:t>
      </w:r>
      <w:r w:rsidR="009C3008" w:rsidRPr="006C1088">
        <w:rPr>
          <w:rFonts w:ascii="Cambria" w:hAnsi="Cambria" w:cs="Arial"/>
          <w:sz w:val="20"/>
          <w:szCs w:val="20"/>
        </w:rPr>
        <w:t xml:space="preserve"> </w:t>
      </w:r>
      <w:r w:rsidRPr="006C1088">
        <w:rPr>
          <w:rFonts w:ascii="Cambria" w:hAnsi="Cambria" w:cs="Arial"/>
          <w:sz w:val="20"/>
          <w:szCs w:val="20"/>
        </w:rPr>
        <w:t>the a</w:t>
      </w:r>
      <w:r w:rsidR="009C3008" w:rsidRPr="006C1088">
        <w:rPr>
          <w:rFonts w:ascii="Cambria" w:hAnsi="Cambria" w:cs="Arial"/>
          <w:sz w:val="20"/>
          <w:szCs w:val="20"/>
        </w:rPr>
        <w:t>bsolute duration</w:t>
      </w:r>
      <w:r w:rsidRPr="006C1088">
        <w:rPr>
          <w:rFonts w:ascii="Cambria" w:hAnsi="Cambria" w:cs="Arial"/>
          <w:sz w:val="20"/>
          <w:szCs w:val="20"/>
        </w:rPr>
        <w:t xml:space="preserve"> and</w:t>
      </w:r>
      <w:r w:rsidR="009C3008" w:rsidRPr="006C1088">
        <w:rPr>
          <w:rFonts w:ascii="Cambria" w:hAnsi="Cambria" w:cs="Arial"/>
          <w:sz w:val="20"/>
          <w:szCs w:val="20"/>
        </w:rPr>
        <w:t xml:space="preserve"> </w:t>
      </w:r>
      <w:r w:rsidR="009C3008" w:rsidRPr="006C1088">
        <w:rPr>
          <w:rFonts w:ascii="Cambria" w:hAnsi="Cambria" w:cs="Arial"/>
          <w:b/>
          <w:bCs/>
          <w:sz w:val="20"/>
          <w:szCs w:val="20"/>
        </w:rPr>
        <w:t xml:space="preserve">B) </w:t>
      </w:r>
      <w:r w:rsidRPr="006C1088">
        <w:rPr>
          <w:rFonts w:ascii="Cambria" w:hAnsi="Cambria" w:cs="Arial"/>
          <w:sz w:val="20"/>
          <w:szCs w:val="20"/>
        </w:rPr>
        <w:t>the</w:t>
      </w:r>
      <w:r w:rsidRPr="006C1088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C3008" w:rsidRPr="006C1088">
        <w:rPr>
          <w:rFonts w:ascii="Cambria" w:hAnsi="Cambria" w:cs="Arial"/>
          <w:sz w:val="20"/>
          <w:szCs w:val="20"/>
        </w:rPr>
        <w:t xml:space="preserve">constant error of sequence execution </w:t>
      </w:r>
      <w:r w:rsidRPr="006C1088">
        <w:rPr>
          <w:rFonts w:ascii="Cambria" w:hAnsi="Cambria" w:cs="Arial"/>
          <w:sz w:val="20"/>
          <w:szCs w:val="20"/>
        </w:rPr>
        <w:t>with respect to the</w:t>
      </w:r>
      <w:r w:rsidR="009C3008" w:rsidRPr="006C1088">
        <w:rPr>
          <w:rFonts w:ascii="Cambria" w:hAnsi="Cambria" w:cs="Arial"/>
          <w:sz w:val="20"/>
          <w:szCs w:val="20"/>
        </w:rPr>
        <w:t xml:space="preserve"> presented model, pre and post practice interventions</w:t>
      </w:r>
      <w:r w:rsidR="004D04C9" w:rsidRPr="006C1088">
        <w:rPr>
          <w:rFonts w:ascii="Cambria" w:hAnsi="Cambria" w:cs="Arial"/>
          <w:sz w:val="20"/>
          <w:szCs w:val="20"/>
        </w:rPr>
        <w:t>.</w:t>
      </w:r>
      <w:r w:rsidR="009C3008" w:rsidRPr="006C1088">
        <w:rPr>
          <w:rFonts w:ascii="Cambria" w:hAnsi="Cambria" w:cs="Arial"/>
          <w:sz w:val="20"/>
          <w:szCs w:val="20"/>
        </w:rPr>
        <w:t xml:space="preserve"> </w:t>
      </w:r>
      <w:r w:rsidR="00C47C8F" w:rsidRPr="006C1088">
        <w:rPr>
          <w:rFonts w:ascii="Cambria" w:hAnsi="Cambria" w:cs="Arial"/>
          <w:sz w:val="20"/>
          <w:szCs w:val="20"/>
        </w:rPr>
        <w:t>During the scanner session, t</w:t>
      </w:r>
      <w:r w:rsidRPr="006C1088">
        <w:rPr>
          <w:rFonts w:ascii="Cambria" w:hAnsi="Cambria" w:cs="Arial"/>
          <w:sz w:val="20"/>
          <w:szCs w:val="20"/>
        </w:rPr>
        <w:t>here was no systematic difference between i</w:t>
      </w:r>
      <w:r w:rsidR="009C3008" w:rsidRPr="006C1088">
        <w:rPr>
          <w:rFonts w:ascii="Cambria" w:hAnsi="Cambria" w:cs="Arial"/>
          <w:sz w:val="20"/>
          <w:szCs w:val="20"/>
        </w:rPr>
        <w:t xml:space="preserve">magery durations </w:t>
      </w:r>
      <w:r w:rsidR="00C47C8F" w:rsidRPr="006C1088">
        <w:rPr>
          <w:rFonts w:ascii="Cambria" w:hAnsi="Cambria" w:cs="Arial"/>
          <w:sz w:val="20"/>
          <w:szCs w:val="20"/>
        </w:rPr>
        <w:t xml:space="preserve">of sequences trained in different modalities </w:t>
      </w:r>
      <w:r w:rsidR="00C47C8F" w:rsidRPr="006C1088">
        <w:rPr>
          <w:rFonts w:ascii="Cambria" w:hAnsi="Cambria" w:cs="Arial"/>
          <w:b/>
          <w:bCs/>
          <w:sz w:val="20"/>
          <w:szCs w:val="20"/>
        </w:rPr>
        <w:t>(C).</w:t>
      </w:r>
    </w:p>
    <w:p w14:paraId="30DE839D" w14:textId="1B2178CC" w:rsidR="00C47C8F" w:rsidRPr="006C1088" w:rsidRDefault="00C47C8F" w:rsidP="00C47C8F">
      <w:pPr>
        <w:rPr>
          <w:rFonts w:ascii="Cambria" w:hAnsi="Cambria" w:cs="Arial"/>
          <w:sz w:val="20"/>
          <w:szCs w:val="20"/>
        </w:rPr>
      </w:pPr>
      <w:r w:rsidRPr="00476091">
        <w:rPr>
          <w:rFonts w:ascii="Cambria" w:hAnsi="Cambria" w:cs="Arial"/>
          <w:b/>
          <w:bCs/>
          <w:i/>
          <w:iCs/>
          <w:sz w:val="20"/>
          <w:szCs w:val="20"/>
        </w:rPr>
        <w:t xml:space="preserve">Figure </w:t>
      </w:r>
      <w:r w:rsidR="0027029E" w:rsidRPr="00476091">
        <w:rPr>
          <w:rFonts w:ascii="Cambria" w:hAnsi="Cambria" w:cs="Arial"/>
          <w:b/>
          <w:bCs/>
          <w:i/>
          <w:iCs/>
          <w:sz w:val="20"/>
          <w:szCs w:val="20"/>
        </w:rPr>
        <w:t>S</w:t>
      </w:r>
      <w:r w:rsidR="00476091" w:rsidRPr="00476091">
        <w:rPr>
          <w:rFonts w:ascii="Cambria" w:hAnsi="Cambria" w:cs="Arial"/>
          <w:b/>
          <w:bCs/>
          <w:i/>
          <w:iCs/>
          <w:sz w:val="20"/>
          <w:szCs w:val="20"/>
        </w:rPr>
        <w:t>2</w:t>
      </w:r>
      <w:r w:rsidRPr="00476091">
        <w:rPr>
          <w:rFonts w:ascii="Cambria" w:hAnsi="Cambria" w:cs="Arial"/>
          <w:b/>
          <w:bCs/>
          <w:i/>
          <w:iCs/>
          <w:sz w:val="20"/>
          <w:szCs w:val="20"/>
        </w:rPr>
        <w:t>.</w:t>
      </w:r>
      <w:r w:rsidRPr="006C108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C1088">
        <w:rPr>
          <w:rFonts w:ascii="Cambria" w:hAnsi="Cambria" w:cs="Arial"/>
          <w:i/>
          <w:iCs/>
          <w:sz w:val="20"/>
          <w:szCs w:val="20"/>
        </w:rPr>
        <w:t>Mental Chronometry.</w:t>
      </w:r>
      <w:r w:rsidRPr="006C108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C1088">
        <w:rPr>
          <w:rFonts w:ascii="Cambria" w:hAnsi="Cambria" w:cs="Arial"/>
          <w:sz w:val="20"/>
          <w:szCs w:val="20"/>
        </w:rPr>
        <w:t xml:space="preserve">Mental chronometry was assessed </w:t>
      </w:r>
      <w:r w:rsidR="009C5FFE" w:rsidRPr="006C1088">
        <w:rPr>
          <w:rFonts w:ascii="Cambria" w:hAnsi="Cambria" w:cs="Arial"/>
          <w:sz w:val="20"/>
          <w:szCs w:val="20"/>
        </w:rPr>
        <w:t xml:space="preserve">based on the </w:t>
      </w:r>
      <w:r w:rsidRPr="006C1088">
        <w:rPr>
          <w:rFonts w:ascii="Cambria" w:hAnsi="Cambria" w:cs="Arial"/>
          <w:sz w:val="20"/>
          <w:szCs w:val="20"/>
        </w:rPr>
        <w:t xml:space="preserve">duration of sequence execution after the intervention and imagery duration during the scanner session. </w:t>
      </w:r>
      <w:r w:rsidR="009C5FFE" w:rsidRPr="006C1088">
        <w:rPr>
          <w:rFonts w:ascii="Cambria" w:hAnsi="Cambria" w:cs="Arial"/>
          <w:b/>
          <w:bCs/>
          <w:sz w:val="20"/>
          <w:szCs w:val="20"/>
        </w:rPr>
        <w:t>A</w:t>
      </w:r>
      <w:r w:rsidRPr="006C1088">
        <w:rPr>
          <w:rFonts w:ascii="Cambria" w:hAnsi="Cambria" w:cs="Arial"/>
          <w:b/>
          <w:bCs/>
          <w:sz w:val="20"/>
          <w:szCs w:val="20"/>
        </w:rPr>
        <w:t xml:space="preserve">) </w:t>
      </w:r>
      <w:r w:rsidR="001E3538" w:rsidRPr="006C1088">
        <w:rPr>
          <w:rFonts w:ascii="Cambria" w:hAnsi="Cambria" w:cs="Arial"/>
          <w:sz w:val="20"/>
          <w:szCs w:val="20"/>
        </w:rPr>
        <w:t xml:space="preserve">Shows </w:t>
      </w:r>
      <w:r w:rsidR="009C5FFE" w:rsidRPr="006C1088">
        <w:rPr>
          <w:rFonts w:ascii="Cambria" w:hAnsi="Cambria" w:cs="Arial"/>
          <w:sz w:val="20"/>
          <w:szCs w:val="20"/>
        </w:rPr>
        <w:t xml:space="preserve">the </w:t>
      </w:r>
      <w:r w:rsidR="001E3538" w:rsidRPr="006C1088">
        <w:rPr>
          <w:rFonts w:ascii="Cambria" w:hAnsi="Cambria" w:cs="Arial"/>
          <w:sz w:val="20"/>
          <w:szCs w:val="20"/>
        </w:rPr>
        <w:t>o</w:t>
      </w:r>
      <w:r w:rsidRPr="006C1088">
        <w:rPr>
          <w:rFonts w:ascii="Cambria" w:hAnsi="Cambria" w:cs="Arial"/>
          <w:sz w:val="20"/>
          <w:szCs w:val="20"/>
        </w:rPr>
        <w:t xml:space="preserve">verall relation between </w:t>
      </w:r>
      <w:r w:rsidR="009C5FFE" w:rsidRPr="006C1088">
        <w:rPr>
          <w:rFonts w:ascii="Cambria" w:hAnsi="Cambria" w:cs="Arial"/>
          <w:sz w:val="20"/>
          <w:szCs w:val="20"/>
        </w:rPr>
        <w:t>execution (</w:t>
      </w:r>
      <w:r w:rsidRPr="006C1088">
        <w:rPr>
          <w:rFonts w:ascii="Cambria" w:hAnsi="Cambria" w:cs="Arial"/>
          <w:sz w:val="20"/>
          <w:szCs w:val="20"/>
        </w:rPr>
        <w:t>ME</w:t>
      </w:r>
      <w:r w:rsidR="009C5FFE" w:rsidRPr="006C1088">
        <w:rPr>
          <w:rFonts w:ascii="Cambria" w:hAnsi="Cambria" w:cs="Arial"/>
          <w:sz w:val="20"/>
          <w:szCs w:val="20"/>
        </w:rPr>
        <w:t>)</w:t>
      </w:r>
      <w:r w:rsidRPr="006C1088">
        <w:rPr>
          <w:rFonts w:ascii="Cambria" w:hAnsi="Cambria" w:cs="Arial"/>
          <w:sz w:val="20"/>
          <w:szCs w:val="20"/>
        </w:rPr>
        <w:t xml:space="preserve"> and</w:t>
      </w:r>
      <w:r w:rsidR="009C5FFE" w:rsidRPr="006C1088">
        <w:rPr>
          <w:rFonts w:ascii="Cambria" w:hAnsi="Cambria" w:cs="Arial"/>
          <w:sz w:val="20"/>
          <w:szCs w:val="20"/>
        </w:rPr>
        <w:t xml:space="preserve"> imagery</w:t>
      </w:r>
      <w:r w:rsidRPr="006C1088">
        <w:rPr>
          <w:rFonts w:ascii="Cambria" w:hAnsi="Cambria" w:cs="Arial"/>
          <w:sz w:val="20"/>
          <w:szCs w:val="20"/>
        </w:rPr>
        <w:t xml:space="preserve"> </w:t>
      </w:r>
      <w:r w:rsidR="009C5FFE" w:rsidRPr="006C1088">
        <w:rPr>
          <w:rFonts w:ascii="Cambria" w:hAnsi="Cambria" w:cs="Arial"/>
          <w:sz w:val="20"/>
          <w:szCs w:val="20"/>
        </w:rPr>
        <w:t>(</w:t>
      </w:r>
      <w:r w:rsidRPr="006C1088">
        <w:rPr>
          <w:rFonts w:ascii="Cambria" w:hAnsi="Cambria" w:cs="Arial"/>
          <w:sz w:val="20"/>
          <w:szCs w:val="20"/>
        </w:rPr>
        <w:t>MI</w:t>
      </w:r>
      <w:r w:rsidR="009C5FFE" w:rsidRPr="006C1088">
        <w:rPr>
          <w:rFonts w:ascii="Cambria" w:hAnsi="Cambria" w:cs="Arial"/>
          <w:sz w:val="20"/>
          <w:szCs w:val="20"/>
        </w:rPr>
        <w:t>)</w:t>
      </w:r>
      <w:r w:rsidRPr="006C1088">
        <w:rPr>
          <w:rFonts w:ascii="Cambria" w:hAnsi="Cambria" w:cs="Arial"/>
          <w:sz w:val="20"/>
          <w:szCs w:val="20"/>
        </w:rPr>
        <w:t xml:space="preserve"> duration, split into </w:t>
      </w:r>
      <w:r w:rsidR="009C5FFE" w:rsidRPr="006C1088">
        <w:rPr>
          <w:rFonts w:ascii="Cambria" w:hAnsi="Cambria" w:cs="Arial"/>
          <w:b/>
          <w:bCs/>
          <w:sz w:val="20"/>
          <w:szCs w:val="20"/>
        </w:rPr>
        <w:t>B</w:t>
      </w:r>
      <w:r w:rsidRPr="006C1088">
        <w:rPr>
          <w:rFonts w:ascii="Cambria" w:hAnsi="Cambria" w:cs="Arial"/>
          <w:b/>
          <w:bCs/>
          <w:sz w:val="20"/>
          <w:szCs w:val="20"/>
        </w:rPr>
        <w:t>)</w:t>
      </w:r>
      <w:r w:rsidRPr="006C1088">
        <w:rPr>
          <w:rFonts w:ascii="Cambria" w:hAnsi="Cambria" w:cs="Arial"/>
          <w:sz w:val="20"/>
          <w:szCs w:val="20"/>
        </w:rPr>
        <w:t xml:space="preserve"> mentally trained, </w:t>
      </w:r>
      <w:r w:rsidR="009C5FFE" w:rsidRPr="006C1088">
        <w:rPr>
          <w:rFonts w:ascii="Cambria" w:hAnsi="Cambria" w:cs="Arial"/>
          <w:b/>
          <w:bCs/>
          <w:sz w:val="20"/>
          <w:szCs w:val="20"/>
        </w:rPr>
        <w:t>C</w:t>
      </w:r>
      <w:r w:rsidRPr="006C1088">
        <w:rPr>
          <w:rFonts w:ascii="Cambria" w:hAnsi="Cambria" w:cs="Arial"/>
          <w:b/>
          <w:bCs/>
          <w:sz w:val="20"/>
          <w:szCs w:val="20"/>
        </w:rPr>
        <w:t>)</w:t>
      </w:r>
      <w:r w:rsidRPr="006C1088">
        <w:rPr>
          <w:rFonts w:ascii="Cambria" w:hAnsi="Cambria" w:cs="Arial"/>
          <w:sz w:val="20"/>
          <w:szCs w:val="20"/>
        </w:rPr>
        <w:t xml:space="preserve"> physically trained and </w:t>
      </w:r>
      <w:r w:rsidR="009C5FFE" w:rsidRPr="006C1088">
        <w:rPr>
          <w:rFonts w:ascii="Cambria" w:hAnsi="Cambria" w:cs="Arial"/>
          <w:b/>
          <w:bCs/>
          <w:sz w:val="20"/>
          <w:szCs w:val="20"/>
        </w:rPr>
        <w:t>D</w:t>
      </w:r>
      <w:r w:rsidRPr="006C1088">
        <w:rPr>
          <w:rFonts w:ascii="Cambria" w:hAnsi="Cambria" w:cs="Arial"/>
          <w:b/>
          <w:bCs/>
          <w:sz w:val="20"/>
          <w:szCs w:val="20"/>
        </w:rPr>
        <w:t>)</w:t>
      </w:r>
      <w:r w:rsidRPr="006C1088">
        <w:rPr>
          <w:rFonts w:ascii="Cambria" w:hAnsi="Cambria" w:cs="Arial"/>
          <w:sz w:val="20"/>
          <w:szCs w:val="20"/>
        </w:rPr>
        <w:t xml:space="preserve"> control sequences. </w:t>
      </w:r>
      <w:proofErr w:type="spellStart"/>
      <w:r w:rsidRPr="006C1088">
        <w:rPr>
          <w:rFonts w:ascii="Cambria" w:hAnsi="Cambria" w:cs="Arial"/>
          <w:i/>
          <w:iCs/>
          <w:sz w:val="20"/>
          <w:szCs w:val="20"/>
        </w:rPr>
        <w:t>r</w:t>
      </w:r>
      <w:r w:rsidRPr="006C1088">
        <w:rPr>
          <w:rFonts w:ascii="Cambria" w:hAnsi="Cambria" w:cs="Arial"/>
          <w:i/>
          <w:iCs/>
          <w:sz w:val="20"/>
          <w:szCs w:val="20"/>
          <w:vertAlign w:val="subscript"/>
        </w:rPr>
        <w:t>s</w:t>
      </w:r>
      <w:proofErr w:type="spellEnd"/>
      <w:r w:rsidRPr="006C1088">
        <w:rPr>
          <w:rFonts w:ascii="Cambria" w:hAnsi="Cambria" w:cs="Arial"/>
          <w:sz w:val="20"/>
          <w:szCs w:val="20"/>
        </w:rPr>
        <w:t xml:space="preserve"> = spearman’s rho, *</w:t>
      </w:r>
      <w:r w:rsidRPr="006C1088">
        <w:rPr>
          <w:rFonts w:ascii="Cambria" w:hAnsi="Cambria" w:cs="Arial"/>
          <w:i/>
          <w:iCs/>
          <w:sz w:val="20"/>
          <w:szCs w:val="20"/>
        </w:rPr>
        <w:t>p</w:t>
      </w:r>
      <w:r w:rsidRPr="006C1088">
        <w:rPr>
          <w:rFonts w:ascii="Cambria" w:hAnsi="Cambria" w:cs="Arial"/>
          <w:sz w:val="20"/>
          <w:szCs w:val="20"/>
        </w:rPr>
        <w:t xml:space="preserve"> &lt; .05, **</w:t>
      </w:r>
      <w:r w:rsidRPr="006C1088">
        <w:rPr>
          <w:rFonts w:ascii="Cambria" w:hAnsi="Cambria" w:cs="Arial"/>
          <w:i/>
          <w:iCs/>
          <w:sz w:val="20"/>
          <w:szCs w:val="20"/>
        </w:rPr>
        <w:t>p</w:t>
      </w:r>
      <w:r w:rsidRPr="006C1088">
        <w:rPr>
          <w:rFonts w:ascii="Cambria" w:hAnsi="Cambria" w:cs="Arial"/>
          <w:sz w:val="20"/>
          <w:szCs w:val="20"/>
        </w:rPr>
        <w:t xml:space="preserve"> &lt; .01.</w:t>
      </w:r>
    </w:p>
    <w:p w14:paraId="7BFCBCC3" w14:textId="636BF4A7" w:rsidR="00C47C8F" w:rsidRPr="00C47C8F" w:rsidRDefault="00C47C8F">
      <w:pPr>
        <w:rPr>
          <w:rFonts w:ascii="Arial" w:hAnsi="Arial" w:cs="Arial"/>
          <w:sz w:val="20"/>
          <w:szCs w:val="20"/>
        </w:rPr>
      </w:pPr>
    </w:p>
    <w:p w14:paraId="1BC22B89" w14:textId="77777777" w:rsidR="00C47C8F" w:rsidRPr="00C47C8F" w:rsidRDefault="00C47C8F">
      <w:pPr>
        <w:rPr>
          <w:rFonts w:ascii="Arial" w:hAnsi="Arial" w:cs="Arial"/>
          <w:sz w:val="20"/>
          <w:szCs w:val="20"/>
        </w:rPr>
      </w:pPr>
    </w:p>
    <w:p w14:paraId="7DFAB095" w14:textId="77777777" w:rsidR="009C3008" w:rsidRPr="00C47C8F" w:rsidRDefault="009C3008">
      <w:pPr>
        <w:rPr>
          <w:rFonts w:ascii="Arial" w:hAnsi="Arial" w:cs="Arial"/>
          <w:sz w:val="20"/>
          <w:szCs w:val="20"/>
        </w:rPr>
      </w:pPr>
    </w:p>
    <w:p w14:paraId="114A652A" w14:textId="6E17BA12" w:rsidR="008048C4" w:rsidRPr="00C47C8F" w:rsidRDefault="008048C4">
      <w:pPr>
        <w:rPr>
          <w:rFonts w:ascii="Arial" w:hAnsi="Arial" w:cs="Arial"/>
          <w:sz w:val="20"/>
          <w:szCs w:val="20"/>
        </w:rPr>
      </w:pPr>
    </w:p>
    <w:p w14:paraId="6D05C640" w14:textId="77777777" w:rsidR="008048C4" w:rsidRPr="00C47C8F" w:rsidRDefault="008048C4">
      <w:pPr>
        <w:rPr>
          <w:rFonts w:ascii="Arial" w:hAnsi="Arial" w:cs="Arial"/>
          <w:sz w:val="20"/>
          <w:szCs w:val="20"/>
        </w:rPr>
      </w:pPr>
    </w:p>
    <w:sectPr w:rsidR="008048C4" w:rsidRPr="00C47C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C8"/>
    <w:rsid w:val="001E3538"/>
    <w:rsid w:val="0027029E"/>
    <w:rsid w:val="00476091"/>
    <w:rsid w:val="004D04C9"/>
    <w:rsid w:val="005B7E48"/>
    <w:rsid w:val="006125F1"/>
    <w:rsid w:val="006C1088"/>
    <w:rsid w:val="00727D0F"/>
    <w:rsid w:val="008048C4"/>
    <w:rsid w:val="00871812"/>
    <w:rsid w:val="009241DC"/>
    <w:rsid w:val="009C3008"/>
    <w:rsid w:val="009C5FFE"/>
    <w:rsid w:val="00C47C8F"/>
    <w:rsid w:val="00E0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9B71"/>
  <w15:chartTrackingRefBased/>
  <w15:docId w15:val="{AF41E672-C3F4-48BE-BF76-75342232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E48"/>
    <w:rPr>
      <w:rFonts w:ascii="Segoe UI" w:hAnsi="Segoe UI" w:cs="Segoe UI"/>
      <w:sz w:val="18"/>
      <w:szCs w:val="18"/>
      <w:lang w:val="en-GB"/>
    </w:rPr>
  </w:style>
  <w:style w:type="character" w:customStyle="1" w:styleId="st">
    <w:name w:val="st"/>
    <w:basedOn w:val="Absatz-Standardschriftart"/>
    <w:rsid w:val="005B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Hettwer</dc:creator>
  <cp:keywords/>
  <dc:description/>
  <cp:lastModifiedBy>Microsoft Office-Benutzer</cp:lastModifiedBy>
  <cp:revision>3</cp:revision>
  <cp:lastPrinted>2020-09-08T09:18:00Z</cp:lastPrinted>
  <dcterms:created xsi:type="dcterms:W3CDTF">2020-09-08T09:16:00Z</dcterms:created>
  <dcterms:modified xsi:type="dcterms:W3CDTF">2020-09-08T09:27:00Z</dcterms:modified>
</cp:coreProperties>
</file>