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7BF86" w14:textId="77777777" w:rsidR="00CD0C99" w:rsidRDefault="00CD0C99" w:rsidP="00D440F9">
      <w:pPr>
        <w:spacing w:line="360" w:lineRule="auto"/>
        <w:rPr>
          <w:rFonts w:asciiTheme="minorHAnsi" w:hAnsiTheme="minorHAnsi" w:cstheme="minorBidi"/>
          <w:b/>
        </w:rPr>
      </w:pPr>
    </w:p>
    <w:p w14:paraId="10E64058" w14:textId="77777777" w:rsidR="00CD0C99" w:rsidRPr="00264D2F" w:rsidRDefault="00CD0C99" w:rsidP="00CD0C99">
      <w:pPr>
        <w:spacing w:line="360" w:lineRule="auto"/>
        <w:jc w:val="both"/>
        <w:rPr>
          <w:b/>
          <w:sz w:val="28"/>
          <w:szCs w:val="22"/>
        </w:rPr>
      </w:pPr>
      <w:r w:rsidRPr="00264D2F">
        <w:rPr>
          <w:b/>
          <w:sz w:val="28"/>
          <w:szCs w:val="22"/>
        </w:rPr>
        <w:t xml:space="preserve">Spatial accessibility of general inpatient care in Germany – An analysis of surgery, internal </w:t>
      </w:r>
      <w:proofErr w:type="gramStart"/>
      <w:r w:rsidRPr="00264D2F">
        <w:rPr>
          <w:b/>
          <w:sz w:val="28"/>
          <w:szCs w:val="22"/>
        </w:rPr>
        <w:t>medicine</w:t>
      </w:r>
      <w:proofErr w:type="gramEnd"/>
      <w:r w:rsidRPr="00264D2F">
        <w:rPr>
          <w:b/>
          <w:sz w:val="28"/>
          <w:szCs w:val="22"/>
        </w:rPr>
        <w:t xml:space="preserve"> and neurology</w:t>
      </w:r>
    </w:p>
    <w:p w14:paraId="6C3F276A" w14:textId="77777777" w:rsidR="00CD0C99" w:rsidRPr="00CD0C99" w:rsidRDefault="00CD0C99" w:rsidP="00CD0C99">
      <w:pPr>
        <w:spacing w:line="360" w:lineRule="auto"/>
        <w:jc w:val="both"/>
        <w:rPr>
          <w:vertAlign w:val="superscript"/>
          <w:lang w:val="de-DE"/>
        </w:rPr>
      </w:pPr>
      <w:r w:rsidRPr="00CD0C99">
        <w:rPr>
          <w:lang w:val="de-DE"/>
        </w:rPr>
        <w:t>Jan Bauer*</w:t>
      </w:r>
      <w:r w:rsidRPr="00CD0C99">
        <w:rPr>
          <w:vertAlign w:val="superscript"/>
          <w:lang w:val="de-DE"/>
        </w:rPr>
        <w:t>1</w:t>
      </w:r>
      <w:r w:rsidRPr="00CD0C99">
        <w:rPr>
          <w:lang w:val="de-DE"/>
        </w:rPr>
        <w:t>; Doris Klingelhöfer</w:t>
      </w:r>
      <w:r w:rsidRPr="00CD0C99">
        <w:rPr>
          <w:vertAlign w:val="superscript"/>
          <w:lang w:val="de-DE"/>
        </w:rPr>
        <w:t>1</w:t>
      </w:r>
      <w:r w:rsidRPr="00CD0C99">
        <w:rPr>
          <w:lang w:val="de-DE"/>
        </w:rPr>
        <w:t>; Werner Maier</w:t>
      </w:r>
      <w:r w:rsidRPr="00CD0C99">
        <w:rPr>
          <w:bCs/>
          <w:color w:val="000000" w:themeColor="text1"/>
          <w:vertAlign w:val="superscript"/>
          <w:lang w:val="de-DE"/>
        </w:rPr>
        <w:t>2.</w:t>
      </w:r>
      <w:r w:rsidRPr="00CD0C99">
        <w:rPr>
          <w:lang w:val="de-DE"/>
        </w:rPr>
        <w:t>; Lars Schwettmann</w:t>
      </w:r>
      <w:r w:rsidRPr="00CD0C99">
        <w:rPr>
          <w:bCs/>
          <w:color w:val="000000" w:themeColor="text1"/>
          <w:vertAlign w:val="superscript"/>
          <w:lang w:val="de-DE"/>
        </w:rPr>
        <w:t>2.3</w:t>
      </w:r>
      <w:r w:rsidRPr="00CD0C99">
        <w:rPr>
          <w:lang w:val="de-DE"/>
        </w:rPr>
        <w:t>; David A. Groneberg</w:t>
      </w:r>
      <w:r w:rsidRPr="00CD0C99">
        <w:rPr>
          <w:vertAlign w:val="superscript"/>
          <w:lang w:val="de-DE"/>
        </w:rPr>
        <w:t>1</w:t>
      </w:r>
    </w:p>
    <w:p w14:paraId="4DD7F73B" w14:textId="77777777" w:rsidR="00CD0C99" w:rsidRPr="00CD0C99" w:rsidRDefault="00CD0C99" w:rsidP="00CD0C99">
      <w:pPr>
        <w:spacing w:line="360" w:lineRule="auto"/>
        <w:rPr>
          <w:lang w:val="de-DE"/>
        </w:rPr>
      </w:pPr>
    </w:p>
    <w:p w14:paraId="713477A9" w14:textId="77777777" w:rsidR="00CD0C99" w:rsidRDefault="00CD0C99" w:rsidP="00CD0C99">
      <w:pPr>
        <w:spacing w:after="200" w:line="360" w:lineRule="auto"/>
        <w:rPr>
          <w:sz w:val="20"/>
          <w:szCs w:val="20"/>
        </w:rPr>
      </w:pPr>
      <w:r>
        <w:rPr>
          <w:sz w:val="20"/>
          <w:szCs w:val="20"/>
          <w:vertAlign w:val="superscript"/>
        </w:rPr>
        <w:t>1</w:t>
      </w:r>
      <w:r>
        <w:rPr>
          <w:sz w:val="20"/>
          <w:szCs w:val="20"/>
        </w:rPr>
        <w:t>Division of Health Services Research, Institute of Occupational Medicine, Social Medicine and Environmental Medicine, Goethe University Frankfurt, Theodor-Stern-Kai 7, 60590 Frankfurt</w:t>
      </w:r>
    </w:p>
    <w:p w14:paraId="04DF7773" w14:textId="77777777" w:rsidR="00CD0C99" w:rsidRDefault="00CD0C99" w:rsidP="00CD0C99">
      <w:pPr>
        <w:spacing w:after="200" w:line="360" w:lineRule="auto"/>
        <w:rPr>
          <w:bCs/>
          <w:color w:val="000000" w:themeColor="text1"/>
          <w:sz w:val="20"/>
          <w:szCs w:val="20"/>
          <w:lang w:val="en-GB"/>
        </w:rPr>
      </w:pPr>
      <w:r>
        <w:rPr>
          <w:bCs/>
          <w:color w:val="000000" w:themeColor="text1"/>
          <w:sz w:val="20"/>
          <w:szCs w:val="20"/>
          <w:vertAlign w:val="superscript"/>
          <w:lang w:val="en-GB"/>
        </w:rPr>
        <w:t>2</w:t>
      </w:r>
      <w:r>
        <w:rPr>
          <w:bCs/>
          <w:color w:val="000000" w:themeColor="text1"/>
          <w:sz w:val="20"/>
          <w:szCs w:val="20"/>
          <w:lang w:val="en-GB"/>
        </w:rPr>
        <w:t xml:space="preserve">Institute of Health Economics and Health Care Management, Helmholtz </w:t>
      </w:r>
      <w:proofErr w:type="spellStart"/>
      <w:r>
        <w:rPr>
          <w:bCs/>
          <w:color w:val="000000" w:themeColor="text1"/>
          <w:sz w:val="20"/>
          <w:szCs w:val="20"/>
          <w:lang w:val="en-GB"/>
        </w:rPr>
        <w:t>Zentrum</w:t>
      </w:r>
      <w:proofErr w:type="spellEnd"/>
      <w:r>
        <w:rPr>
          <w:bCs/>
          <w:color w:val="000000" w:themeColor="text1"/>
          <w:sz w:val="20"/>
          <w:szCs w:val="20"/>
          <w:lang w:val="en-GB"/>
        </w:rPr>
        <w:t xml:space="preserve"> München, German Research </w:t>
      </w:r>
      <w:proofErr w:type="spellStart"/>
      <w:r>
        <w:rPr>
          <w:bCs/>
          <w:color w:val="000000" w:themeColor="text1"/>
          <w:sz w:val="20"/>
          <w:szCs w:val="20"/>
          <w:lang w:val="en-GB"/>
        </w:rPr>
        <w:t>Center</w:t>
      </w:r>
      <w:proofErr w:type="spellEnd"/>
      <w:r>
        <w:rPr>
          <w:bCs/>
          <w:color w:val="000000" w:themeColor="text1"/>
          <w:sz w:val="20"/>
          <w:szCs w:val="20"/>
          <w:lang w:val="en-GB"/>
        </w:rPr>
        <w:t xml:space="preserve"> for Environmental Health (GmbH), </w:t>
      </w:r>
      <w:proofErr w:type="spellStart"/>
      <w:r>
        <w:rPr>
          <w:bCs/>
          <w:color w:val="000000" w:themeColor="text1"/>
          <w:sz w:val="20"/>
          <w:szCs w:val="20"/>
          <w:lang w:val="en-GB"/>
        </w:rPr>
        <w:t>Ingolstädter</w:t>
      </w:r>
      <w:proofErr w:type="spellEnd"/>
      <w:r>
        <w:rPr>
          <w:bCs/>
          <w:color w:val="000000" w:themeColor="text1"/>
          <w:sz w:val="20"/>
          <w:szCs w:val="20"/>
          <w:lang w:val="en-GB"/>
        </w:rPr>
        <w:t xml:space="preserve"> </w:t>
      </w:r>
      <w:proofErr w:type="spellStart"/>
      <w:r>
        <w:rPr>
          <w:bCs/>
          <w:color w:val="000000" w:themeColor="text1"/>
          <w:sz w:val="20"/>
          <w:szCs w:val="20"/>
          <w:lang w:val="en-GB"/>
        </w:rPr>
        <w:t>Landstr</w:t>
      </w:r>
      <w:proofErr w:type="spellEnd"/>
      <w:r>
        <w:rPr>
          <w:bCs/>
          <w:color w:val="000000" w:themeColor="text1"/>
          <w:sz w:val="20"/>
          <w:szCs w:val="20"/>
          <w:lang w:val="en-GB"/>
        </w:rPr>
        <w:t xml:space="preserve">. 1. 85764 </w:t>
      </w:r>
      <w:proofErr w:type="spellStart"/>
      <w:r>
        <w:rPr>
          <w:bCs/>
          <w:color w:val="000000" w:themeColor="text1"/>
          <w:sz w:val="20"/>
          <w:szCs w:val="20"/>
          <w:lang w:val="en-GB"/>
        </w:rPr>
        <w:t>Neuherberg</w:t>
      </w:r>
      <w:proofErr w:type="spellEnd"/>
      <w:r>
        <w:rPr>
          <w:bCs/>
          <w:color w:val="000000" w:themeColor="text1"/>
          <w:sz w:val="20"/>
          <w:szCs w:val="20"/>
          <w:lang w:val="en-GB"/>
        </w:rPr>
        <w:t>, Germany</w:t>
      </w:r>
    </w:p>
    <w:p w14:paraId="0BF61D5E" w14:textId="77777777" w:rsidR="00CD0C99" w:rsidRDefault="00CD0C99" w:rsidP="00CD0C99">
      <w:pPr>
        <w:spacing w:after="200" w:line="276" w:lineRule="auto"/>
      </w:pPr>
      <w:r>
        <w:rPr>
          <w:sz w:val="20"/>
          <w:szCs w:val="20"/>
          <w:vertAlign w:val="superscript"/>
        </w:rPr>
        <w:t>3</w:t>
      </w:r>
      <w:r>
        <w:rPr>
          <w:sz w:val="20"/>
          <w:szCs w:val="20"/>
        </w:rPr>
        <w:t>Department of Economics, Martin Luther University Halle-Wittenberg, 06099 Halle an der Saale, Germany</w:t>
      </w:r>
    </w:p>
    <w:p w14:paraId="28C6385F" w14:textId="77777777" w:rsidR="00CD0C99" w:rsidRDefault="00CD0C99" w:rsidP="00D440F9">
      <w:pPr>
        <w:spacing w:line="360" w:lineRule="auto"/>
        <w:rPr>
          <w:rFonts w:asciiTheme="minorHAnsi" w:hAnsiTheme="minorHAnsi" w:cstheme="minorBidi"/>
          <w:b/>
        </w:rPr>
      </w:pPr>
    </w:p>
    <w:p w14:paraId="18F9295B" w14:textId="77777777" w:rsidR="00CD0C99" w:rsidRDefault="00CD0C99" w:rsidP="00D440F9">
      <w:pPr>
        <w:spacing w:line="360" w:lineRule="auto"/>
        <w:rPr>
          <w:rFonts w:asciiTheme="minorHAnsi" w:hAnsiTheme="minorHAnsi" w:cstheme="minorBidi"/>
          <w:b/>
        </w:rPr>
      </w:pPr>
    </w:p>
    <w:p w14:paraId="2477E306" w14:textId="576D58EC" w:rsidR="00CD0C99" w:rsidRDefault="00CD0C99" w:rsidP="00D440F9">
      <w:pPr>
        <w:spacing w:line="360" w:lineRule="auto"/>
        <w:rPr>
          <w:rFonts w:asciiTheme="minorHAnsi" w:hAnsiTheme="minorHAnsi" w:cstheme="minorBidi"/>
          <w:b/>
        </w:rPr>
      </w:pPr>
      <w:r w:rsidRPr="00CD0C99">
        <w:rPr>
          <w:rFonts w:asciiTheme="minorHAnsi" w:hAnsiTheme="minorHAnsi" w:cstheme="minorBidi"/>
          <w:b/>
        </w:rPr>
        <w:t>Supplementary</w:t>
      </w:r>
      <w:r>
        <w:rPr>
          <w:rFonts w:asciiTheme="minorHAnsi" w:hAnsiTheme="minorHAnsi" w:cstheme="minorBidi"/>
          <w:b/>
        </w:rPr>
        <w:t xml:space="preserve"> File 1</w:t>
      </w:r>
    </w:p>
    <w:p w14:paraId="76F1DE47" w14:textId="77777777" w:rsidR="00CD0C99" w:rsidRDefault="00CD0C99" w:rsidP="00D440F9">
      <w:pPr>
        <w:spacing w:line="360" w:lineRule="auto"/>
        <w:rPr>
          <w:rFonts w:asciiTheme="minorHAnsi" w:hAnsiTheme="minorHAnsi" w:cstheme="minorBidi"/>
          <w:b/>
        </w:rPr>
      </w:pPr>
    </w:p>
    <w:p w14:paraId="7DAABB9E" w14:textId="50DF3EDA" w:rsidR="00D440F9" w:rsidRDefault="00D440F9" w:rsidP="00D440F9">
      <w:pPr>
        <w:spacing w:line="360" w:lineRule="auto"/>
        <w:rPr>
          <w:rFonts w:cs="Arial"/>
          <w:color w:val="000000" w:themeColor="text1"/>
          <w:szCs w:val="22"/>
        </w:rPr>
      </w:pPr>
      <w:r>
        <w:rPr>
          <w:rFonts w:cs="Arial"/>
          <w:color w:val="000000" w:themeColor="text1"/>
          <w:szCs w:val="22"/>
        </w:rPr>
        <w:t>Distance decay was considered to model the decreasing probability of choosing a certain hospital with increasing distances.</w:t>
      </w:r>
      <w:r>
        <w:fldChar w:fldCharType="begin" w:fldLock="1"/>
      </w:r>
      <w:r w:rsidR="00A31434">
        <w:instrText>ADDIN CSL_CITATION {"citationItems":[{"id":"ITEM-1","itemData":{"DOI":"10.1016/j.healthpol.2014.07.018","ISSN":"18726054","abstract":"Background and purpose: Despite efforts to provide comprehensive health care services and reduce inequalities, most developed countries face serious challenges in achieving comprehensive health care delivery in rural areas. The purpose of this study is to characterize health care shortages in the rural areas of developed countries and to comprehensively explore the underlying reasons for these shortages. Methods and sample: To answer the research questions, we conducted a systematic literature review. The content analysis included 176 papers on the topic of rural health care. The thematic-analysis approach revealed key aspects of health care shortages in rural areas and evidence regarding the reasons for these shortages. Findings and conclusion: Shortages of sufficient health care in rural areas were clustered into the following five categories: provider shortages, maldistribution, quality deficiencies, access limitations and the inefficient utilization of health care services. The reasons for the occurrence of these shortage problems are manifold and are related to physical/infrastructural, professional, educational, social-cultural, economic and political issues. This paper contributes to a comprehensive understanding of the health care problems in rural areas by creating an integrated framework that examines several aspects of shortages in sufficient health care in rural areas as well as their underlying reasons. The results provide directions for future research and specific advice for policy makers.","author":[{"dropping-particle":"","family":"Weinhold","given":"Ines","non-dropping-particle":"","parse-names":false,"suffix":""},{"dropping-particle":"","family":"Gurtner","given":"Sebastian","non-dropping-particle":"","parse-names":false,"suffix":""}],"container-title":"Health Policy","id":"ITEM-1","issue":"2","issued":{"date-parts":[["2014"]]},"page":"201-214","publisher":"Elsevier Ireland Ltd","title":"Understanding shortages of sufficient health care in rural areas","type":"article-journal","volume":"118"},"uris":["http://www.mendeley.com/documents/?uuid=01ee5b78-3dd6-4367-8ae4-7ceb736d5327"]},{"id":"ITEM-2","itemData":{"DOI":"10.1186/1476-072X-3-3","ISBN":"1476-072X","ISSN":"1476-072X","PMID":"14987337","abstract":"Primary care is recognized as the most important form of healthcare for maintaining population health because it is relatively inexpensive, can be more easily delivered than specialty and inpatient care, and if properly distributed it is most effective in preventing disease progression on a large scale. Recent advances in the field of health geography have greatly improved our understanding of the role played by geographic distribution of health services in population health maintenance. However, most of this knowledge has accrued for hospital and specialty services and services in rural areas. Much less is known about the effect of distance to and supply of primary care on primary care utilization, particularly in the U.S.For several reasons the shortage of information is particularly acute for urban areas, where the majority of people live. First, explicit definitions and conceptualizations of healthcare access have not been widely used to guide research. An additional barrier to progress has been an overwhelming concern about affordability of care, which has garnered the majority of attention and research resources. Also, the most popular measures of spatial accessibility to care - travel impedance to nearest provider and supply level within bordered areas - lose validity in congested urban areas. Better measures are needed. Fortunately, some advances are occurring on the methodological front. These can improve our knowledge of all types of healthcare geography in all settings, including primary care in urban areas.This paper explains basic concepts and measurements of access, provides some historical background, outlines the major questions concerning geographic accessibility of primary care, describes recent developments in GIS and spatial analysis, and presents examples of promising work.","author":[{"dropping-particle":"","family":"Guagliardo","given":"Mark F","non-dropping-particle":"","parse-names":false,"suffix":""}],"container-title":"Int J Health Geogr","id":"ITEM-2","issue":"1","issued":{"date-parts":[["2004"]]},"page":"3","title":"Spatial accessibility of primary care: concepts, methods and challenges.","type":"article-journal","volume":"3"},"uris":["http://www.mendeley.com/documents/?uuid=994ab473-25bd-41e2-86f8-01e9c0a3eadb"]}],"mendeley":{"formattedCitation":"&lt;sup&gt;1,2&lt;/sup&gt;","plainTextFormattedCitation":"1,2","previouslyFormattedCitation":"&lt;sup&gt;1,2&lt;/sup&gt;"},"properties":{"noteIndex":0},"schema":"https://github.com/citation-style-language/schema/raw/master/csl-citation.json"}</w:instrText>
      </w:r>
      <w:r>
        <w:fldChar w:fldCharType="separate"/>
      </w:r>
      <w:r w:rsidR="00A31434" w:rsidRPr="00A31434">
        <w:rPr>
          <w:noProof/>
          <w:vertAlign w:val="superscript"/>
        </w:rPr>
        <w:t>1,2</w:t>
      </w:r>
      <w:r>
        <w:fldChar w:fldCharType="end"/>
      </w:r>
      <w:r>
        <w:t xml:space="preserve"> Distance decay is represented by the sigmoid functions </w:t>
      </w:r>
      <w:proofErr w:type="spellStart"/>
      <w:r>
        <w:rPr>
          <w:i/>
        </w:rPr>
        <w:t>f</w:t>
      </w:r>
      <w:r>
        <w:rPr>
          <w:i/>
          <w:vertAlign w:val="subscript"/>
        </w:rPr>
        <w:t>adj</w:t>
      </w:r>
      <w:proofErr w:type="spellEnd"/>
      <w:r>
        <w:rPr>
          <w:i/>
        </w:rPr>
        <w:t>(</w:t>
      </w:r>
      <w:proofErr w:type="spellStart"/>
      <w:r>
        <w:rPr>
          <w:i/>
        </w:rPr>
        <w:t>d</w:t>
      </w:r>
      <w:r>
        <w:rPr>
          <w:i/>
          <w:vertAlign w:val="subscript"/>
        </w:rPr>
        <w:t>xy</w:t>
      </w:r>
      <w:proofErr w:type="spellEnd"/>
      <w:r>
        <w:rPr>
          <w:i/>
        </w:rPr>
        <w:t xml:space="preserve">) </w:t>
      </w:r>
      <w:r>
        <w:t>and</w:t>
      </w:r>
      <w:r>
        <w:rPr>
          <w:i/>
        </w:rPr>
        <w:t xml:space="preserve">  </w:t>
      </w:r>
      <w:proofErr w:type="spellStart"/>
      <w:r>
        <w:rPr>
          <w:i/>
        </w:rPr>
        <w:t>f</w:t>
      </w:r>
      <w:r>
        <w:rPr>
          <w:i/>
          <w:vertAlign w:val="subscript"/>
        </w:rPr>
        <w:t>con</w:t>
      </w:r>
      <w:proofErr w:type="spellEnd"/>
      <w:r>
        <w:rPr>
          <w:i/>
        </w:rPr>
        <w:t>(</w:t>
      </w:r>
      <w:proofErr w:type="spellStart"/>
      <w:r>
        <w:rPr>
          <w:i/>
        </w:rPr>
        <w:t>d</w:t>
      </w:r>
      <w:r>
        <w:rPr>
          <w:i/>
          <w:vertAlign w:val="subscript"/>
        </w:rPr>
        <w:t>xy</w:t>
      </w:r>
      <w:proofErr w:type="spellEnd"/>
      <w:r>
        <w:rPr>
          <w:i/>
        </w:rPr>
        <w:t xml:space="preserve">). </w:t>
      </w:r>
      <w:r>
        <w:rPr>
          <w:iCs/>
        </w:rPr>
        <w:t xml:space="preserve">Both </w:t>
      </w:r>
      <w:r w:rsidR="00446233">
        <w:rPr>
          <w:iCs/>
        </w:rPr>
        <w:t>functions</w:t>
      </w:r>
      <w:r>
        <w:rPr>
          <w:iCs/>
        </w:rPr>
        <w:t xml:space="preserve"> are </w:t>
      </w:r>
      <w:r>
        <w:t xml:space="preserve">based on the logistic </w:t>
      </w:r>
      <w:r w:rsidRPr="006D6689">
        <w:t>cumulative distribution function</w:t>
      </w:r>
      <w:r>
        <w:t xml:space="preserve"> of the logistic function.</w:t>
      </w:r>
      <w:r w:rsidRPr="00D440F9">
        <w:rPr>
          <w:i/>
        </w:rPr>
        <w:t xml:space="preserve"> </w:t>
      </w:r>
      <w:proofErr w:type="spellStart"/>
      <w:r>
        <w:rPr>
          <w:i/>
        </w:rPr>
        <w:t>f</w:t>
      </w:r>
      <w:r>
        <w:rPr>
          <w:i/>
          <w:vertAlign w:val="subscript"/>
        </w:rPr>
        <w:t>adj</w:t>
      </w:r>
      <w:proofErr w:type="spellEnd"/>
      <w:r>
        <w:rPr>
          <w:i/>
        </w:rPr>
        <w:t>(</w:t>
      </w:r>
      <w:proofErr w:type="spellStart"/>
      <w:r>
        <w:rPr>
          <w:i/>
        </w:rPr>
        <w:t>d</w:t>
      </w:r>
      <w:r>
        <w:rPr>
          <w:i/>
          <w:vertAlign w:val="subscript"/>
        </w:rPr>
        <w:t>xy</w:t>
      </w:r>
      <w:proofErr w:type="spellEnd"/>
      <w:r>
        <w:rPr>
          <w:i/>
        </w:rPr>
        <w:t xml:space="preserve">) </w:t>
      </w:r>
      <w:r>
        <w:rPr>
          <w:rFonts w:cs="Arial"/>
          <w:color w:val="000000" w:themeColor="text1"/>
          <w:szCs w:val="22"/>
        </w:rPr>
        <w:t xml:space="preserve">is adjusted based on the distribution of the distances (median and standard deviation (SD)) of the centroids to the first five hospital locations </w:t>
      </w:r>
      <w:r>
        <w:rPr>
          <w:rFonts w:cs="Arial"/>
          <w:i/>
          <w:color w:val="000000" w:themeColor="text1"/>
          <w:szCs w:val="22"/>
        </w:rPr>
        <w:t>y</w:t>
      </w:r>
      <w:r>
        <w:rPr>
          <w:rFonts w:cs="Arial"/>
          <w:color w:val="000000" w:themeColor="text1"/>
          <w:szCs w:val="22"/>
        </w:rPr>
        <w:t xml:space="preserve">. </w:t>
      </w:r>
    </w:p>
    <w:p w14:paraId="30AAEF64" w14:textId="6DC73C34" w:rsidR="00D440F9" w:rsidRDefault="00D440F9" w:rsidP="00D440F9">
      <w:pPr>
        <w:spacing w:line="360" w:lineRule="auto"/>
        <w:jc w:val="center"/>
        <w:rPr>
          <w:rFonts w:asciiTheme="minorHAnsi" w:hAnsiTheme="minorHAnsi" w:cstheme="minorBidi"/>
        </w:rPr>
      </w:pPr>
    </w:p>
    <w:p w14:paraId="0F5D76E1" w14:textId="6305E44F" w:rsidR="00CD0C99" w:rsidRPr="00D440F9" w:rsidRDefault="00CD0C99" w:rsidP="00CD0C99">
      <w:pPr>
        <w:spacing w:line="360" w:lineRule="auto"/>
        <w:rPr>
          <w:rFonts w:asciiTheme="minorHAnsi" w:hAnsiTheme="minorHAnsi" w:cstheme="minorBidi"/>
        </w:rPr>
      </w:pPr>
      <w:r>
        <w:rPr>
          <w:rFonts w:asciiTheme="minorHAnsi" w:hAnsiTheme="minorHAnsi" w:cstheme="minorBidi"/>
        </w:rPr>
        <w:t>Equation S1:</w:t>
      </w:r>
    </w:p>
    <w:p w14:paraId="11C8B70D" w14:textId="50F9B1A1" w:rsidR="00D440F9" w:rsidRPr="00D440F9" w:rsidRDefault="00446233" w:rsidP="00D440F9">
      <w:pPr>
        <w:spacing w:line="360" w:lineRule="auto"/>
        <w:jc w:val="both"/>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adj</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xy</m:t>
                  </m:r>
                </m:sub>
              </m:sSub>
            </m:e>
          </m:d>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Median</m:t>
                          </m:r>
                        </m:e>
                      </m:d>
                      <m:r>
                        <w:rPr>
                          <w:rFonts w:ascii="Cambria Math" w:hAnsi="Cambria Math"/>
                        </w:rPr>
                        <m:t>*π</m:t>
                      </m:r>
                    </m:num>
                    <m:den>
                      <m:r>
                        <w:rPr>
                          <w:rFonts w:ascii="Cambria Math" w:hAnsi="Cambria Math"/>
                        </w:rPr>
                        <m:t>SD*</m:t>
                      </m:r>
                      <m:rad>
                        <m:radPr>
                          <m:degHide m:val="1"/>
                          <m:ctrlPr>
                            <w:rPr>
                              <w:rFonts w:ascii="Cambria Math" w:hAnsi="Cambria Math"/>
                              <w:i/>
                            </w:rPr>
                          </m:ctrlPr>
                        </m:radPr>
                        <m:deg/>
                        <m:e>
                          <m:r>
                            <w:rPr>
                              <w:rFonts w:ascii="Cambria Math" w:hAnsi="Cambria Math"/>
                            </w:rPr>
                            <m:t>3</m:t>
                          </m:r>
                        </m:e>
                      </m:rad>
                    </m:den>
                  </m:f>
                </m:sup>
              </m:sSup>
            </m:num>
            <m:den>
              <m:r>
                <w:rPr>
                  <w:rFonts w:ascii="Cambria Math" w:hAnsi="Cambria Math"/>
                </w:rPr>
                <m:t>1+</m:t>
              </m:r>
              <m:sSup>
                <m:sSupPr>
                  <m:ctrlPr>
                    <w:rPr>
                      <w:rFonts w:ascii="Cambria Math" w:hAnsi="Cambria Math"/>
                      <w:i/>
                    </w:rPr>
                  </m:ctrlPr>
                </m:sSupPr>
                <m:e>
                  <m:r>
                    <w:rPr>
                      <w:rFonts w:ascii="Cambria Math" w:hAnsi="Cambria Math"/>
                    </w:rPr>
                    <m:t>e</m:t>
                  </m:r>
                </m:e>
                <m:sup>
                  <m:f>
                    <m:fPr>
                      <m:ctrlPr>
                        <w:rPr>
                          <w:rFonts w:ascii="Cambria Math" w:hAnsi="Cambria Math"/>
                          <w:i/>
                        </w:rPr>
                      </m:ctrlPr>
                    </m:fPr>
                    <m:num>
                      <m:d>
                        <m:dPr>
                          <m:ctrlPr>
                            <w:rPr>
                              <w:rFonts w:ascii="Cambria Math" w:hAnsi="Cambria Math"/>
                              <w:i/>
                            </w:rPr>
                          </m:ctrlPr>
                        </m:dPr>
                        <m:e>
                          <m:r>
                            <w:rPr>
                              <w:rFonts w:ascii="Cambria Math" w:hAnsi="Cambria Math"/>
                            </w:rPr>
                            <m:t>d-Median</m:t>
                          </m:r>
                        </m:e>
                      </m:d>
                      <m:r>
                        <w:rPr>
                          <w:rFonts w:ascii="Cambria Math" w:hAnsi="Cambria Math"/>
                        </w:rPr>
                        <m:t>*π</m:t>
                      </m:r>
                    </m:num>
                    <m:den>
                      <m:r>
                        <w:rPr>
                          <w:rFonts w:ascii="Cambria Math" w:hAnsi="Cambria Math"/>
                        </w:rPr>
                        <m:t>SD*</m:t>
                      </m:r>
                      <m:rad>
                        <m:radPr>
                          <m:degHide m:val="1"/>
                          <m:ctrlPr>
                            <w:rPr>
                              <w:rFonts w:ascii="Cambria Math" w:hAnsi="Cambria Math"/>
                              <w:i/>
                            </w:rPr>
                          </m:ctrlPr>
                        </m:radPr>
                        <m:deg/>
                        <m:e>
                          <m:r>
                            <w:rPr>
                              <w:rFonts w:ascii="Cambria Math" w:hAnsi="Cambria Math"/>
                            </w:rPr>
                            <m:t>3</m:t>
                          </m:r>
                        </m:e>
                      </m:rad>
                    </m:den>
                  </m:f>
                </m:sup>
              </m:sSup>
            </m:den>
          </m:f>
        </m:oMath>
      </m:oMathPara>
    </w:p>
    <w:p w14:paraId="0B1F1956" w14:textId="77777777" w:rsidR="00D440F9" w:rsidRDefault="00D440F9" w:rsidP="00D440F9">
      <w:pPr>
        <w:spacing w:line="360" w:lineRule="auto"/>
        <w:rPr>
          <w:rFonts w:cs="Arial"/>
          <w:color w:val="000000" w:themeColor="text1"/>
          <w:szCs w:val="22"/>
        </w:rPr>
      </w:pPr>
      <w:r>
        <w:fldChar w:fldCharType="begin"/>
      </w:r>
      <w:r>
        <w:instrText xml:space="preserve"> EQ </w:instrText>
      </w:r>
      <w:r>
        <w:fldChar w:fldCharType="end"/>
      </w:r>
    </w:p>
    <w:p w14:paraId="1A7D2227" w14:textId="77777777" w:rsidR="00D440F9" w:rsidRDefault="00D440F9" w:rsidP="00D440F9">
      <w:pPr>
        <w:spacing w:line="360" w:lineRule="auto"/>
        <w:rPr>
          <w:rFonts w:cs="Arial"/>
          <w:color w:val="000000" w:themeColor="text1"/>
          <w:szCs w:val="22"/>
        </w:rPr>
      </w:pPr>
      <w:r>
        <w:rPr>
          <w:rFonts w:cs="Arial"/>
          <w:color w:val="000000" w:themeColor="text1"/>
          <w:szCs w:val="22"/>
        </w:rPr>
        <w:t xml:space="preserve">The adjusted function </w:t>
      </w:r>
      <w:proofErr w:type="gramStart"/>
      <w:r>
        <w:rPr>
          <w:rFonts w:cs="Arial"/>
          <w:color w:val="000000" w:themeColor="text1"/>
          <w:szCs w:val="22"/>
        </w:rPr>
        <w:t>takes into account</w:t>
      </w:r>
      <w:proofErr w:type="gramEnd"/>
      <w:r>
        <w:rPr>
          <w:rFonts w:cs="Arial"/>
          <w:color w:val="000000" w:themeColor="text1"/>
          <w:szCs w:val="22"/>
        </w:rPr>
        <w:t xml:space="preserve"> the different travel behavior of the population: in rural areas where hospital availability is lower, patients are more willing to accept longer distances compared to urban areas. </w:t>
      </w:r>
    </w:p>
    <w:p w14:paraId="7660D46D" w14:textId="4C414BB0" w:rsidR="00D440F9" w:rsidRDefault="00D440F9" w:rsidP="00D440F9">
      <w:pPr>
        <w:spacing w:line="360" w:lineRule="auto"/>
        <w:rPr>
          <w:rFonts w:cs="Arial"/>
          <w:color w:val="000000" w:themeColor="text1"/>
          <w:szCs w:val="22"/>
        </w:rPr>
      </w:pPr>
      <w:r>
        <w:rPr>
          <w:rFonts w:cs="Arial"/>
          <w:color w:val="000000" w:themeColor="text1"/>
          <w:szCs w:val="22"/>
        </w:rPr>
        <w:t xml:space="preserve">The second function is identical for all population locations and depends on the catchment area. </w:t>
      </w:r>
      <w:r w:rsidR="00B34181">
        <w:rPr>
          <w:rFonts w:cs="Arial"/>
          <w:color w:val="000000" w:themeColor="text1"/>
          <w:szCs w:val="22"/>
        </w:rPr>
        <w:t>We choose a catchment area of C=120 minutes. Based on this catchment area, a standard deviation (</w:t>
      </w:r>
      <w:proofErr w:type="spellStart"/>
      <w:r w:rsidR="00B34181">
        <w:rPr>
          <w:rFonts w:cs="Arial"/>
          <w:color w:val="000000" w:themeColor="text1"/>
          <w:szCs w:val="22"/>
        </w:rPr>
        <w:t>SD</w:t>
      </w:r>
      <w:r w:rsidR="00B34181">
        <w:rPr>
          <w:rFonts w:cs="Arial"/>
          <w:color w:val="000000" w:themeColor="text1"/>
          <w:szCs w:val="22"/>
          <w:vertAlign w:val="subscript"/>
        </w:rPr>
        <w:t>con</w:t>
      </w:r>
      <w:proofErr w:type="spellEnd"/>
      <w:r w:rsidR="00B34181">
        <w:rPr>
          <w:rFonts w:cs="Arial"/>
          <w:color w:val="000000" w:themeColor="text1"/>
          <w:szCs w:val="22"/>
        </w:rPr>
        <w:t xml:space="preserve">) </w:t>
      </w:r>
      <w:proofErr w:type="gramStart"/>
      <w:r w:rsidR="00B34181">
        <w:rPr>
          <w:rFonts w:cs="Arial"/>
          <w:color w:val="000000" w:themeColor="text1"/>
          <w:szCs w:val="22"/>
        </w:rPr>
        <w:t>has to</w:t>
      </w:r>
      <w:proofErr w:type="gramEnd"/>
      <w:r w:rsidR="00B34181">
        <w:rPr>
          <w:rFonts w:cs="Arial"/>
          <w:color w:val="000000" w:themeColor="text1"/>
          <w:szCs w:val="22"/>
        </w:rPr>
        <w:t xml:space="preserve"> be used that results in </w:t>
      </w:r>
      <w:proofErr w:type="spellStart"/>
      <w:r w:rsidR="00B34181" w:rsidRPr="00B34181">
        <w:rPr>
          <w:i/>
          <w:iCs/>
        </w:rPr>
        <w:t>f</w:t>
      </w:r>
      <w:r w:rsidR="00B34181" w:rsidRPr="00B34181">
        <w:rPr>
          <w:i/>
          <w:iCs/>
          <w:vertAlign w:val="subscript"/>
        </w:rPr>
        <w:t>con</w:t>
      </w:r>
      <w:proofErr w:type="spellEnd"/>
      <w:r w:rsidR="00B34181" w:rsidRPr="00B34181">
        <w:rPr>
          <w:i/>
          <w:iCs/>
        </w:rPr>
        <w:t>(C)</w:t>
      </w:r>
      <w:r w:rsidR="00B34181">
        <w:t xml:space="preserve">=0.01 (i.e. a weight value of 0.01). This cut off value has been used as a critical value approaching zero </w:t>
      </w:r>
      <w:r w:rsidR="00B34181">
        <w:fldChar w:fldCharType="begin" w:fldLock="1"/>
      </w:r>
      <w:r w:rsidR="00A31434">
        <w:instrText>ADDIN CSL_CITATION {"citationItems":[{"id":"ITEM-1","itemData":{"author":[{"dropping-particle":"","family":"Kwan","given":"MP","non-dropping-particle":"","parse-names":false,"suffix":""}],"container-title":"Geogr Anal","id":"ITEM-1","issue":"3","issued":{"date-parts":[["1998"]]},"page":"191-216","title":"Space-time and integral measures of individual accessibility: a comparative analysis using a Point-based framework.","type":"article-journal","volume":"30"},"uris":["http://www.mendeley.com/documents/?uuid=3634b4d7-7700-48e2-a547-b004afbb1384"]},{"id":"ITEM-2","itemData":{"DOI":"10.1016/j.healthplace.2006.10.001","ISBN":"1353-8292","ISSN":"13538292","PMID":"17174590","abstract":"The study concerns ethnicity, spatial equity, and healthcare access in the context of diversity and integration. The paper first explores how Chinese immigrants in the Toronto Census Metropolitan Area choose between ethnic Chinese family physicians and other family physicians, based on a probability survey. It then applies and modifies gravity-type accessibility measures, of which a special type is the so-called floating catchment area (FCA) method, to evaluate three types of geographical accessibility in family physician utilization. The study suggests a certain degree of spatial inequality among Chinese immigrants in accessing culturally sensitive care. The paper yields important methodological and policy implications. ?? 2006 Elsevier Ltd. All rights reserved.","author":[{"dropping-particle":"","family":"Wang","given":"Lu","non-dropping-particle":"","parse-names":false,"suffix":""}],"container-title":"Health Place","id":"ITEM-2","issued":{"date-parts":[["2007"]]},"page":"656-671","title":"Immigration, ethnicity, and accessibility to culturally diverse family physicians","type":"article-journal","volume":"13"},"uris":["http://www.mendeley.com/documents/?uuid=e6c12f41-a7d5-40b7-9750-97fed7c407f5"]}],"mendeley":{"formattedCitation":"&lt;sup&gt;3,4&lt;/sup&gt;","plainTextFormattedCitation":"3,4","previouslyFormattedCitation":"&lt;sup&gt;3,4&lt;/sup&gt;"},"properties":{"noteIndex":0},"schema":"https://github.com/citation-style-language/schema/raw/master/csl-citation.json"}</w:instrText>
      </w:r>
      <w:r w:rsidR="00B34181">
        <w:fldChar w:fldCharType="separate"/>
      </w:r>
      <w:r w:rsidR="00A31434" w:rsidRPr="00A31434">
        <w:rPr>
          <w:noProof/>
          <w:vertAlign w:val="superscript"/>
        </w:rPr>
        <w:t>3,4</w:t>
      </w:r>
      <w:r w:rsidR="00B34181">
        <w:fldChar w:fldCharType="end"/>
      </w:r>
      <w:r w:rsidR="00B34181">
        <w:t xml:space="preserve">. </w:t>
      </w:r>
      <w:r>
        <w:rPr>
          <w:rFonts w:cs="Arial"/>
          <w:color w:val="000000" w:themeColor="text1"/>
          <w:szCs w:val="22"/>
        </w:rPr>
        <w:t xml:space="preserve">This decay function is used </w:t>
      </w:r>
      <w:r>
        <w:rPr>
          <w:rFonts w:cs="Arial"/>
          <w:color w:val="000000" w:themeColor="text1"/>
          <w:szCs w:val="22"/>
        </w:rPr>
        <w:lastRenderedPageBreak/>
        <w:t xml:space="preserve">to fit all decay functions within the chosen </w:t>
      </w:r>
      <w:r w:rsidR="00B34181">
        <w:rPr>
          <w:rFonts w:cs="Arial"/>
          <w:color w:val="000000" w:themeColor="text1"/>
          <w:szCs w:val="22"/>
        </w:rPr>
        <w:t xml:space="preserve">maximum catchment area </w:t>
      </w:r>
      <w:r w:rsidR="00B34181" w:rsidRPr="00704517">
        <w:rPr>
          <w:lang w:val="en-GB"/>
        </w:rPr>
        <w:t xml:space="preserve">and guarantees </w:t>
      </w:r>
      <w:r w:rsidR="00B34181">
        <w:rPr>
          <w:lang w:val="en-GB"/>
        </w:rPr>
        <w:t>its</w:t>
      </w:r>
      <w:r w:rsidR="00B34181" w:rsidRPr="00704517">
        <w:rPr>
          <w:lang w:val="en-GB"/>
        </w:rPr>
        <w:t xml:space="preserve"> adherence</w:t>
      </w:r>
      <w:r w:rsidR="00B34181">
        <w:rPr>
          <w:rFonts w:cs="Arial"/>
          <w:color w:val="000000" w:themeColor="text1"/>
          <w:szCs w:val="22"/>
        </w:rPr>
        <w:t>.</w:t>
      </w:r>
    </w:p>
    <w:p w14:paraId="538F03E6" w14:textId="30955FDA" w:rsidR="00CD0C99" w:rsidRDefault="00CD0C99" w:rsidP="00D440F9">
      <w:pPr>
        <w:spacing w:line="360" w:lineRule="auto"/>
        <w:rPr>
          <w:rFonts w:cs="Arial"/>
          <w:color w:val="000000" w:themeColor="text1"/>
          <w:szCs w:val="22"/>
        </w:rPr>
      </w:pPr>
    </w:p>
    <w:p w14:paraId="6D8B0B1B" w14:textId="518391B1" w:rsidR="00CD0C99" w:rsidRDefault="00CD0C99" w:rsidP="00D440F9">
      <w:pPr>
        <w:spacing w:line="360" w:lineRule="auto"/>
        <w:rPr>
          <w:rFonts w:cs="Arial"/>
          <w:color w:val="000000" w:themeColor="text1"/>
          <w:szCs w:val="22"/>
        </w:rPr>
      </w:pPr>
      <w:r>
        <w:rPr>
          <w:rFonts w:cs="Arial"/>
          <w:color w:val="000000" w:themeColor="text1"/>
          <w:szCs w:val="22"/>
        </w:rPr>
        <w:t>Equation S2:</w:t>
      </w:r>
    </w:p>
    <w:p w14:paraId="5C2333A1" w14:textId="034CB894" w:rsidR="00D440F9" w:rsidRDefault="00D440F9" w:rsidP="00D440F9">
      <w:pPr>
        <w:spacing w:line="360" w:lineRule="auto"/>
        <w:jc w:val="both"/>
      </w:pPr>
    </w:p>
    <w:p w14:paraId="6D8D7A07" w14:textId="7FCB8E0E" w:rsidR="00D440F9" w:rsidRPr="00B34181" w:rsidRDefault="00446233" w:rsidP="00D440F9">
      <w:pPr>
        <w:spacing w:line="360" w:lineRule="auto"/>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con</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xy</m:t>
                  </m:r>
                </m:sub>
              </m:sSub>
            </m:e>
          </m:d>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C/2</m:t>
                          </m:r>
                        </m:e>
                      </m:d>
                      <m:r>
                        <w:rPr>
                          <w:rFonts w:ascii="Cambria Math" w:hAnsi="Cambria Math"/>
                        </w:rPr>
                        <m:t>*π</m:t>
                      </m:r>
                    </m:num>
                    <m:den>
                      <m:r>
                        <w:rPr>
                          <w:rFonts w:ascii="Cambria Math" w:hAnsi="Cambria Math"/>
                        </w:rPr>
                        <m:t>S</m:t>
                      </m:r>
                      <m:sSub>
                        <m:sSubPr>
                          <m:ctrlPr>
                            <w:rPr>
                              <w:rFonts w:ascii="Cambria Math" w:hAnsi="Cambria Math"/>
                              <w:i/>
                            </w:rPr>
                          </m:ctrlPr>
                        </m:sSubPr>
                        <m:e>
                          <m:r>
                            <w:rPr>
                              <w:rFonts w:ascii="Cambria Math" w:hAnsi="Cambria Math"/>
                            </w:rPr>
                            <m:t>D</m:t>
                          </m:r>
                        </m:e>
                        <m:sub>
                          <m:r>
                            <w:rPr>
                              <w:rFonts w:ascii="Cambria Math" w:hAnsi="Cambria Math"/>
                            </w:rPr>
                            <m:t>abs</m:t>
                          </m:r>
                        </m:sub>
                      </m:sSub>
                      <m:r>
                        <w:rPr>
                          <w:rFonts w:ascii="Cambria Math" w:hAnsi="Cambria Math"/>
                        </w:rPr>
                        <m:t>*</m:t>
                      </m:r>
                      <m:rad>
                        <m:radPr>
                          <m:degHide m:val="1"/>
                          <m:ctrlPr>
                            <w:rPr>
                              <w:rFonts w:ascii="Cambria Math" w:hAnsi="Cambria Math"/>
                              <w:i/>
                            </w:rPr>
                          </m:ctrlPr>
                        </m:radPr>
                        <m:deg/>
                        <m:e>
                          <m:r>
                            <w:rPr>
                              <w:rFonts w:ascii="Cambria Math" w:hAnsi="Cambria Math"/>
                            </w:rPr>
                            <m:t>3</m:t>
                          </m:r>
                        </m:e>
                      </m:rad>
                    </m:den>
                  </m:f>
                </m:sup>
              </m:sSup>
            </m:num>
            <m:den>
              <m:r>
                <w:rPr>
                  <w:rFonts w:ascii="Cambria Math" w:hAnsi="Cambria Math"/>
                </w:rPr>
                <m:t>1+</m:t>
              </m:r>
              <m:sSup>
                <m:sSupPr>
                  <m:ctrlPr>
                    <w:rPr>
                      <w:rFonts w:ascii="Cambria Math" w:hAnsi="Cambria Math"/>
                      <w:i/>
                    </w:rPr>
                  </m:ctrlPr>
                </m:sSupPr>
                <m:e>
                  <m:r>
                    <w:rPr>
                      <w:rFonts w:ascii="Cambria Math" w:hAnsi="Cambria Math"/>
                    </w:rPr>
                    <m:t>e</m:t>
                  </m:r>
                </m:e>
                <m:sup>
                  <m:f>
                    <m:fPr>
                      <m:ctrlPr>
                        <w:rPr>
                          <w:rFonts w:ascii="Cambria Math" w:hAnsi="Cambria Math"/>
                          <w:i/>
                        </w:rPr>
                      </m:ctrlPr>
                    </m:fPr>
                    <m:num>
                      <m:d>
                        <m:dPr>
                          <m:ctrlPr>
                            <w:rPr>
                              <w:rFonts w:ascii="Cambria Math" w:hAnsi="Cambria Math"/>
                              <w:i/>
                            </w:rPr>
                          </m:ctrlPr>
                        </m:dPr>
                        <m:e>
                          <m:r>
                            <w:rPr>
                              <w:rFonts w:ascii="Cambria Math" w:hAnsi="Cambria Math"/>
                            </w:rPr>
                            <m:t>d-C/2</m:t>
                          </m:r>
                        </m:e>
                      </m:d>
                      <m:r>
                        <w:rPr>
                          <w:rFonts w:ascii="Cambria Math" w:hAnsi="Cambria Math"/>
                        </w:rPr>
                        <m:t>*π</m:t>
                      </m:r>
                    </m:num>
                    <m:den>
                      <m:sSub>
                        <m:sSubPr>
                          <m:ctrlPr>
                            <w:rPr>
                              <w:rFonts w:ascii="Cambria Math" w:hAnsi="Cambria Math"/>
                              <w:i/>
                            </w:rPr>
                          </m:ctrlPr>
                        </m:sSubPr>
                        <m:e>
                          <m:r>
                            <w:rPr>
                              <w:rFonts w:ascii="Cambria Math" w:hAnsi="Cambria Math"/>
                            </w:rPr>
                            <m:t>SD</m:t>
                          </m:r>
                        </m:e>
                        <m:sub>
                          <m:r>
                            <w:rPr>
                              <w:rFonts w:ascii="Cambria Math" w:hAnsi="Cambria Math"/>
                            </w:rPr>
                            <m:t>abs</m:t>
                          </m:r>
                        </m:sub>
                      </m:sSub>
                      <m:r>
                        <w:rPr>
                          <w:rFonts w:ascii="Cambria Math" w:hAnsi="Cambria Math"/>
                        </w:rPr>
                        <m:t>*</m:t>
                      </m:r>
                      <m:rad>
                        <m:radPr>
                          <m:degHide m:val="1"/>
                          <m:ctrlPr>
                            <w:rPr>
                              <w:rFonts w:ascii="Cambria Math" w:hAnsi="Cambria Math"/>
                              <w:i/>
                            </w:rPr>
                          </m:ctrlPr>
                        </m:radPr>
                        <m:deg/>
                        <m:e>
                          <m:r>
                            <w:rPr>
                              <w:rFonts w:ascii="Cambria Math" w:hAnsi="Cambria Math"/>
                            </w:rPr>
                            <m:t>3</m:t>
                          </m:r>
                        </m:e>
                      </m:rad>
                    </m:den>
                  </m:f>
                </m:sup>
              </m:sSup>
            </m:den>
          </m:f>
        </m:oMath>
      </m:oMathPara>
    </w:p>
    <w:p w14:paraId="3F15AE2B" w14:textId="5E02EA4A" w:rsidR="00D440F9" w:rsidRDefault="00D440F9" w:rsidP="00D440F9">
      <w:pPr>
        <w:spacing w:line="360" w:lineRule="auto"/>
      </w:pPr>
    </w:p>
    <w:p w14:paraId="0E4CCBF5" w14:textId="5C951D59" w:rsidR="00D440F9" w:rsidRDefault="00D440F9" w:rsidP="00D440F9">
      <w:pPr>
        <w:spacing w:line="360" w:lineRule="auto"/>
      </w:pPr>
      <w:proofErr w:type="spellStart"/>
      <w:r>
        <w:rPr>
          <w:i/>
        </w:rPr>
        <w:t>Huff</w:t>
      </w:r>
      <w:r>
        <w:rPr>
          <w:i/>
          <w:vertAlign w:val="subscript"/>
        </w:rPr>
        <w:t>x</w:t>
      </w:r>
      <w:proofErr w:type="spellEnd"/>
      <w:r>
        <w:rPr>
          <w:rFonts w:cs="Arial"/>
          <w:color w:val="000000" w:themeColor="text1"/>
          <w:szCs w:val="22"/>
        </w:rPr>
        <w:t xml:space="preserve"> describes the probability that the medical need is placed at a particular hospital </w:t>
      </w:r>
      <w:r w:rsidR="00B34181">
        <w:rPr>
          <w:rFonts w:cs="Arial"/>
          <w:color w:val="000000" w:themeColor="text1"/>
          <w:szCs w:val="22"/>
        </w:rPr>
        <w:t xml:space="preserve">y compared to all other hospitals </w:t>
      </w:r>
      <w:r w:rsidR="00B34181" w:rsidRPr="00B34181">
        <w:rPr>
          <w:rFonts w:cs="Arial"/>
          <w:i/>
          <w:iCs/>
          <w:color w:val="000000" w:themeColor="text1"/>
          <w:szCs w:val="22"/>
        </w:rPr>
        <w:t>z</w:t>
      </w:r>
      <w:r w:rsidR="00B34181">
        <w:rPr>
          <w:rFonts w:cs="Arial"/>
          <w:color w:val="000000" w:themeColor="text1"/>
          <w:szCs w:val="22"/>
        </w:rPr>
        <w:t xml:space="preserve"> </w:t>
      </w:r>
      <w:r>
        <w:rPr>
          <w:rFonts w:cs="Arial"/>
          <w:color w:val="000000" w:themeColor="text1"/>
          <w:szCs w:val="22"/>
        </w:rPr>
        <w:t>on the basis of the Huff model, which considers competition.</w:t>
      </w:r>
      <w:r>
        <w:fldChar w:fldCharType="begin" w:fldLock="1"/>
      </w:r>
      <w:r w:rsidR="00A31434">
        <w:instrText>ADDIN CSL_CITATION {"citationItems":[{"id":"ITEM-1","itemData":{"author":[{"dropping-particle":"","family":"Huff","given":"DL","non-dropping-particle":"","parse-names":false,"suffix":""}],"container-title":"J Marketing","id":"ITEM-1","issue":"3","issued":{"date-parts":[["1964"]]},"page":"34-38","title":"Defining and Estimating a Trading Area","type":"article-journal","volume":"28"},"uris":["http://www.mendeley.com/documents/?uuid=99863316-32fc-46f3-89cd-b3428804443f"]}],"mendeley":{"formattedCitation":"&lt;sup&gt;5&lt;/sup&gt;","plainTextFormattedCitation":"5","previouslyFormattedCitation":"&lt;sup&gt;5&lt;/sup&gt;"},"properties":{"noteIndex":0},"schema":"https://github.com/citation-style-language/schema/raw/master/csl-citation.json"}</w:instrText>
      </w:r>
      <w:r>
        <w:fldChar w:fldCharType="separate"/>
      </w:r>
      <w:r w:rsidR="00A31434" w:rsidRPr="00A31434">
        <w:rPr>
          <w:noProof/>
          <w:vertAlign w:val="superscript"/>
        </w:rPr>
        <w:t>5</w:t>
      </w:r>
      <w:r>
        <w:fldChar w:fldCharType="end"/>
      </w:r>
      <w:r w:rsidR="00B34181">
        <w:t xml:space="preserve"> </w:t>
      </w:r>
    </w:p>
    <w:p w14:paraId="23D71A49" w14:textId="0E181BFE" w:rsidR="00CD0C99" w:rsidRDefault="00CD0C99" w:rsidP="00D440F9">
      <w:pPr>
        <w:spacing w:line="360" w:lineRule="auto"/>
      </w:pPr>
    </w:p>
    <w:p w14:paraId="4DF69EF6" w14:textId="27B08E5B" w:rsidR="00CD0C99" w:rsidRPr="00D440F9" w:rsidRDefault="00CD0C99" w:rsidP="00D440F9">
      <w:pPr>
        <w:spacing w:line="360" w:lineRule="auto"/>
        <w:rPr>
          <w:rFonts w:asciiTheme="minorHAnsi" w:hAnsiTheme="minorHAnsi" w:cstheme="minorBidi"/>
        </w:rPr>
      </w:pPr>
      <w:r>
        <w:t>Equation S3:</w:t>
      </w:r>
    </w:p>
    <w:p w14:paraId="30E2F7E5" w14:textId="77777777" w:rsidR="00D440F9" w:rsidRDefault="00D440F9" w:rsidP="00D440F9">
      <w:pPr>
        <w:spacing w:line="360" w:lineRule="auto"/>
      </w:pPr>
    </w:p>
    <w:p w14:paraId="54CB7A10" w14:textId="28460B09" w:rsidR="00D02A65" w:rsidRDefault="00446233">
      <w:pPr>
        <w:rPr>
          <w:sz w:val="28"/>
          <w:lang w:val="en-GB"/>
        </w:rPr>
      </w:pPr>
      <m:oMath>
        <m:sSub>
          <m:sSubPr>
            <m:ctrlPr>
              <w:rPr>
                <w:rFonts w:ascii="Cambria Math" w:hAnsi="Cambria Math"/>
                <w:i/>
                <w:sz w:val="28"/>
                <w:lang w:val="en-GB"/>
              </w:rPr>
            </m:ctrlPr>
          </m:sSubPr>
          <m:e>
            <m:r>
              <w:rPr>
                <w:rFonts w:ascii="Cambria Math" w:hAnsi="Cambria Math"/>
                <w:sz w:val="28"/>
                <w:lang w:val="en-GB"/>
              </w:rPr>
              <m:t>Huff</m:t>
            </m:r>
          </m:e>
          <m:sub>
            <m:r>
              <w:rPr>
                <w:rFonts w:ascii="Cambria Math" w:hAnsi="Cambria Math"/>
                <w:sz w:val="28"/>
                <w:lang w:val="en-GB"/>
              </w:rPr>
              <m:t>x</m:t>
            </m:r>
          </m:sub>
        </m:sSub>
        <m:r>
          <w:rPr>
            <w:rFonts w:ascii="Cambria Math" w:hAnsi="Cambria Math"/>
            <w:sz w:val="28"/>
            <w:lang w:val="en-GB"/>
          </w:rPr>
          <m:t>=</m:t>
        </m:r>
        <m:f>
          <m:fPr>
            <m:ctrlPr>
              <w:rPr>
                <w:rFonts w:ascii="Cambria Math" w:hAnsi="Cambria Math"/>
                <w:i/>
                <w:sz w:val="28"/>
                <w:lang w:val="en-GB"/>
              </w:rPr>
            </m:ctrlPr>
          </m:fPr>
          <m:num>
            <m:sSub>
              <m:sSubPr>
                <m:ctrlPr>
                  <w:rPr>
                    <w:rFonts w:ascii="Cambria Math" w:hAnsi="Cambria Math"/>
                    <w:i/>
                    <w:sz w:val="28"/>
                    <w:lang w:val="en-GB"/>
                  </w:rPr>
                </m:ctrlPr>
              </m:sSubPr>
              <m:e>
                <m:r>
                  <w:rPr>
                    <w:rFonts w:ascii="Cambria Math" w:hAnsi="Cambria Math"/>
                    <w:sz w:val="28"/>
                    <w:lang w:val="en-GB"/>
                  </w:rPr>
                  <m:t>S</m:t>
                </m:r>
              </m:e>
              <m:sub>
                <m:r>
                  <w:rPr>
                    <w:rFonts w:ascii="Cambria Math" w:hAnsi="Cambria Math"/>
                    <w:sz w:val="28"/>
                    <w:lang w:val="en-GB"/>
                  </w:rPr>
                  <m:t>y</m:t>
                </m:r>
              </m:sub>
            </m:sSub>
            <m:r>
              <w:rPr>
                <w:rFonts w:ascii="Cambria Math" w:hAnsi="Cambria Math"/>
                <w:sz w:val="28"/>
                <w:lang w:val="en-GB"/>
              </w:rPr>
              <m:t>∙</m:t>
            </m:r>
            <m:sSub>
              <m:sSubPr>
                <m:ctrlPr>
                  <w:rPr>
                    <w:rFonts w:ascii="Cambria Math" w:hAnsi="Cambria Math"/>
                    <w:i/>
                    <w:sz w:val="28"/>
                    <w:lang w:val="en-GB"/>
                  </w:rPr>
                </m:ctrlPr>
              </m:sSubPr>
              <m:e>
                <m:r>
                  <w:rPr>
                    <w:rFonts w:ascii="Cambria Math" w:hAnsi="Cambria Math"/>
                    <w:sz w:val="28"/>
                    <w:lang w:val="en-GB"/>
                  </w:rPr>
                  <m:t>f</m:t>
                </m:r>
              </m:e>
              <m:sub>
                <m:r>
                  <w:rPr>
                    <w:rFonts w:ascii="Cambria Math" w:hAnsi="Cambria Math"/>
                    <w:sz w:val="28"/>
                    <w:lang w:val="en-GB"/>
                  </w:rPr>
                  <m:t>adj</m:t>
                </m:r>
              </m:sub>
            </m:sSub>
            <m:d>
              <m:dPr>
                <m:ctrlPr>
                  <w:rPr>
                    <w:rFonts w:ascii="Cambria Math" w:hAnsi="Cambria Math"/>
                    <w:i/>
                    <w:sz w:val="28"/>
                    <w:lang w:val="en-GB"/>
                  </w:rPr>
                </m:ctrlPr>
              </m:dPr>
              <m:e>
                <m:sSub>
                  <m:sSubPr>
                    <m:ctrlPr>
                      <w:rPr>
                        <w:rFonts w:ascii="Cambria Math" w:hAnsi="Cambria Math"/>
                        <w:i/>
                        <w:sz w:val="28"/>
                        <w:lang w:val="en-GB"/>
                      </w:rPr>
                    </m:ctrlPr>
                  </m:sSubPr>
                  <m:e>
                    <m:r>
                      <w:rPr>
                        <w:rFonts w:ascii="Cambria Math" w:hAnsi="Cambria Math"/>
                        <w:sz w:val="28"/>
                        <w:lang w:val="en-GB"/>
                      </w:rPr>
                      <m:t>d</m:t>
                    </m:r>
                  </m:e>
                  <m:sub>
                    <m:r>
                      <w:rPr>
                        <w:rFonts w:ascii="Cambria Math" w:hAnsi="Cambria Math"/>
                        <w:sz w:val="28"/>
                        <w:lang w:val="en-GB"/>
                      </w:rPr>
                      <m:t>xy</m:t>
                    </m:r>
                  </m:sub>
                </m:sSub>
              </m:e>
            </m:d>
          </m:num>
          <m:den>
            <m:nary>
              <m:naryPr>
                <m:chr m:val="∑"/>
                <m:limLoc m:val="undOvr"/>
                <m:supHide m:val="1"/>
                <m:ctrlPr>
                  <w:rPr>
                    <w:rFonts w:ascii="Cambria Math" w:hAnsi="Cambria Math"/>
                    <w:i/>
                    <w:sz w:val="28"/>
                    <w:lang w:val="en-GB"/>
                  </w:rPr>
                </m:ctrlPr>
              </m:naryPr>
              <m:sub>
                <m:r>
                  <w:rPr>
                    <w:rFonts w:ascii="Cambria Math" w:hAnsi="Cambria Math"/>
                    <w:sz w:val="28"/>
                    <w:lang w:val="en-GB"/>
                  </w:rPr>
                  <m:t>z∈(</m:t>
                </m:r>
                <m:sSub>
                  <m:sSubPr>
                    <m:ctrlPr>
                      <w:rPr>
                        <w:rFonts w:ascii="Cambria Math" w:hAnsi="Cambria Math"/>
                        <w:i/>
                        <w:sz w:val="28"/>
                        <w:lang w:val="en-GB"/>
                      </w:rPr>
                    </m:ctrlPr>
                  </m:sSubPr>
                  <m:e>
                    <m:r>
                      <w:rPr>
                        <w:rFonts w:ascii="Cambria Math" w:hAnsi="Cambria Math"/>
                        <w:sz w:val="28"/>
                        <w:lang w:val="en-GB"/>
                      </w:rPr>
                      <m:t>d</m:t>
                    </m:r>
                  </m:e>
                  <m:sub>
                    <m:r>
                      <w:rPr>
                        <w:rFonts w:ascii="Cambria Math" w:hAnsi="Cambria Math"/>
                        <w:sz w:val="28"/>
                        <w:lang w:val="en-GB"/>
                      </w:rPr>
                      <m:t>xz</m:t>
                    </m:r>
                  </m:sub>
                </m:sSub>
                <m:r>
                  <w:rPr>
                    <w:rFonts w:ascii="Cambria Math" w:hAnsi="Cambria Math"/>
                    <w:sz w:val="28"/>
                    <w:lang w:val="en-GB"/>
                  </w:rPr>
                  <m:t>≤</m:t>
                </m:r>
                <m:sSub>
                  <m:sSubPr>
                    <m:ctrlPr>
                      <w:rPr>
                        <w:rFonts w:ascii="Cambria Math" w:hAnsi="Cambria Math"/>
                        <w:i/>
                        <w:sz w:val="28"/>
                        <w:lang w:val="en-GB"/>
                      </w:rPr>
                    </m:ctrlPr>
                  </m:sSubPr>
                  <m:e>
                    <m:r>
                      <w:rPr>
                        <w:rFonts w:ascii="Cambria Math" w:hAnsi="Cambria Math"/>
                        <w:sz w:val="28"/>
                        <w:lang w:val="en-GB"/>
                      </w:rPr>
                      <m:t>C</m:t>
                    </m:r>
                  </m:e>
                  <m:sub>
                    <m:r>
                      <w:rPr>
                        <w:rFonts w:ascii="Cambria Math" w:hAnsi="Cambria Math"/>
                        <w:sz w:val="28"/>
                        <w:lang w:val="en-GB"/>
                      </w:rPr>
                      <m:t>x</m:t>
                    </m:r>
                  </m:sub>
                </m:sSub>
                <m:r>
                  <w:rPr>
                    <w:rFonts w:ascii="Cambria Math" w:hAnsi="Cambria Math"/>
                    <w:sz w:val="28"/>
                    <w:lang w:val="en-GB"/>
                  </w:rPr>
                  <m:t>)</m:t>
                </m:r>
              </m:sub>
              <m:sup/>
              <m:e>
                <m:sSub>
                  <m:sSubPr>
                    <m:ctrlPr>
                      <w:rPr>
                        <w:rFonts w:ascii="Cambria Math" w:hAnsi="Cambria Math"/>
                        <w:i/>
                        <w:sz w:val="28"/>
                        <w:lang w:val="en-GB"/>
                      </w:rPr>
                    </m:ctrlPr>
                  </m:sSubPr>
                  <m:e>
                    <m:r>
                      <w:rPr>
                        <w:rFonts w:ascii="Cambria Math" w:hAnsi="Cambria Math"/>
                        <w:sz w:val="28"/>
                        <w:lang w:val="en-GB"/>
                      </w:rPr>
                      <m:t>S</m:t>
                    </m:r>
                  </m:e>
                  <m:sub>
                    <m:r>
                      <w:rPr>
                        <w:rFonts w:ascii="Cambria Math" w:hAnsi="Cambria Math"/>
                        <w:sz w:val="28"/>
                        <w:lang w:val="en-GB"/>
                      </w:rPr>
                      <m:t>z</m:t>
                    </m:r>
                  </m:sub>
                </m:sSub>
                <m:sSub>
                  <m:sSubPr>
                    <m:ctrlPr>
                      <w:rPr>
                        <w:rFonts w:ascii="Cambria Math" w:hAnsi="Cambria Math"/>
                        <w:i/>
                        <w:sz w:val="28"/>
                        <w:lang w:val="en-GB"/>
                      </w:rPr>
                    </m:ctrlPr>
                  </m:sSubPr>
                  <m:e>
                    <m:r>
                      <w:rPr>
                        <w:rFonts w:ascii="Cambria Math" w:hAnsi="Cambria Math"/>
                        <w:sz w:val="28"/>
                        <w:lang w:val="en-GB"/>
                      </w:rPr>
                      <m:t>∙</m:t>
                    </m:r>
                    <m:sSub>
                      <m:sSubPr>
                        <m:ctrlPr>
                          <w:rPr>
                            <w:rFonts w:ascii="Cambria Math" w:hAnsi="Cambria Math"/>
                            <w:i/>
                            <w:sz w:val="28"/>
                            <w:lang w:val="en-GB"/>
                          </w:rPr>
                        </m:ctrlPr>
                      </m:sSubPr>
                      <m:e>
                        <m:r>
                          <w:rPr>
                            <w:rFonts w:ascii="Cambria Math" w:hAnsi="Cambria Math"/>
                            <w:sz w:val="28"/>
                            <w:lang w:val="en-GB"/>
                          </w:rPr>
                          <m:t>f</m:t>
                        </m:r>
                      </m:e>
                      <m:sub>
                        <m:r>
                          <w:rPr>
                            <w:rFonts w:ascii="Cambria Math" w:hAnsi="Cambria Math"/>
                            <w:sz w:val="28"/>
                            <w:lang w:val="en-GB"/>
                          </w:rPr>
                          <m:t>adj</m:t>
                        </m:r>
                      </m:sub>
                    </m:sSub>
                    <m:r>
                      <w:rPr>
                        <w:rFonts w:ascii="Cambria Math" w:hAnsi="Cambria Math"/>
                        <w:sz w:val="28"/>
                        <w:lang w:val="en-GB"/>
                      </w:rPr>
                      <m:t>(d</m:t>
                    </m:r>
                  </m:e>
                  <m:sub>
                    <m:r>
                      <w:rPr>
                        <w:rFonts w:ascii="Cambria Math" w:hAnsi="Cambria Math"/>
                        <w:sz w:val="28"/>
                        <w:lang w:val="en-GB"/>
                      </w:rPr>
                      <m:t>xz</m:t>
                    </m:r>
                  </m:sub>
                </m:sSub>
                <m:r>
                  <w:rPr>
                    <w:rFonts w:ascii="Cambria Math" w:hAnsi="Cambria Math"/>
                    <w:sz w:val="28"/>
                    <w:lang w:val="en-GB"/>
                  </w:rPr>
                  <m:t>)</m:t>
                </m:r>
              </m:e>
            </m:nary>
          </m:den>
        </m:f>
      </m:oMath>
      <w:r w:rsidR="00B34181">
        <w:rPr>
          <w:sz w:val="28"/>
          <w:lang w:val="en-GB"/>
        </w:rPr>
        <w:tab/>
      </w:r>
    </w:p>
    <w:p w14:paraId="22221E54" w14:textId="11F24FFD" w:rsidR="00A31434" w:rsidRDefault="00A31434">
      <w:pPr>
        <w:rPr>
          <w:sz w:val="28"/>
          <w:lang w:val="en-GB"/>
        </w:rPr>
      </w:pPr>
    </w:p>
    <w:p w14:paraId="17F35DBA" w14:textId="6E5F609D" w:rsidR="00A31434" w:rsidRDefault="00A31434">
      <w:pPr>
        <w:rPr>
          <w:sz w:val="28"/>
          <w:lang w:val="en-GB"/>
        </w:rPr>
      </w:pPr>
    </w:p>
    <w:p w14:paraId="5C0A6224" w14:textId="3C1242C8" w:rsidR="00A31434" w:rsidRDefault="00A31434" w:rsidP="00A31434">
      <w:pPr>
        <w:spacing w:line="360" w:lineRule="auto"/>
        <w:jc w:val="both"/>
        <w:rPr>
          <w:lang w:val="en-GB"/>
        </w:rPr>
      </w:pPr>
      <w:bookmarkStart w:id="0" w:name="_Hlk53569105"/>
      <w:r>
        <w:rPr>
          <w:lang w:val="en-GB"/>
        </w:rPr>
        <w:t>The speed limits used to calculate travel distances are based on the regulatory speed limits for the respective roads. The TomTom Multinet data used, distinguished nine functional road classes from motorway to local roads of minor importance.</w:t>
      </w:r>
      <w:r>
        <w:rPr>
          <w:lang w:val="en-GB"/>
        </w:rPr>
        <w:fldChar w:fldCharType="begin" w:fldLock="1"/>
      </w:r>
      <w:r>
        <w:rPr>
          <w:lang w:val="en-GB"/>
        </w:rPr>
        <w:instrText>ADDIN CSL_CITATION {"citationItems":[{"id":"ITEM-1","itemData":{"URL":"https://developer.tomtom.com/traffic-stats/support/faq/what-are-functional-road-classes-frc","accessed":{"date-parts":[["2020","10","14"]]},"author":[{"dropping-particle":"","family":"TomTom International BV","given":"","non-dropping-particle":"","parse-names":false,"suffix":""}],"id":"ITEM-1","issued":{"date-parts":[["2020"]]},"title":"What are functional road classes?","type":"webpage"},"uris":["http://www.mendeley.com/documents/?uuid=88cacab8-9065-4e81-8142-c87302b2acc4"]}],"mendeley":{"formattedCitation":"&lt;sup&gt;6&lt;/sup&gt;","plainTextFormattedCitation":"6","previouslyFormattedCitation":"&lt;sup&gt;6&lt;/sup&gt;"},"properties":{"noteIndex":0},"schema":"https://github.com/citation-style-language/schema/raw/master/csl-citation.json"}</w:instrText>
      </w:r>
      <w:r>
        <w:rPr>
          <w:lang w:val="en-GB"/>
        </w:rPr>
        <w:fldChar w:fldCharType="separate"/>
      </w:r>
      <w:r w:rsidRPr="00A31434">
        <w:rPr>
          <w:noProof/>
          <w:vertAlign w:val="superscript"/>
          <w:lang w:val="en-GB"/>
        </w:rPr>
        <w:t>6</w:t>
      </w:r>
      <w:r>
        <w:rPr>
          <w:lang w:val="en-GB"/>
        </w:rPr>
        <w:fldChar w:fldCharType="end"/>
      </w:r>
      <w:r>
        <w:rPr>
          <w:lang w:val="en-GB"/>
        </w:rPr>
        <w:t xml:space="preserve"> For each functional road class speed limits were applied ranging from 120 km/h (motorway) to 15 km/h (local road of minor importance) </w:t>
      </w:r>
      <w:r w:rsidRPr="00A31434">
        <w:rPr>
          <w:lang w:val="en-GB"/>
        </w:rPr>
        <w:t>also depending on whether the road runs through a built-up area</w:t>
      </w:r>
      <w:r>
        <w:rPr>
          <w:lang w:val="en-GB"/>
        </w:rPr>
        <w:t>. Using such functional roads is also suggested by the European Commission.</w:t>
      </w:r>
      <w:r>
        <w:rPr>
          <w:lang w:val="en-GB"/>
        </w:rPr>
        <w:fldChar w:fldCharType="begin" w:fldLock="1"/>
      </w:r>
      <w:r>
        <w:rPr>
          <w:lang w:val="en-GB"/>
        </w:rPr>
        <w:instrText>ADDIN CSL_CITATION {"citationItems":[{"id":"ITEM-1","itemData":{"URL":"https://ec.europa.eu/transport/road_safety/specialist/knowledge/road/designing_for_road_function/road_classification_en","accessed":{"date-parts":[["2020","10","14"]]},"author":[{"dropping-particle":"","family":"European Comission","given":"","non-dropping-particle":"","parse-names":false,"suffix":""}],"id":"ITEM-1","issued":{"date-parts":[["2020"]]},"title":"Road Classification","type":"webpage"},"uris":["http://www.mendeley.com/documents/?uuid=6ad164bc-1e9e-4b8b-8b83-9d3cf95041a8"]}],"mendeley":{"formattedCitation":"&lt;sup&gt;7&lt;/sup&gt;","plainTextFormattedCitation":"7","previouslyFormattedCitation":"&lt;sup&gt;7&lt;/sup&gt;"},"properties":{"noteIndex":0},"schema":"https://github.com/citation-style-language/schema/raw/master/csl-citation.json"}</w:instrText>
      </w:r>
      <w:r>
        <w:rPr>
          <w:lang w:val="en-GB"/>
        </w:rPr>
        <w:fldChar w:fldCharType="separate"/>
      </w:r>
      <w:r w:rsidRPr="00A31434">
        <w:rPr>
          <w:noProof/>
          <w:vertAlign w:val="superscript"/>
          <w:lang w:val="en-GB"/>
        </w:rPr>
        <w:t>7</w:t>
      </w:r>
      <w:r>
        <w:rPr>
          <w:lang w:val="en-GB"/>
        </w:rPr>
        <w:fldChar w:fldCharType="end"/>
      </w:r>
    </w:p>
    <w:bookmarkEnd w:id="0"/>
    <w:p w14:paraId="48F025CF" w14:textId="3FE74D7E" w:rsidR="00A31434" w:rsidRDefault="00A31434" w:rsidP="00A31434">
      <w:pPr>
        <w:spacing w:line="360" w:lineRule="auto"/>
        <w:jc w:val="both"/>
        <w:rPr>
          <w:lang w:val="en-GB"/>
        </w:rPr>
      </w:pPr>
    </w:p>
    <w:p w14:paraId="2794A5B4" w14:textId="6904CEE7" w:rsidR="00A31434" w:rsidRDefault="00A31434" w:rsidP="00A31434">
      <w:pPr>
        <w:spacing w:line="360" w:lineRule="auto"/>
        <w:jc w:val="both"/>
        <w:rPr>
          <w:lang w:val="en-GB"/>
        </w:rPr>
      </w:pPr>
      <w:r>
        <w:rPr>
          <w:lang w:val="en-GB"/>
        </w:rPr>
        <w:t>References</w:t>
      </w:r>
    </w:p>
    <w:p w14:paraId="3272E0FF" w14:textId="0F4055E5" w:rsidR="00A31434" w:rsidRPr="00A31434" w:rsidRDefault="00A31434" w:rsidP="00A31434">
      <w:pPr>
        <w:widowControl w:val="0"/>
        <w:autoSpaceDE w:val="0"/>
        <w:autoSpaceDN w:val="0"/>
        <w:adjustRightInd w:val="0"/>
        <w:spacing w:line="360" w:lineRule="auto"/>
        <w:ind w:left="640" w:hanging="640"/>
        <w:rPr>
          <w:noProof/>
        </w:rPr>
      </w:pPr>
      <w:r>
        <w:fldChar w:fldCharType="begin" w:fldLock="1"/>
      </w:r>
      <w:r>
        <w:instrText xml:space="preserve">ADDIN Mendeley Bibliography CSL_BIBLIOGRAPHY </w:instrText>
      </w:r>
      <w:r>
        <w:fldChar w:fldCharType="separate"/>
      </w:r>
      <w:r w:rsidRPr="00A31434">
        <w:rPr>
          <w:noProof/>
        </w:rPr>
        <w:t>1.</w:t>
      </w:r>
      <w:r w:rsidRPr="00A31434">
        <w:rPr>
          <w:noProof/>
        </w:rPr>
        <w:tab/>
        <w:t xml:space="preserve">Weinhold, I. &amp; Gurtner, S. Understanding shortages of sufficient health care in rural areas. </w:t>
      </w:r>
      <w:r w:rsidRPr="00A31434">
        <w:rPr>
          <w:i/>
          <w:iCs/>
          <w:noProof/>
        </w:rPr>
        <w:t>Health Policy (New. York).</w:t>
      </w:r>
      <w:r w:rsidRPr="00A31434">
        <w:rPr>
          <w:noProof/>
        </w:rPr>
        <w:t xml:space="preserve"> </w:t>
      </w:r>
      <w:r w:rsidRPr="00A31434">
        <w:rPr>
          <w:b/>
          <w:bCs/>
          <w:noProof/>
        </w:rPr>
        <w:t>118</w:t>
      </w:r>
      <w:r w:rsidRPr="00A31434">
        <w:rPr>
          <w:noProof/>
        </w:rPr>
        <w:t>, 201–214 (2014).</w:t>
      </w:r>
    </w:p>
    <w:p w14:paraId="7C2E6515" w14:textId="77777777" w:rsidR="00A31434" w:rsidRPr="00A31434" w:rsidRDefault="00A31434" w:rsidP="00A31434">
      <w:pPr>
        <w:widowControl w:val="0"/>
        <w:autoSpaceDE w:val="0"/>
        <w:autoSpaceDN w:val="0"/>
        <w:adjustRightInd w:val="0"/>
        <w:spacing w:line="360" w:lineRule="auto"/>
        <w:ind w:left="640" w:hanging="640"/>
        <w:rPr>
          <w:noProof/>
        </w:rPr>
      </w:pPr>
      <w:r w:rsidRPr="00A31434">
        <w:rPr>
          <w:noProof/>
        </w:rPr>
        <w:t>2.</w:t>
      </w:r>
      <w:r w:rsidRPr="00A31434">
        <w:rPr>
          <w:noProof/>
        </w:rPr>
        <w:tab/>
        <w:t xml:space="preserve">Guagliardo, M. F. Spatial accessibility of primary care: concepts, methods and challenges. </w:t>
      </w:r>
      <w:r w:rsidRPr="00A31434">
        <w:rPr>
          <w:i/>
          <w:iCs/>
          <w:noProof/>
        </w:rPr>
        <w:t>Int J Heal. Geogr</w:t>
      </w:r>
      <w:r w:rsidRPr="00A31434">
        <w:rPr>
          <w:noProof/>
        </w:rPr>
        <w:t xml:space="preserve"> </w:t>
      </w:r>
      <w:r w:rsidRPr="00A31434">
        <w:rPr>
          <w:b/>
          <w:bCs/>
          <w:noProof/>
        </w:rPr>
        <w:t>3</w:t>
      </w:r>
      <w:r w:rsidRPr="00A31434">
        <w:rPr>
          <w:noProof/>
        </w:rPr>
        <w:t>, 3 (2004).</w:t>
      </w:r>
    </w:p>
    <w:p w14:paraId="1AE8DDA7" w14:textId="77777777" w:rsidR="00A31434" w:rsidRPr="00A31434" w:rsidRDefault="00A31434" w:rsidP="00A31434">
      <w:pPr>
        <w:widowControl w:val="0"/>
        <w:autoSpaceDE w:val="0"/>
        <w:autoSpaceDN w:val="0"/>
        <w:adjustRightInd w:val="0"/>
        <w:spacing w:line="360" w:lineRule="auto"/>
        <w:ind w:left="640" w:hanging="640"/>
        <w:rPr>
          <w:noProof/>
        </w:rPr>
      </w:pPr>
      <w:r w:rsidRPr="00A31434">
        <w:rPr>
          <w:noProof/>
        </w:rPr>
        <w:t>3.</w:t>
      </w:r>
      <w:r w:rsidRPr="00A31434">
        <w:rPr>
          <w:noProof/>
        </w:rPr>
        <w:tab/>
        <w:t xml:space="preserve">Kwan, M. Space-time and integral measures of individual accessibility: a comparative analysis using a Point-based framework. </w:t>
      </w:r>
      <w:r w:rsidRPr="00A31434">
        <w:rPr>
          <w:i/>
          <w:iCs/>
          <w:noProof/>
        </w:rPr>
        <w:t>Geogr Anal</w:t>
      </w:r>
      <w:r w:rsidRPr="00A31434">
        <w:rPr>
          <w:noProof/>
        </w:rPr>
        <w:t xml:space="preserve"> </w:t>
      </w:r>
      <w:r w:rsidRPr="00A31434">
        <w:rPr>
          <w:b/>
          <w:bCs/>
          <w:noProof/>
        </w:rPr>
        <w:t>30</w:t>
      </w:r>
      <w:r w:rsidRPr="00A31434">
        <w:rPr>
          <w:noProof/>
        </w:rPr>
        <w:t>, 191–216 (1998).</w:t>
      </w:r>
    </w:p>
    <w:p w14:paraId="728C0F6E" w14:textId="77777777" w:rsidR="00A31434" w:rsidRPr="00A31434" w:rsidRDefault="00A31434" w:rsidP="00A31434">
      <w:pPr>
        <w:widowControl w:val="0"/>
        <w:autoSpaceDE w:val="0"/>
        <w:autoSpaceDN w:val="0"/>
        <w:adjustRightInd w:val="0"/>
        <w:spacing w:line="360" w:lineRule="auto"/>
        <w:ind w:left="640" w:hanging="640"/>
        <w:rPr>
          <w:noProof/>
        </w:rPr>
      </w:pPr>
      <w:r w:rsidRPr="00A31434">
        <w:rPr>
          <w:noProof/>
        </w:rPr>
        <w:t>4.</w:t>
      </w:r>
      <w:r w:rsidRPr="00A31434">
        <w:rPr>
          <w:noProof/>
        </w:rPr>
        <w:tab/>
        <w:t xml:space="preserve">Wang, L. Immigration, ethnicity, and accessibility to culturally diverse family physicians. </w:t>
      </w:r>
      <w:r w:rsidRPr="00A31434">
        <w:rPr>
          <w:i/>
          <w:iCs/>
          <w:noProof/>
        </w:rPr>
        <w:t>Heal. Place</w:t>
      </w:r>
      <w:r w:rsidRPr="00A31434">
        <w:rPr>
          <w:noProof/>
        </w:rPr>
        <w:t xml:space="preserve"> </w:t>
      </w:r>
      <w:r w:rsidRPr="00A31434">
        <w:rPr>
          <w:b/>
          <w:bCs/>
          <w:noProof/>
        </w:rPr>
        <w:t>13</w:t>
      </w:r>
      <w:r w:rsidRPr="00A31434">
        <w:rPr>
          <w:noProof/>
        </w:rPr>
        <w:t>, 656–671 (2007).</w:t>
      </w:r>
    </w:p>
    <w:p w14:paraId="0238DEE8" w14:textId="77777777" w:rsidR="00A31434" w:rsidRPr="00A31434" w:rsidRDefault="00A31434" w:rsidP="00A31434">
      <w:pPr>
        <w:widowControl w:val="0"/>
        <w:autoSpaceDE w:val="0"/>
        <w:autoSpaceDN w:val="0"/>
        <w:adjustRightInd w:val="0"/>
        <w:spacing w:line="360" w:lineRule="auto"/>
        <w:ind w:left="640" w:hanging="640"/>
        <w:rPr>
          <w:noProof/>
        </w:rPr>
      </w:pPr>
      <w:r w:rsidRPr="00A31434">
        <w:rPr>
          <w:noProof/>
        </w:rPr>
        <w:lastRenderedPageBreak/>
        <w:t>5.</w:t>
      </w:r>
      <w:r w:rsidRPr="00A31434">
        <w:rPr>
          <w:noProof/>
        </w:rPr>
        <w:tab/>
        <w:t xml:space="preserve">Huff, D. Defining and Estimating a Trading Area. </w:t>
      </w:r>
      <w:r w:rsidRPr="00A31434">
        <w:rPr>
          <w:i/>
          <w:iCs/>
          <w:noProof/>
        </w:rPr>
        <w:t>J Mark.</w:t>
      </w:r>
      <w:r w:rsidRPr="00A31434">
        <w:rPr>
          <w:noProof/>
        </w:rPr>
        <w:t xml:space="preserve"> </w:t>
      </w:r>
      <w:r w:rsidRPr="00A31434">
        <w:rPr>
          <w:b/>
          <w:bCs/>
          <w:noProof/>
        </w:rPr>
        <w:t>28</w:t>
      </w:r>
      <w:r w:rsidRPr="00A31434">
        <w:rPr>
          <w:noProof/>
        </w:rPr>
        <w:t>, 34–38 (1964).</w:t>
      </w:r>
    </w:p>
    <w:p w14:paraId="5ACC2C24" w14:textId="77777777" w:rsidR="00A31434" w:rsidRPr="00A31434" w:rsidRDefault="00A31434" w:rsidP="00A31434">
      <w:pPr>
        <w:widowControl w:val="0"/>
        <w:autoSpaceDE w:val="0"/>
        <w:autoSpaceDN w:val="0"/>
        <w:adjustRightInd w:val="0"/>
        <w:spacing w:line="360" w:lineRule="auto"/>
        <w:ind w:left="640" w:hanging="640"/>
        <w:rPr>
          <w:noProof/>
        </w:rPr>
      </w:pPr>
      <w:r w:rsidRPr="00A31434">
        <w:rPr>
          <w:noProof/>
        </w:rPr>
        <w:t>6.</w:t>
      </w:r>
      <w:r w:rsidRPr="00A31434">
        <w:rPr>
          <w:noProof/>
        </w:rPr>
        <w:tab/>
        <w:t>TomTom International BV. What are functional road classes? https://developer.tomtom.com/traffic-stats/support/faq/what-are-functional-road-classes-frc (2020).</w:t>
      </w:r>
    </w:p>
    <w:p w14:paraId="65C65451" w14:textId="77777777" w:rsidR="00A31434" w:rsidRPr="00A31434" w:rsidRDefault="00A31434" w:rsidP="00A31434">
      <w:pPr>
        <w:widowControl w:val="0"/>
        <w:autoSpaceDE w:val="0"/>
        <w:autoSpaceDN w:val="0"/>
        <w:adjustRightInd w:val="0"/>
        <w:spacing w:line="360" w:lineRule="auto"/>
        <w:ind w:left="640" w:hanging="640"/>
        <w:rPr>
          <w:noProof/>
        </w:rPr>
      </w:pPr>
      <w:r w:rsidRPr="00A31434">
        <w:rPr>
          <w:noProof/>
        </w:rPr>
        <w:t>7.</w:t>
      </w:r>
      <w:r w:rsidRPr="00A31434">
        <w:rPr>
          <w:noProof/>
        </w:rPr>
        <w:tab/>
        <w:t>European Comission. Road Classification. https://ec.europa.eu/transport/road_safety/specialist/knowledge/road/designing_for_road_function/road_classification_en (2020).</w:t>
      </w:r>
    </w:p>
    <w:p w14:paraId="78826E7F" w14:textId="61442B5C" w:rsidR="00A31434" w:rsidRPr="00A31434" w:rsidRDefault="00A31434" w:rsidP="00A31434">
      <w:pPr>
        <w:spacing w:line="360" w:lineRule="auto"/>
        <w:jc w:val="both"/>
      </w:pPr>
      <w:r>
        <w:fldChar w:fldCharType="end"/>
      </w:r>
    </w:p>
    <w:sectPr w:rsidR="00A31434" w:rsidRPr="00A314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B9"/>
    <w:rsid w:val="00446233"/>
    <w:rsid w:val="00857DB9"/>
    <w:rsid w:val="00A31434"/>
    <w:rsid w:val="00B34181"/>
    <w:rsid w:val="00CD0C99"/>
    <w:rsid w:val="00D02A65"/>
    <w:rsid w:val="00D440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C5A9"/>
  <w15:chartTrackingRefBased/>
  <w15:docId w15:val="{57A978E6-9944-4E88-BB0A-9D203096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40F9"/>
    <w:pPr>
      <w:spacing w:after="0" w:line="240" w:lineRule="auto"/>
    </w:pPr>
    <w:rPr>
      <w:rFonts w:ascii="Times New Roman" w:eastAsiaTheme="minorEastAsia"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440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40F9"/>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3E302-4721-4F3B-8BF0-81B14B31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1837</Words>
  <Characters>11575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Bauer</dc:creator>
  <cp:keywords/>
  <dc:description/>
  <cp:lastModifiedBy>Jan Bauer</cp:lastModifiedBy>
  <cp:revision>5</cp:revision>
  <dcterms:created xsi:type="dcterms:W3CDTF">2020-09-14T15:11:00Z</dcterms:created>
  <dcterms:modified xsi:type="dcterms:W3CDTF">2020-10-14T10:33:00Z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http://www.zotero.org/styles/springer-vancouver</vt:lpwstr>
  </property>
  <property fmtid="{D5CDD505-2E9C-101B-9397-08002B2CF9AE}" pid="21" name="Mendeley Recent Style Name 9_1">
    <vt:lpwstr>Springer - Vancouver</vt:lpwstr>
  </property>
  <property fmtid="{D5CDD505-2E9C-101B-9397-08002B2CF9AE}" pid="22" name="Mendeley Document_1">
    <vt:lpwstr>True</vt:lpwstr>
  </property>
  <property fmtid="{D5CDD505-2E9C-101B-9397-08002B2CF9AE}" pid="23" name="Mendeley Unique User Id_1">
    <vt:lpwstr>4cd2ecd6-7691-3656-85f6-c41848537ad6</vt:lpwstr>
  </property>
  <property fmtid="{D5CDD505-2E9C-101B-9397-08002B2CF9AE}" pid="24" name="Mendeley Citation Style_1">
    <vt:lpwstr>http://www.zotero.org/styles/nature</vt:lpwstr>
  </property>
</Properties>
</file>