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B34AE" w14:textId="0C079B2D" w:rsidR="00C42C17" w:rsidRPr="00C42C17" w:rsidRDefault="00C42C17" w:rsidP="00C42C17">
      <w:pPr>
        <w:spacing w:after="200" w:line="360" w:lineRule="auto"/>
        <w:jc w:val="both"/>
        <w:rPr>
          <w:b/>
          <w:bCs/>
          <w:lang w:val="en-GB"/>
        </w:rPr>
      </w:pPr>
      <w:r>
        <w:rPr>
          <w:b/>
          <w:bCs/>
          <w:lang w:val="en-GB"/>
        </w:rPr>
        <w:t>E</w:t>
      </w:r>
      <w:r w:rsidRPr="00C42C17">
        <w:rPr>
          <w:b/>
          <w:bCs/>
          <w:lang w:val="en-GB"/>
        </w:rPr>
        <w:t xml:space="preserve">lectronic </w:t>
      </w:r>
      <w:r>
        <w:rPr>
          <w:b/>
          <w:bCs/>
          <w:lang w:val="en-GB"/>
        </w:rPr>
        <w:t>S</w:t>
      </w:r>
      <w:r w:rsidRPr="00C42C17">
        <w:rPr>
          <w:b/>
          <w:bCs/>
          <w:lang w:val="en-GB"/>
        </w:rPr>
        <w:t xml:space="preserve">upplementary </w:t>
      </w:r>
      <w:r>
        <w:rPr>
          <w:b/>
          <w:bCs/>
          <w:lang w:val="en-GB"/>
        </w:rPr>
        <w:t>M</w:t>
      </w:r>
      <w:r w:rsidRPr="00C42C17">
        <w:rPr>
          <w:b/>
          <w:bCs/>
          <w:lang w:val="en-GB"/>
        </w:rPr>
        <w:t>aterial (ESM)</w:t>
      </w:r>
    </w:p>
    <w:p w14:paraId="5903BEF9" w14:textId="32B498EB" w:rsidR="00C42C17" w:rsidRDefault="00C42C17" w:rsidP="00C42C17">
      <w:pPr>
        <w:spacing w:after="200" w:line="360" w:lineRule="auto"/>
        <w:jc w:val="both"/>
        <w:rPr>
          <w:lang w:val="en-GB"/>
        </w:rPr>
      </w:pPr>
      <w:r>
        <w:rPr>
          <w:lang w:val="en-GB"/>
        </w:rPr>
        <w:t>The formula to calculate the accessibility index (AI) is as follows:</w:t>
      </w:r>
    </w:p>
    <w:p w14:paraId="7FC2456C" w14:textId="77777777" w:rsidR="00C42C17" w:rsidRDefault="00AC5DCE" w:rsidP="00C42C17">
      <w:pPr>
        <w:spacing w:after="200" w:line="276" w:lineRule="auto"/>
        <w:jc w:val="both"/>
        <w:rPr>
          <w:sz w:val="32"/>
          <w:lang w:val="en-GB"/>
        </w:rPr>
      </w:pPr>
      <m:oMathPara>
        <m:oMathParaPr>
          <m:jc m:val="left"/>
        </m:oMathParaPr>
        <m:oMath>
          <m:sSub>
            <m:sSubPr>
              <m:ctrlPr>
                <w:rPr>
                  <w:rFonts w:ascii="Cambria Math" w:hAnsi="Cambria Math"/>
                  <w:i/>
                  <w:lang w:val="en-GB"/>
                </w:rPr>
              </m:ctrlPr>
            </m:sSubPr>
            <m:e>
              <m:r>
                <w:rPr>
                  <w:rFonts w:ascii="Cambria Math" w:hAnsi="Cambria Math" w:cs="Arial"/>
                  <w:szCs w:val="22"/>
                  <w:lang w:val="en-GB"/>
                </w:rPr>
                <m:t>AI</m:t>
              </m:r>
            </m:e>
            <m:sub>
              <m:r>
                <w:rPr>
                  <w:rFonts w:ascii="Cambria Math" w:hAnsi="Cambria Math" w:cs="Arial"/>
                  <w:szCs w:val="22"/>
                  <w:lang w:val="en-GB"/>
                </w:rPr>
                <m:t>x</m:t>
              </m:r>
            </m:sub>
          </m:sSub>
          <m:r>
            <w:rPr>
              <w:rFonts w:ascii="Cambria Math" w:hAnsi="Cambria Math" w:cs="Arial"/>
              <w:szCs w:val="22"/>
              <w:lang w:val="en-GB"/>
            </w:rPr>
            <m:t>=</m:t>
          </m:r>
          <m:nary>
            <m:naryPr>
              <m:chr m:val="∑"/>
              <m:limLoc m:val="undOvr"/>
              <m:supHide m:val="1"/>
              <m:ctrlPr>
                <w:rPr>
                  <w:rFonts w:ascii="Cambria Math" w:hAnsi="Cambria Math"/>
                  <w:i/>
                  <w:lang w:val="en-GB"/>
                </w:rPr>
              </m:ctrlPr>
            </m:naryPr>
            <m:sub>
              <m:r>
                <w:rPr>
                  <w:rFonts w:ascii="Cambria Math" w:hAnsi="Cambria Math" w:cs="Arial"/>
                  <w:szCs w:val="22"/>
                  <w:lang w:val="en-GB"/>
                </w:rPr>
                <m:t>y∈(</m:t>
              </m:r>
              <m:sSub>
                <m:sSubPr>
                  <m:ctrlPr>
                    <w:rPr>
                      <w:rFonts w:ascii="Cambria Math" w:hAnsi="Cambria Math"/>
                      <w:i/>
                      <w:lang w:val="en-GB"/>
                    </w:rPr>
                  </m:ctrlPr>
                </m:sSubPr>
                <m:e>
                  <m:r>
                    <w:rPr>
                      <w:rFonts w:ascii="Cambria Math" w:hAnsi="Cambria Math" w:cs="Arial"/>
                      <w:szCs w:val="22"/>
                      <w:lang w:val="en-GB"/>
                    </w:rPr>
                    <m:t>d</m:t>
                  </m:r>
                </m:e>
                <m:sub>
                  <m:r>
                    <w:rPr>
                      <w:rFonts w:ascii="Cambria Math" w:hAnsi="Cambria Math" w:cs="Arial"/>
                      <w:szCs w:val="22"/>
                      <w:lang w:val="en-GB"/>
                    </w:rPr>
                    <m:t>xy</m:t>
                  </m:r>
                </m:sub>
              </m:sSub>
              <m:r>
                <w:rPr>
                  <w:rFonts w:ascii="Cambria Math" w:hAnsi="Cambria Math" w:cs="Arial"/>
                  <w:szCs w:val="22"/>
                  <w:lang w:val="en-GB"/>
                </w:rPr>
                <m:t>≤</m:t>
              </m:r>
              <m:r>
                <w:rPr>
                  <w:rFonts w:ascii="Cambria Math" w:hAnsi="Cambria Math"/>
                  <w:lang w:val="en-GB"/>
                </w:rPr>
                <m:t>C</m:t>
              </m:r>
              <m:r>
                <w:rPr>
                  <w:rFonts w:ascii="Cambria Math" w:hAnsi="Cambria Math" w:cs="Arial"/>
                  <w:szCs w:val="22"/>
                  <w:lang w:val="en-GB"/>
                </w:rPr>
                <m:t xml:space="preserve">)  </m:t>
              </m:r>
            </m:sub>
            <m:sup/>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cs="Arial"/>
                          <w:szCs w:val="22"/>
                          <w:lang w:val="en-GB"/>
                        </w:rPr>
                        <m:t>S</m:t>
                      </m:r>
                    </m:e>
                    <m:sub>
                      <m:r>
                        <w:rPr>
                          <w:rFonts w:ascii="Cambria Math" w:hAnsi="Cambria Math" w:cs="Arial"/>
                          <w:szCs w:val="22"/>
                          <w:lang w:val="en-GB"/>
                        </w:rPr>
                        <m:t>y</m:t>
                      </m:r>
                    </m:sub>
                  </m:sSub>
                  <m:r>
                    <w:rPr>
                      <w:rFonts w:ascii="Cambria Math" w:hAnsi="Cambria Math" w:cs="Arial"/>
                      <w:sz w:val="28"/>
                      <w:szCs w:val="28"/>
                      <w:lang w:val="en-GB"/>
                    </w:rPr>
                    <m:t>∙</m:t>
                  </m:r>
                  <m:r>
                    <w:rPr>
                      <w:rFonts w:ascii="Cambria Math" w:hAnsi="Cambria Math"/>
                      <w:lang w:val="en-GB"/>
                    </w:rPr>
                    <m:t xml:space="preserve"> f </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xy</m:t>
                          </m:r>
                        </m:sub>
                      </m:sSub>
                    </m:e>
                  </m:d>
                </m:num>
                <m:den>
                  <m:nary>
                    <m:naryPr>
                      <m:chr m:val="∑"/>
                      <m:limLoc m:val="undOvr"/>
                      <m:supHide m:val="1"/>
                      <m:ctrlPr>
                        <w:rPr>
                          <w:rFonts w:ascii="Cambria Math" w:hAnsi="Cambria Math"/>
                          <w:i/>
                          <w:lang w:val="en-GB"/>
                        </w:rPr>
                      </m:ctrlPr>
                    </m:naryPr>
                    <m:sub>
                      <m:r>
                        <w:rPr>
                          <w:rFonts w:ascii="Cambria Math" w:hAnsi="Cambria Math" w:cs="Arial"/>
                          <w:szCs w:val="22"/>
                          <w:lang w:val="en-GB"/>
                        </w:rPr>
                        <m:t>x∈(</m:t>
                      </m:r>
                      <m:sSub>
                        <m:sSubPr>
                          <m:ctrlPr>
                            <w:rPr>
                              <w:rFonts w:ascii="Cambria Math" w:hAnsi="Cambria Math"/>
                              <w:i/>
                              <w:lang w:val="en-GB"/>
                            </w:rPr>
                          </m:ctrlPr>
                        </m:sSubPr>
                        <m:e>
                          <m:r>
                            <w:rPr>
                              <w:rFonts w:ascii="Cambria Math" w:hAnsi="Cambria Math" w:cs="Arial"/>
                              <w:szCs w:val="22"/>
                              <w:lang w:val="en-GB"/>
                            </w:rPr>
                            <m:t>d</m:t>
                          </m:r>
                        </m:e>
                        <m:sub>
                          <m:r>
                            <w:rPr>
                              <w:rFonts w:ascii="Cambria Math" w:hAnsi="Cambria Math" w:cs="Arial"/>
                              <w:szCs w:val="22"/>
                              <w:lang w:val="en-GB"/>
                            </w:rPr>
                            <m:t>xy</m:t>
                          </m:r>
                        </m:sub>
                      </m:sSub>
                      <m:r>
                        <w:rPr>
                          <w:rFonts w:ascii="Cambria Math" w:hAnsi="Cambria Math" w:cs="Arial"/>
                          <w:szCs w:val="22"/>
                          <w:lang w:val="en-GB"/>
                        </w:rPr>
                        <m:t>≤</m:t>
                      </m:r>
                      <m:r>
                        <w:rPr>
                          <w:rFonts w:ascii="Cambria Math" w:hAnsi="Cambria Math"/>
                          <w:lang w:val="en-GB"/>
                        </w:rPr>
                        <m:t>C</m:t>
                      </m:r>
                      <m:r>
                        <w:rPr>
                          <w:rFonts w:ascii="Cambria Math" w:hAnsi="Cambria Math" w:cs="Arial"/>
                          <w:szCs w:val="22"/>
                          <w:lang w:val="en-GB"/>
                        </w:rPr>
                        <m:t>)</m:t>
                      </m:r>
                    </m:sub>
                    <m:sup/>
                    <m:e>
                      <m:sSub>
                        <m:sSubPr>
                          <m:ctrlPr>
                            <w:rPr>
                              <w:rFonts w:ascii="Cambria Math" w:hAnsi="Cambria Math"/>
                              <w:i/>
                              <w:sz w:val="28"/>
                              <w:szCs w:val="28"/>
                              <w:lang w:val="en-GB"/>
                            </w:rPr>
                          </m:ctrlPr>
                        </m:sSubPr>
                        <m:e>
                          <m:r>
                            <w:rPr>
                              <w:rFonts w:ascii="Cambria Math" w:hAnsi="Cambria Math" w:cs="Arial"/>
                              <w:sz w:val="28"/>
                              <w:szCs w:val="28"/>
                              <w:lang w:val="en-GB"/>
                            </w:rPr>
                            <m:t>P</m:t>
                          </m:r>
                        </m:e>
                        <m:sub>
                          <m:r>
                            <w:rPr>
                              <w:rFonts w:ascii="Cambria Math" w:hAnsi="Cambria Math" w:cs="Arial"/>
                              <w:sz w:val="28"/>
                              <w:szCs w:val="28"/>
                              <w:lang w:val="en-GB"/>
                            </w:rPr>
                            <m:t>x</m:t>
                          </m:r>
                        </m:sub>
                      </m:sSub>
                    </m:e>
                  </m:nary>
                  <m:r>
                    <w:rPr>
                      <w:rFonts w:ascii="Cambria Math" w:hAnsi="Cambria Math" w:cs="Arial"/>
                      <w:sz w:val="28"/>
                      <w:szCs w:val="28"/>
                      <w:lang w:val="en-GB"/>
                    </w:rPr>
                    <m:t>∙</m:t>
                  </m:r>
                  <m:r>
                    <w:rPr>
                      <w:rFonts w:ascii="Cambria Math" w:hAnsi="Cambria Math"/>
                      <w:lang w:val="en-GB"/>
                    </w:rPr>
                    <m:t xml:space="preserve"> f </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xy</m:t>
                          </m:r>
                        </m:sub>
                      </m:sSub>
                    </m:e>
                  </m:d>
                </m:den>
              </m:f>
            </m:e>
          </m:nary>
        </m:oMath>
      </m:oMathPara>
    </w:p>
    <w:p w14:paraId="5AEE40CF" w14:textId="61EE86E1" w:rsidR="00C42C17" w:rsidRDefault="00C42C17" w:rsidP="00C42C17">
      <w:pPr>
        <w:spacing w:after="200" w:line="360" w:lineRule="auto"/>
        <w:jc w:val="both"/>
        <w:rPr>
          <w:lang w:val="en-GB"/>
        </w:rPr>
      </w:pPr>
      <w:r>
        <w:rPr>
          <w:rFonts w:cs="Arial"/>
          <w:color w:val="000000" w:themeColor="text1"/>
          <w:szCs w:val="22"/>
          <w:lang w:val="en-GB"/>
        </w:rPr>
        <w:t xml:space="preserve">where </w:t>
      </w:r>
      <w:r>
        <w:rPr>
          <w:rFonts w:cs="Arial"/>
          <w:i/>
          <w:color w:val="000000" w:themeColor="text1"/>
          <w:szCs w:val="22"/>
          <w:lang w:val="en-GB"/>
        </w:rPr>
        <w:t>x</w:t>
      </w:r>
      <w:r>
        <w:rPr>
          <w:rFonts w:cs="Arial"/>
          <w:color w:val="000000" w:themeColor="text1"/>
          <w:szCs w:val="22"/>
          <w:lang w:val="en-GB"/>
        </w:rPr>
        <w:t xml:space="preserve"> is the </w:t>
      </w:r>
      <w:r w:rsidRPr="00AC5DCE">
        <w:rPr>
          <w:rFonts w:cs="Arial"/>
          <w:color w:val="000000" w:themeColor="text1"/>
          <w:szCs w:val="22"/>
          <w:lang w:val="en-GB"/>
        </w:rPr>
        <w:t>population location (</w:t>
      </w:r>
      <w:r w:rsidRPr="00AC5DCE">
        <w:rPr>
          <w:lang w:val="en-GB"/>
        </w:rPr>
        <w:t>centroid of a GPWv4 pixel)</w:t>
      </w:r>
      <w:r w:rsidRPr="00AC5DCE">
        <w:rPr>
          <w:rFonts w:cs="Arial"/>
          <w:color w:val="000000" w:themeColor="text1"/>
          <w:szCs w:val="22"/>
          <w:lang w:val="en-GB"/>
        </w:rPr>
        <w:t xml:space="preserve"> and</w:t>
      </w:r>
      <w:r w:rsidRPr="00AC5DCE">
        <w:rPr>
          <w:lang w:val="en-GB"/>
        </w:rPr>
        <w:t xml:space="preserve"> </w:t>
      </w:r>
      <w:r w:rsidRPr="00AC5DCE">
        <w:rPr>
          <w:i/>
          <w:lang w:val="en-GB"/>
        </w:rPr>
        <w:t>P</w:t>
      </w:r>
      <w:r w:rsidRPr="00AC5DCE">
        <w:rPr>
          <w:i/>
          <w:vertAlign w:val="subscript"/>
          <w:lang w:val="en-GB"/>
        </w:rPr>
        <w:t>x</w:t>
      </w:r>
      <w:r w:rsidRPr="00AC5DCE">
        <w:rPr>
          <w:lang w:val="en-GB"/>
        </w:rPr>
        <w:t xml:space="preserve"> is the population </w:t>
      </w:r>
      <w:r w:rsidR="0025650B" w:rsidRPr="00AC5DCE">
        <w:rPr>
          <w:lang w:val="en-GB"/>
        </w:rPr>
        <w:t>count</w:t>
      </w:r>
      <w:r w:rsidRPr="00AC5DCE">
        <w:rPr>
          <w:lang w:val="en-GB"/>
        </w:rPr>
        <w:t xml:space="preserve"> at location </w:t>
      </w:r>
      <w:r w:rsidRPr="00AC5DCE">
        <w:rPr>
          <w:i/>
          <w:lang w:val="en-GB"/>
        </w:rPr>
        <w:t>x</w:t>
      </w:r>
      <w:r w:rsidRPr="00AC5DCE">
        <w:rPr>
          <w:lang w:val="en-GB"/>
        </w:rPr>
        <w:t>.</w:t>
      </w:r>
      <w:r>
        <w:rPr>
          <w:lang w:val="en-GB"/>
        </w:rPr>
        <w:t xml:space="preserve"> The capacity </w:t>
      </w:r>
      <w:r>
        <w:rPr>
          <w:i/>
          <w:lang w:val="en-GB"/>
        </w:rPr>
        <w:t>S</w:t>
      </w:r>
      <w:r>
        <w:rPr>
          <w:i/>
          <w:vertAlign w:val="subscript"/>
          <w:lang w:val="en-GB"/>
        </w:rPr>
        <w:t>y</w:t>
      </w:r>
      <w:r>
        <w:rPr>
          <w:lang w:val="en-GB"/>
        </w:rPr>
        <w:t xml:space="preserve"> represents the number of intensive care beds at hospital location </w:t>
      </w:r>
      <w:r>
        <w:rPr>
          <w:i/>
          <w:lang w:val="en-GB"/>
        </w:rPr>
        <w:t>y</w:t>
      </w:r>
      <w:r>
        <w:rPr>
          <w:lang w:val="en-GB"/>
        </w:rPr>
        <w:t xml:space="preserve">. Hospital beds have been shown to be accurate surrogates of capacity and are commonly used in healthcare research and planning </w:t>
      </w:r>
      <w:r>
        <w:rPr>
          <w:lang w:val="en-GB"/>
        </w:rPr>
        <w:fldChar w:fldCharType="begin" w:fldLock="1"/>
      </w:r>
      <w:r w:rsidR="0025650B">
        <w:rPr>
          <w:lang w:val="en-GB"/>
        </w:rPr>
        <w:instrText>ADDIN CSL_CITATION {"citationItems":[{"id":"ITEM-1","itemData":{"DOI":"10.1111/j.1748-0361.2006.00063.x","ISSN":"0890765X","abstract":"Purpose: To assess the extent of bypass for inpatient care among patients living in Critical Access Hospital (CAH) service areas, and to determine factors associated with bypass, the reasons for bypass, and what CAHs can do to retain patients locally. Methods: Six hundred and forty-seven subjects, aged 18 years and older, who had been admitted to a hospital for inpatient care in the past 12 months and lived within 15-20 miles of 25 randomly selected CAHs were surveyed by phone during the period from early February through late July 2005. Survey questions included demographic characteristics, general health status, travel time/distance to health care, questions on satisfaction with local health services, bypass behavior, and solicited suggestions on how local hospitals could retain patients locally. Findings: About 60% of surveyed patients bypassed their local CAHs for inpatient care including 16% who were referred to another facility by the local CAH/health care providers and would use the local hospital if needed services were available. Bypass rates ranged from 16% to 70% across the sampled CAHs. Factors associated with bypass included age, income, satisfaction with the local hospital, and traveling distance/time. Lack of specialty care, limited services, and the quality/reputation of local services/doctors were most frequently mentioned as reasons why patients bypass local CAHs. Conclusions: The bypass rate for sampled CAHs is considerably higher than the 20%-50% bypass rates documented in the literature for all hospitals in general using discharge/administrative data. The sizeable variation in bypass rates across CAHs suggests that the appropriate response/fix should come from the facility/community levels. © 2007 National Rural Health Association.","author":[{"dropping-particle":"","family":"Liu","given":"Jiexin","non-dropping-particle":"","parse-names":false,"suffix":""},{"dropping-particle":"","family":"Bellamy","given":"Gail R.","non-dropping-particle":"","parse-names":false,"suffix":""},{"dropping-particle":"","family":"McCormick","given":"Melissa","non-dropping-particle":"","parse-names":false,"suffix":""}],"container-title":"J Rural Health","id":"ITEM-1","issue":"1","issued":{"date-parts":[["2007"]]},"page":"17-24","title":"Patient bypass behavior and critical access hospitals: Implications for patient retention","type":"article-journal","volume":"23"},"uris":["http://www.mendeley.com/documents/?uuid=788593d9-7e9a-466f-9ee6-5760c816ca86"]}],"mendeley":{"formattedCitation":"[1]","plainTextFormattedCitation":"[1]","previouslyFormattedCitation":"[15]"},"properties":{"noteIndex":0},"schema":"https://github.com/citation-style-language/schema/raw/master/csl-citation.json"}</w:instrText>
      </w:r>
      <w:r>
        <w:rPr>
          <w:lang w:val="en-GB"/>
        </w:rPr>
        <w:fldChar w:fldCharType="separate"/>
      </w:r>
      <w:r w:rsidR="0025650B" w:rsidRPr="0025650B">
        <w:rPr>
          <w:noProof/>
          <w:lang w:val="en-GB"/>
        </w:rPr>
        <w:t>[1]</w:t>
      </w:r>
      <w:r>
        <w:rPr>
          <w:lang w:val="en-GB"/>
        </w:rPr>
        <w:fldChar w:fldCharType="end"/>
      </w:r>
      <w:r>
        <w:rPr>
          <w:lang w:val="en-GB"/>
        </w:rPr>
        <w:t xml:space="preserve">. The maximum catchment size </w:t>
      </w:r>
      <w:r>
        <w:rPr>
          <w:i/>
          <w:lang w:val="en-GB"/>
        </w:rPr>
        <w:t>C</w:t>
      </w:r>
      <w:r>
        <w:rPr>
          <w:lang w:val="en-GB"/>
        </w:rPr>
        <w:t xml:space="preserve"> is set to 120 minutes by car, which is </w:t>
      </w:r>
      <w:r>
        <w:rPr>
          <w:rFonts w:cs="Arial"/>
          <w:color w:val="000000" w:themeColor="text1"/>
          <w:szCs w:val="22"/>
          <w:lang w:val="en-GB"/>
        </w:rPr>
        <w:t xml:space="preserve">in line with current literature regarding the inpatient sector </w:t>
      </w:r>
      <w:r>
        <w:rPr>
          <w:rFonts w:cs="Arial"/>
          <w:color w:val="000000" w:themeColor="text1"/>
          <w:szCs w:val="22"/>
          <w:lang w:val="en-GB"/>
        </w:rPr>
        <w:fldChar w:fldCharType="begin" w:fldLock="1"/>
      </w:r>
      <w:r w:rsidR="0025650B">
        <w:rPr>
          <w:rFonts w:cs="Arial"/>
          <w:color w:val="000000" w:themeColor="text1"/>
          <w:szCs w:val="22"/>
          <w:lang w:val="en-GB"/>
        </w:rPr>
        <w:instrText>ADDIN CSL_CITATION {"citationItems":[{"id":"ITEM-1","itemData":{"DOI":"10.1186/s12942-017-0116-6","ISBN":"1294201701166","ISSN":"1476-072X","author":[{"dropping-particle":"","family":"Bauer","given":"Jan","non-dropping-particle":"","parse-names":false,"suffix":""},{"dropping-particle":"","family":"Groneberg","given":"David A.","non-dropping-particle":"","parse-names":false,"suffix":""},{"dropping-particle":"","family":"Maier","given":"Werner","non-dropping-particle":"","parse-names":false,"suffix":""},{"dropping-particle":"","family":"Manek","given":"Roxanne","non-dropping-particle":"","parse-names":false,"suffix":""},{"dropping-particle":"","family":"Louwen","given":"Frank","non-dropping-particle":"","parse-names":false,"suffix":""},{"dropping-particle":"","family":"Brüggmann","given":"Dörthe","non-dropping-particle":"","parse-names":false,"suffix":""}],"container-title":"Int J Health Geogr","id":"ITEM-1","issue":"1","issued":{"date-parts":[["2017"]]},"page":"44","publisher":"BioMed Central","title":"Accessibility of general and specialized obstetric care providers in Germany and England: an analysis of location and neonatal outcome","type":"article-journal","volume":"16"},"uris":["http://www.mendeley.com/documents/?uuid=fef64c82-f1c7-458f-a738-657048dc124c"]}],"mendeley":{"formattedCitation":"[2]","plainTextFormattedCitation":"[2]","previouslyFormattedCitation":"[16]"},"properties":{"noteIndex":0},"schema":"https://github.com/citation-style-language/schema/raw/master/csl-citation.json"}</w:instrText>
      </w:r>
      <w:r>
        <w:rPr>
          <w:rFonts w:cs="Arial"/>
          <w:color w:val="000000" w:themeColor="text1"/>
          <w:szCs w:val="22"/>
          <w:lang w:val="en-GB"/>
        </w:rPr>
        <w:fldChar w:fldCharType="separate"/>
      </w:r>
      <w:r w:rsidR="0025650B" w:rsidRPr="0025650B">
        <w:rPr>
          <w:rFonts w:cs="Arial"/>
          <w:noProof/>
          <w:color w:val="000000" w:themeColor="text1"/>
          <w:szCs w:val="22"/>
          <w:lang w:val="en-GB"/>
        </w:rPr>
        <w:t>[2]</w:t>
      </w:r>
      <w:r>
        <w:rPr>
          <w:rFonts w:cs="Arial"/>
          <w:color w:val="000000" w:themeColor="text1"/>
          <w:szCs w:val="22"/>
          <w:lang w:val="en-GB"/>
        </w:rPr>
        <w:fldChar w:fldCharType="end"/>
      </w:r>
      <w:r>
        <w:rPr>
          <w:rFonts w:cs="Arial"/>
          <w:color w:val="000000" w:themeColor="text1"/>
          <w:szCs w:val="22"/>
          <w:lang w:val="en-GB"/>
        </w:rPr>
        <w:t xml:space="preserve">. The distance decay function </w:t>
      </w:r>
      <w:r>
        <w:rPr>
          <w:rFonts w:cs="Arial"/>
          <w:i/>
          <w:color w:val="000000" w:themeColor="text1"/>
          <w:szCs w:val="22"/>
          <w:lang w:val="en-GB"/>
        </w:rPr>
        <w:t>f (</w:t>
      </w:r>
      <w:proofErr w:type="spellStart"/>
      <w:r>
        <w:rPr>
          <w:rFonts w:cs="Arial"/>
          <w:i/>
          <w:color w:val="000000" w:themeColor="text1"/>
          <w:szCs w:val="22"/>
          <w:lang w:val="en-GB"/>
        </w:rPr>
        <w:t>d</w:t>
      </w:r>
      <w:r>
        <w:rPr>
          <w:rFonts w:cs="Arial"/>
          <w:i/>
          <w:color w:val="000000" w:themeColor="text1"/>
          <w:szCs w:val="22"/>
          <w:vertAlign w:val="subscript"/>
          <w:lang w:val="en-GB"/>
        </w:rPr>
        <w:t>xy</w:t>
      </w:r>
      <w:proofErr w:type="spellEnd"/>
      <w:r>
        <w:rPr>
          <w:rFonts w:cs="Arial"/>
          <w:i/>
          <w:color w:val="000000" w:themeColor="text1"/>
          <w:szCs w:val="22"/>
          <w:lang w:val="en-GB"/>
        </w:rPr>
        <w:t>)</w:t>
      </w:r>
      <w:r>
        <w:rPr>
          <w:rFonts w:cs="Arial"/>
          <w:color w:val="000000" w:themeColor="text1"/>
          <w:szCs w:val="22"/>
          <w:lang w:val="en-GB"/>
        </w:rPr>
        <w:t xml:space="preserve"> represents the declining probability that patients will utilize hospitals with increasing travel time </w:t>
      </w:r>
      <w:r>
        <w:rPr>
          <w:rFonts w:cs="Arial"/>
          <w:i/>
          <w:color w:val="000000" w:themeColor="text1"/>
          <w:szCs w:val="22"/>
          <w:lang w:val="en-GB"/>
        </w:rPr>
        <w:t>d</w:t>
      </w:r>
      <w:r>
        <w:rPr>
          <w:rFonts w:cs="Arial"/>
          <w:color w:val="000000" w:themeColor="text1"/>
          <w:szCs w:val="22"/>
          <w:lang w:val="en-GB"/>
        </w:rPr>
        <w:t xml:space="preserve"> (in minutes by car). W</w:t>
      </w:r>
      <w:r>
        <w:rPr>
          <w:lang w:val="en-GB"/>
        </w:rPr>
        <w:t xml:space="preserve">e applied the Gaussian function with fast decay and four travel time zones (in minutes: &lt;20, 20-39, 40-59, </w:t>
      </w:r>
      <w:r>
        <w:rPr>
          <w:rFonts w:cs="Times New Roman"/>
          <w:lang w:val="en-GB"/>
        </w:rPr>
        <w:t>≥</w:t>
      </w:r>
      <w:r>
        <w:rPr>
          <w:lang w:val="en-GB"/>
        </w:rPr>
        <w:t xml:space="preserve">60) </w:t>
      </w:r>
      <w:r>
        <w:rPr>
          <w:lang w:val="en-GB"/>
        </w:rPr>
        <w:fldChar w:fldCharType="begin" w:fldLock="1"/>
      </w:r>
      <w:r w:rsidR="0025650B">
        <w:rPr>
          <w:lang w:val="en-GB"/>
        </w:rPr>
        <w:instrText>ADDIN CSL_CITATION {"citationItems":[{"id":"ITEM-1","itemData":{"DOI":"10.1080/00045608.2012.657146","ISBN":"0004-5608 (Print)\\r0004-5608 (Linking)","ISSN":"0004-5608","PMID":"23335813","abstract":"Despite spending more than any other nation on medical care per person, the United States ranks behind other industrialized nations in key health performance measures. A main cause is the deep disparities in access to care and health outcomes. Federal programs such as the designations of Medically Underserved Areas/Populations and Health Professional Shortage Areas are designed to boost the number of health professionals serving these areas and to help alleviate the access problem. Their effectiveness relies first and foremost on an accurate measure of accessibility so that resources can be allocated to truly needy areas. Various measures of accessibility need to be integrated into one framework for comparison and evaluation. Optimization methods can be used to improve the distribution and supply of health care providers to maximize service coverage, minimize travel needs of patients, limit the number of facilities, and maximize health or access equality. Inequality in health care access comes at a personal and societal price, evidenced in disparities in health outcomes, including late-stage cancer diagnosis. This review surveys recent literature on the three named issues with emphasis on methodological advancements and implications for public policy.","author":[{"dropping-particle":"","family":"Wang","given":"Fahui","non-dropping-particle":"","parse-names":false,"suffix":""}],"container-title":"Ann Assoc Am Geogr","id":"ITEM-1","issue":"5","issued":{"date-parts":[["2012"]]},"page":"1104-1112","title":"Measurement, Optimization, and Impact of Health Care Accessibility: A Methodological Review","type":"article-journal","volume":"102"},"uris":["http://www.mendeley.com/documents/?uuid=6af0dfb6-1ede-4008-97e8-569974fefceb"]}],"mendeley":{"formattedCitation":"[3]","plainTextFormattedCitation":"[3]","previouslyFormattedCitation":"[17]"},"properties":{"noteIndex":0},"schema":"https://github.com/citation-style-language/schema/raw/master/csl-citation.json"}</w:instrText>
      </w:r>
      <w:r>
        <w:rPr>
          <w:lang w:val="en-GB"/>
        </w:rPr>
        <w:fldChar w:fldCharType="separate"/>
      </w:r>
      <w:r w:rsidR="0025650B" w:rsidRPr="0025650B">
        <w:rPr>
          <w:noProof/>
          <w:lang w:val="en-GB"/>
        </w:rPr>
        <w:t>[3]</w:t>
      </w:r>
      <w:r>
        <w:rPr>
          <w:lang w:val="en-GB"/>
        </w:rPr>
        <w:fldChar w:fldCharType="end"/>
      </w:r>
      <w:r>
        <w:rPr>
          <w:lang w:val="en-GB"/>
        </w:rPr>
        <w:t>.</w:t>
      </w:r>
    </w:p>
    <w:p w14:paraId="013939B8" w14:textId="6E5AF697" w:rsidR="00C42C17" w:rsidRDefault="00C42C17" w:rsidP="00C42C17">
      <w:pPr>
        <w:spacing w:after="200" w:line="360" w:lineRule="auto"/>
        <w:jc w:val="both"/>
        <w:rPr>
          <w:lang w:val="en-GB"/>
        </w:rPr>
      </w:pPr>
      <w:r>
        <w:rPr>
          <w:lang w:val="en-GB"/>
        </w:rPr>
        <w:t xml:space="preserve">In simplified terms, two steps are necessary to calculate the AI. First, all population pixels within each hospital catchment are summed (accounting for distance decay) and a ratio of hospital beds to population size is calculated for each hospital. Second, the ratio values from </w:t>
      </w:r>
      <w:proofErr w:type="gramStart"/>
      <w:r>
        <w:rPr>
          <w:lang w:val="en-GB"/>
        </w:rPr>
        <w:t>all of</w:t>
      </w:r>
      <w:proofErr w:type="gramEnd"/>
      <w:r>
        <w:rPr>
          <w:lang w:val="en-GB"/>
        </w:rPr>
        <w:t xml:space="preserve"> the overlapping hospital catchments are summed for each population pixel. For a more detailed description see the original publication of the E2SFCA method by Luo et Qi </w:t>
      </w:r>
      <w:r>
        <w:rPr>
          <w:lang w:val="en-GB"/>
        </w:rPr>
        <w:fldChar w:fldCharType="begin" w:fldLock="1"/>
      </w:r>
      <w:r w:rsidR="0025650B">
        <w:rPr>
          <w:lang w:val="en-GB"/>
        </w:rPr>
        <w:instrText>ADDIN CSL_CITATION {"citationItems":[{"id":"ITEM-1","itemData":{"DOI":"10.1016/j.healthplace.2009.06.002","ISSN":"13538292","author":[{"dropping-particle":"","family":"Luo","given":"Wei","non-dropping-particle":"","parse-names":false,"suffix":""},{"dropping-particle":"","family":"Qi","given":"Yi","non-dropping-particle":"","parse-names":false,"suffix":""}],"container-title":"Health Place","id":"ITEM-1","issue":"4","issued":{"date-parts":[["2009"]]},"page":"1100-1107","publisher":"Elsevier","title":"An enhanced two-step floating catchment area (E2SFCA) method for measuring spatial accessibility to primary care physicians","type":"article-journal","volume":"15"},"uris":["http://www.mendeley.com/documents/?uuid=862a3fb7-824e-4271-84a8-509db3f06eeb"]}],"mendeley":{"formattedCitation":"[4]","plainTextFormattedCitation":"[4]","previouslyFormattedCitation":"[14]"},"properties":{"noteIndex":0},"schema":"https://github.com/citation-style-language/schema/raw/master/csl-citation.json"}</w:instrText>
      </w:r>
      <w:r>
        <w:rPr>
          <w:lang w:val="en-GB"/>
        </w:rPr>
        <w:fldChar w:fldCharType="separate"/>
      </w:r>
      <w:r w:rsidR="0025650B" w:rsidRPr="0025650B">
        <w:rPr>
          <w:noProof/>
          <w:lang w:val="en-GB"/>
        </w:rPr>
        <w:t>[4]</w:t>
      </w:r>
      <w:r>
        <w:rPr>
          <w:lang w:val="en-GB"/>
        </w:rPr>
        <w:fldChar w:fldCharType="end"/>
      </w:r>
      <w:r>
        <w:rPr>
          <w:lang w:val="en-GB"/>
        </w:rPr>
        <w:t xml:space="preserve">. </w:t>
      </w:r>
    </w:p>
    <w:p w14:paraId="65ADCC34" w14:textId="577FE1C6" w:rsidR="0025650B" w:rsidRDefault="0025650B" w:rsidP="00C42C17">
      <w:pPr>
        <w:spacing w:after="200" w:line="360" w:lineRule="auto"/>
        <w:jc w:val="both"/>
        <w:rPr>
          <w:lang w:val="en-GB"/>
        </w:rPr>
      </w:pPr>
    </w:p>
    <w:p w14:paraId="60053E92" w14:textId="0A8DBECD" w:rsidR="0025650B" w:rsidRDefault="0025650B" w:rsidP="00C42C17">
      <w:pPr>
        <w:spacing w:after="200" w:line="360" w:lineRule="auto"/>
        <w:jc w:val="both"/>
        <w:rPr>
          <w:lang w:val="en-GB"/>
        </w:rPr>
      </w:pPr>
      <w:r>
        <w:rPr>
          <w:lang w:val="en-GB"/>
        </w:rPr>
        <w:t>References:</w:t>
      </w:r>
    </w:p>
    <w:p w14:paraId="70410C30" w14:textId="578DE391" w:rsidR="0025650B" w:rsidRPr="00AC5DCE" w:rsidRDefault="0025650B" w:rsidP="0025650B">
      <w:pPr>
        <w:widowControl w:val="0"/>
        <w:autoSpaceDE w:val="0"/>
        <w:autoSpaceDN w:val="0"/>
        <w:adjustRightInd w:val="0"/>
        <w:spacing w:after="200" w:line="360" w:lineRule="auto"/>
        <w:ind w:left="640" w:hanging="640"/>
        <w:rPr>
          <w:rFonts w:cs="Times New Roman"/>
          <w:noProof/>
          <w:lang w:val="en-US"/>
        </w:rPr>
      </w:pPr>
      <w:r>
        <w:rPr>
          <w:lang w:val="en-GB"/>
        </w:rPr>
        <w:fldChar w:fldCharType="begin" w:fldLock="1"/>
      </w:r>
      <w:r>
        <w:rPr>
          <w:lang w:val="en-GB"/>
        </w:rPr>
        <w:instrText xml:space="preserve">ADDIN Mendeley Bibliography CSL_BIBLIOGRAPHY </w:instrText>
      </w:r>
      <w:r>
        <w:rPr>
          <w:lang w:val="en-GB"/>
        </w:rPr>
        <w:fldChar w:fldCharType="separate"/>
      </w:r>
      <w:r w:rsidRPr="00AC5DCE">
        <w:rPr>
          <w:rFonts w:cs="Times New Roman"/>
          <w:noProof/>
          <w:lang w:val="en-US"/>
        </w:rPr>
        <w:t xml:space="preserve">1. </w:t>
      </w:r>
      <w:r w:rsidRPr="00AC5DCE">
        <w:rPr>
          <w:rFonts w:cs="Times New Roman"/>
          <w:noProof/>
          <w:lang w:val="en-US"/>
        </w:rPr>
        <w:tab/>
        <w:t>Liu J, Bellamy GR, McCormick M (2007) Patient bypass behavior and critical access hospitals: Implications for patient retention. J Rural Health 23:17–24. doi: 10.1111/j.1748-0361.2006.00063.x</w:t>
      </w:r>
    </w:p>
    <w:p w14:paraId="0A7D8F4B" w14:textId="77777777" w:rsidR="0025650B" w:rsidRPr="00AC5DCE" w:rsidRDefault="0025650B" w:rsidP="0025650B">
      <w:pPr>
        <w:widowControl w:val="0"/>
        <w:autoSpaceDE w:val="0"/>
        <w:autoSpaceDN w:val="0"/>
        <w:adjustRightInd w:val="0"/>
        <w:spacing w:after="200" w:line="360" w:lineRule="auto"/>
        <w:ind w:left="640" w:hanging="640"/>
        <w:rPr>
          <w:rFonts w:cs="Times New Roman"/>
          <w:noProof/>
          <w:lang w:val="en-US"/>
        </w:rPr>
      </w:pPr>
      <w:r w:rsidRPr="00AC5DCE">
        <w:rPr>
          <w:rFonts w:cs="Times New Roman"/>
          <w:noProof/>
          <w:lang w:val="en-US"/>
        </w:rPr>
        <w:t xml:space="preserve">2. </w:t>
      </w:r>
      <w:r w:rsidRPr="00AC5DCE">
        <w:rPr>
          <w:rFonts w:cs="Times New Roman"/>
          <w:noProof/>
          <w:lang w:val="en-US"/>
        </w:rPr>
        <w:tab/>
        <w:t>Bauer J, Groneberg DA, Maier W, et al (2017) Accessibility of general and specialized obstetric care providers in Germany and England: an analysis of location and neonatal outcome. Int J Health Geogr 16:44. doi: 10.1186/s12942-017-0116-6</w:t>
      </w:r>
    </w:p>
    <w:p w14:paraId="0DEEDB7C" w14:textId="77777777" w:rsidR="0025650B" w:rsidRPr="00AC5DCE" w:rsidRDefault="0025650B" w:rsidP="0025650B">
      <w:pPr>
        <w:widowControl w:val="0"/>
        <w:autoSpaceDE w:val="0"/>
        <w:autoSpaceDN w:val="0"/>
        <w:adjustRightInd w:val="0"/>
        <w:spacing w:after="200" w:line="360" w:lineRule="auto"/>
        <w:ind w:left="640" w:hanging="640"/>
        <w:rPr>
          <w:rFonts w:cs="Times New Roman"/>
          <w:noProof/>
          <w:lang w:val="en-US"/>
        </w:rPr>
      </w:pPr>
      <w:r w:rsidRPr="00AC5DCE">
        <w:rPr>
          <w:rFonts w:cs="Times New Roman"/>
          <w:noProof/>
          <w:lang w:val="en-US"/>
        </w:rPr>
        <w:t xml:space="preserve">3. </w:t>
      </w:r>
      <w:r w:rsidRPr="00AC5DCE">
        <w:rPr>
          <w:rFonts w:cs="Times New Roman"/>
          <w:noProof/>
          <w:lang w:val="en-US"/>
        </w:rPr>
        <w:tab/>
        <w:t>Wang F (2012) Measurement, Optimization, and Impact of Health Care Accessibility: A Methodological Review. Ann Assoc Am Geogr 102:1104–1112. doi: 10.1080/00045608.2012.657146</w:t>
      </w:r>
    </w:p>
    <w:p w14:paraId="1F66D01B" w14:textId="77777777" w:rsidR="0025650B" w:rsidRPr="0025650B" w:rsidRDefault="0025650B" w:rsidP="0025650B">
      <w:pPr>
        <w:widowControl w:val="0"/>
        <w:autoSpaceDE w:val="0"/>
        <w:autoSpaceDN w:val="0"/>
        <w:adjustRightInd w:val="0"/>
        <w:spacing w:after="200" w:line="360" w:lineRule="auto"/>
        <w:ind w:left="640" w:hanging="640"/>
        <w:rPr>
          <w:rFonts w:cs="Times New Roman"/>
          <w:noProof/>
        </w:rPr>
      </w:pPr>
      <w:r w:rsidRPr="00AC5DCE">
        <w:rPr>
          <w:rFonts w:cs="Times New Roman"/>
          <w:noProof/>
          <w:lang w:val="en-US"/>
        </w:rPr>
        <w:t xml:space="preserve">4. </w:t>
      </w:r>
      <w:r w:rsidRPr="00AC5DCE">
        <w:rPr>
          <w:rFonts w:cs="Times New Roman"/>
          <w:noProof/>
          <w:lang w:val="en-US"/>
        </w:rPr>
        <w:tab/>
        <w:t xml:space="preserve">Luo W, Qi Y (2009) An enhanced two-step floating catchment area (E2SFCA) method </w:t>
      </w:r>
      <w:r w:rsidRPr="00AC5DCE">
        <w:rPr>
          <w:rFonts w:cs="Times New Roman"/>
          <w:noProof/>
          <w:lang w:val="en-US"/>
        </w:rPr>
        <w:lastRenderedPageBreak/>
        <w:t xml:space="preserve">for measuring spatial accessibility to primary care physicians. </w:t>
      </w:r>
      <w:r w:rsidRPr="0025650B">
        <w:rPr>
          <w:rFonts w:cs="Times New Roman"/>
          <w:noProof/>
        </w:rPr>
        <w:t>Health Place 15:1100–1107. doi: 10.1016/j.healthplace.2009.06.002</w:t>
      </w:r>
    </w:p>
    <w:p w14:paraId="71B89D4F" w14:textId="707F1D24" w:rsidR="0025650B" w:rsidRDefault="0025650B" w:rsidP="00C42C17">
      <w:pPr>
        <w:spacing w:after="200" w:line="360" w:lineRule="auto"/>
        <w:jc w:val="both"/>
        <w:rPr>
          <w:lang w:val="en-GB"/>
        </w:rPr>
      </w:pPr>
      <w:r>
        <w:rPr>
          <w:lang w:val="en-GB"/>
        </w:rPr>
        <w:fldChar w:fldCharType="end"/>
      </w:r>
    </w:p>
    <w:p w14:paraId="6F314571" w14:textId="77777777" w:rsidR="006B1A4F" w:rsidRPr="00C42C17" w:rsidRDefault="006B1A4F">
      <w:pPr>
        <w:rPr>
          <w:lang w:val="en-GB"/>
        </w:rPr>
      </w:pPr>
    </w:p>
    <w:sectPr w:rsidR="006B1A4F" w:rsidRPr="00C42C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re Franklin">
    <w:panose1 w:val="00000500000000000000"/>
    <w:charset w:val="00"/>
    <w:family w:val="auto"/>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3BFE"/>
    <w:rsid w:val="0025650B"/>
    <w:rsid w:val="002A3BFE"/>
    <w:rsid w:val="005679E3"/>
    <w:rsid w:val="005F7ED8"/>
    <w:rsid w:val="006B1A4F"/>
    <w:rsid w:val="006E2C65"/>
    <w:rsid w:val="00AC5DCE"/>
    <w:rsid w:val="00C42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D7E6"/>
  <w15:chartTrackingRefBased/>
  <w15:docId w15:val="{DCA68AE2-5173-40F3-9815-3B9FD741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2C17"/>
    <w:pPr>
      <w:spacing w:after="0" w:line="240" w:lineRule="auto"/>
    </w:pPr>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679E3"/>
    <w:rPr>
      <w:b/>
      <w:bCs/>
    </w:rPr>
  </w:style>
  <w:style w:type="paragraph" w:styleId="Listenabsatz">
    <w:name w:val="List Paragraph"/>
    <w:basedOn w:val="Standard"/>
    <w:uiPriority w:val="34"/>
    <w:qFormat/>
    <w:rsid w:val="005679E3"/>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zentzahlen">
      <a:majorFont>
        <a:latin typeface="Libre Franklin"/>
        <a:ea typeface=""/>
        <a:cs typeface=""/>
      </a:majorFont>
      <a:minorFont>
        <a:latin typeface="Libre Frankli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9CF7-FABA-4543-B9C5-1D4685FF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1351</Words>
  <Characters>8514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Bauer</dc:creator>
  <cp:keywords/>
  <dc:description/>
  <cp:lastModifiedBy>Jan Bauer</cp:lastModifiedBy>
  <cp:revision>4</cp:revision>
  <dcterms:created xsi:type="dcterms:W3CDTF">2020-07-27T13:23:00Z</dcterms:created>
  <dcterms:modified xsi:type="dcterms:W3CDTF">2020-08-03T16:34:00Z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4cd2ecd6-7691-3656-85f6-c41848537ad6</vt:lpwstr>
  </property>
  <property fmtid="{D5CDD505-2E9C-101B-9397-08002B2CF9AE}" pid="4" name="Mendeley Citation Style_1">
    <vt:lpwstr>http://www.zotero.org/styles/intensive-care-medicine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http://www.zotero.org/styles/emerald-harvard</vt:lpwstr>
  </property>
  <property fmtid="{D5CDD505-2E9C-101B-9397-08002B2CF9AE}" pid="10" name="Mendeley Recent Style Name 2_1">
    <vt:lpwstr>Emerald journals (Harvard)</vt:lpwstr>
  </property>
  <property fmtid="{D5CDD505-2E9C-101B-9397-08002B2CF9AE}" pid="11" name="Mendeley Recent Style Id 3_1">
    <vt:lpwstr>http://www.zotero.org/styles/intensive-care-medicine</vt:lpwstr>
  </property>
  <property fmtid="{D5CDD505-2E9C-101B-9397-08002B2CF9AE}" pid="12" name="Mendeley Recent Style Name 3_1">
    <vt:lpwstr>Intensive Care Medicine</vt:lpwstr>
  </property>
  <property fmtid="{D5CDD505-2E9C-101B-9397-08002B2CF9AE}" pid="13" name="Mendeley Recent Style Id 4_1">
    <vt:lpwstr>http://www.zotero.org/styles/international-journal-of-health-geographics</vt:lpwstr>
  </property>
  <property fmtid="{D5CDD505-2E9C-101B-9397-08002B2CF9AE}" pid="14" name="Mendeley Recent Style Name 4_1">
    <vt:lpwstr>International Journal of Health Geographics</vt:lpwstr>
  </property>
  <property fmtid="{D5CDD505-2E9C-101B-9397-08002B2CF9AE}" pid="15" name="Mendeley Recent Style Id 5_1">
    <vt:lpwstr>http://www.zotero.org/styles/jama</vt:lpwstr>
  </property>
  <property fmtid="{D5CDD505-2E9C-101B-9397-08002B2CF9AE}" pid="16" name="Mendeley Recent Style Name 5_1">
    <vt:lpwstr>JAMA (The Journal of the American Medical Association)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http://www.zotero.org/styles/nature-publishing-group-vancouver</vt:lpwstr>
  </property>
  <property fmtid="{D5CDD505-2E9C-101B-9397-08002B2CF9AE}" pid="20" name="Mendeley Recent Style Name 7_1">
    <vt:lpwstr>Nature Publishing Group - Vancouver</vt:lpwstr>
  </property>
  <property fmtid="{D5CDD505-2E9C-101B-9397-08002B2CF9AE}" pid="21" name="Mendeley Recent Style Id 8_1">
    <vt:lpwstr>http://www.zotero.org/styles/springer-vancouver</vt:lpwstr>
  </property>
  <property fmtid="{D5CDD505-2E9C-101B-9397-08002B2CF9AE}" pid="22" name="Mendeley Recent Style Name 8_1">
    <vt:lpwstr>Springer Vancouver</vt:lpwstr>
  </property>
  <property fmtid="{D5CDD505-2E9C-101B-9397-08002B2CF9AE}" pid="23" name="Mendeley Recent Style Id 9_1">
    <vt:lpwstr>http://www.zotero.org/styles/the-lancet</vt:lpwstr>
  </property>
  <property fmtid="{D5CDD505-2E9C-101B-9397-08002B2CF9AE}" pid="24" name="Mendeley Recent Style Name 9_1">
    <vt:lpwstr>The Lancet</vt:lpwstr>
  </property>
</Properties>
</file>