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9F155" w14:textId="17516E5D" w:rsidR="00B640AC" w:rsidRPr="00685D35" w:rsidRDefault="00B640AC" w:rsidP="00CA75AC">
      <w:pPr>
        <w:jc w:val="center"/>
        <w:rPr>
          <w:b/>
          <w:bCs/>
          <w:sz w:val="22"/>
          <w:szCs w:val="22"/>
        </w:rPr>
      </w:pPr>
      <w:r w:rsidRPr="00685D35">
        <w:rPr>
          <w:b/>
          <w:bCs/>
          <w:sz w:val="22"/>
          <w:szCs w:val="22"/>
        </w:rPr>
        <w:t>Supplementary</w:t>
      </w:r>
      <w:r w:rsidR="008673B3" w:rsidRPr="00685D35">
        <w:rPr>
          <w:b/>
          <w:bCs/>
          <w:sz w:val="22"/>
          <w:szCs w:val="22"/>
        </w:rPr>
        <w:t xml:space="preserve"> File</w:t>
      </w:r>
    </w:p>
    <w:p w14:paraId="2A03B19D" w14:textId="6AC1A6FA" w:rsidR="008673B3" w:rsidRPr="00685D35" w:rsidRDefault="008673B3" w:rsidP="00B640AC">
      <w:pPr>
        <w:rPr>
          <w:b/>
          <w:bCs/>
          <w:sz w:val="22"/>
          <w:szCs w:val="22"/>
        </w:rPr>
      </w:pPr>
    </w:p>
    <w:p w14:paraId="16381CB2" w14:textId="77777777" w:rsidR="00CA75AC" w:rsidRPr="00685D35" w:rsidRDefault="00CA75AC" w:rsidP="008673B3">
      <w:pPr>
        <w:spacing w:line="480" w:lineRule="auto"/>
        <w:rPr>
          <w:rFonts w:asciiTheme="majorBidi" w:eastAsiaTheme="majorEastAsia" w:hAnsiTheme="majorBidi" w:cstheme="majorBidi"/>
          <w:b/>
          <w:bCs/>
          <w:sz w:val="22"/>
          <w:szCs w:val="26"/>
        </w:rPr>
      </w:pPr>
    </w:p>
    <w:p w14:paraId="27AAF1F7" w14:textId="77777777" w:rsidR="002162F8" w:rsidRDefault="002162F8" w:rsidP="002162F8">
      <w:pPr>
        <w:jc w:val="center"/>
        <w:rPr>
          <w:rFonts w:cs="Arial"/>
          <w:b/>
          <w:sz w:val="28"/>
          <w:szCs w:val="28"/>
          <w:lang w:bidi="he-IL"/>
        </w:rPr>
      </w:pPr>
    </w:p>
    <w:p w14:paraId="64114A46" w14:textId="77777777" w:rsidR="002162F8" w:rsidRDefault="002162F8" w:rsidP="002162F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Modeling hepatitis C virus kinetics during liver transplantation highlights the role of the liver in virus clearance</w:t>
      </w:r>
    </w:p>
    <w:p w14:paraId="065B4C74" w14:textId="77777777" w:rsidR="002162F8" w:rsidRPr="00F0579E" w:rsidRDefault="002162F8" w:rsidP="002162F8">
      <w:pPr>
        <w:jc w:val="center"/>
        <w:rPr>
          <w:rFonts w:cs="Arial"/>
          <w:b/>
          <w:sz w:val="28"/>
          <w:szCs w:val="28"/>
        </w:rPr>
      </w:pPr>
    </w:p>
    <w:p w14:paraId="7790BCA1" w14:textId="77777777" w:rsidR="002162F8" w:rsidRPr="003358BA" w:rsidRDefault="002162F8" w:rsidP="002162F8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06A15910" w14:textId="465F2D2A" w:rsidR="002162F8" w:rsidRPr="001B005C" w:rsidRDefault="002162F8" w:rsidP="002162F8">
      <w:pPr>
        <w:jc w:val="center"/>
        <w:rPr>
          <w:rFonts w:asciiTheme="majorBidi" w:hAnsiTheme="majorBidi" w:cstheme="majorBidi"/>
          <w:lang w:val="es-ES"/>
        </w:rPr>
      </w:pPr>
      <w:r w:rsidRPr="001B005C">
        <w:rPr>
          <w:rFonts w:asciiTheme="majorBidi" w:hAnsiTheme="majorBidi" w:cstheme="majorBidi"/>
          <w:bCs/>
          <w:lang w:val="es-ES"/>
        </w:rPr>
        <w:t>Louis Shekhtman</w:t>
      </w:r>
      <w:r w:rsidRPr="001B005C">
        <w:rPr>
          <w:rFonts w:asciiTheme="majorBidi" w:hAnsiTheme="majorBidi" w:cstheme="majorBidi"/>
          <w:bCs/>
          <w:vertAlign w:val="superscript"/>
          <w:lang w:val="es-ES"/>
        </w:rPr>
        <w:t>1,2$</w:t>
      </w:r>
      <w:r w:rsidRPr="001B005C">
        <w:rPr>
          <w:rFonts w:asciiTheme="majorBidi" w:hAnsiTheme="majorBidi" w:cstheme="majorBidi"/>
          <w:bCs/>
          <w:lang w:val="es-ES"/>
        </w:rPr>
        <w:t xml:space="preserve">, </w:t>
      </w:r>
      <w:r w:rsidRPr="001B005C">
        <w:rPr>
          <w:rFonts w:asciiTheme="majorBidi" w:hAnsiTheme="majorBidi" w:cstheme="majorBidi"/>
          <w:lang w:val="es-ES"/>
        </w:rPr>
        <w:t>M</w:t>
      </w:r>
      <w:r>
        <w:rPr>
          <w:rFonts w:asciiTheme="majorBidi" w:hAnsiTheme="majorBidi" w:cstheme="majorBidi"/>
          <w:lang w:val="es-ES"/>
        </w:rPr>
        <w:t>iquel</w:t>
      </w:r>
      <w:r w:rsidRPr="001B005C">
        <w:rPr>
          <w:rFonts w:asciiTheme="majorBidi" w:hAnsiTheme="majorBidi" w:cstheme="majorBidi"/>
          <w:lang w:val="es-ES"/>
        </w:rPr>
        <w:t xml:space="preserve"> Navasa</w:t>
      </w:r>
      <w:r w:rsidRPr="001B005C">
        <w:rPr>
          <w:rFonts w:asciiTheme="majorBidi" w:hAnsiTheme="majorBidi" w:cstheme="majorBidi"/>
          <w:vertAlign w:val="superscript"/>
          <w:lang w:val="es-ES"/>
        </w:rPr>
        <w:t>3$</w:t>
      </w:r>
      <w:r w:rsidRPr="001B005C">
        <w:rPr>
          <w:rFonts w:asciiTheme="majorBidi" w:hAnsiTheme="majorBidi" w:cstheme="majorBidi"/>
          <w:lang w:val="es-ES"/>
        </w:rPr>
        <w:t xml:space="preserve">, </w:t>
      </w:r>
      <w:r w:rsidR="003E3DB2" w:rsidRPr="001B005C">
        <w:rPr>
          <w:rFonts w:asciiTheme="majorBidi" w:hAnsiTheme="majorBidi" w:cstheme="majorBidi"/>
          <w:lang w:val="es-ES"/>
        </w:rPr>
        <w:t>Natasha Sansone</w:t>
      </w:r>
      <w:r w:rsidR="003E3DB2" w:rsidRPr="001B005C">
        <w:rPr>
          <w:rFonts w:asciiTheme="majorBidi" w:hAnsiTheme="majorBidi" w:cstheme="majorBidi"/>
          <w:vertAlign w:val="superscript"/>
          <w:lang w:val="es-ES"/>
        </w:rPr>
        <w:t>1,4$</w:t>
      </w:r>
      <w:r w:rsidR="003E3DB2" w:rsidRPr="001B005C">
        <w:rPr>
          <w:rFonts w:asciiTheme="majorBidi" w:hAnsiTheme="majorBidi" w:cstheme="majorBidi"/>
          <w:lang w:val="es-ES"/>
        </w:rPr>
        <w:t xml:space="preserve">, </w:t>
      </w:r>
      <w:r w:rsidRPr="001B005C">
        <w:rPr>
          <w:rFonts w:asciiTheme="majorBidi" w:hAnsiTheme="majorBidi" w:cstheme="majorBidi"/>
          <w:lang w:val="es-ES"/>
        </w:rPr>
        <w:t>Gonzalo Crespo</w:t>
      </w:r>
      <w:r w:rsidRPr="001B005C">
        <w:rPr>
          <w:rFonts w:asciiTheme="majorBidi" w:hAnsiTheme="majorBidi" w:cstheme="majorBidi"/>
          <w:vertAlign w:val="superscript"/>
          <w:lang w:val="es-ES"/>
        </w:rPr>
        <w:t>3</w:t>
      </w:r>
      <w:bookmarkStart w:id="0" w:name="_GoBack"/>
      <w:bookmarkEnd w:id="0"/>
      <w:r w:rsidRPr="001B005C">
        <w:rPr>
          <w:rFonts w:asciiTheme="majorBidi" w:hAnsiTheme="majorBidi" w:cstheme="majorBidi"/>
          <w:lang w:val="es-ES"/>
        </w:rPr>
        <w:t xml:space="preserve">, </w:t>
      </w:r>
      <w:r w:rsidR="00A64292" w:rsidRPr="001B005C">
        <w:rPr>
          <w:rFonts w:asciiTheme="majorBidi" w:hAnsiTheme="majorBidi" w:cstheme="majorBidi"/>
          <w:lang w:val="es-ES"/>
        </w:rPr>
        <w:t>Gitanjali Subramanya</w:t>
      </w:r>
      <w:r w:rsidR="00A64292" w:rsidRPr="001B005C">
        <w:rPr>
          <w:rFonts w:asciiTheme="majorBidi" w:hAnsiTheme="majorBidi" w:cstheme="majorBidi"/>
          <w:vertAlign w:val="superscript"/>
          <w:lang w:val="es-ES"/>
        </w:rPr>
        <w:t>1</w:t>
      </w:r>
      <w:r w:rsidR="00A64292" w:rsidRPr="001B005C">
        <w:rPr>
          <w:rFonts w:asciiTheme="majorBidi" w:hAnsiTheme="majorBidi" w:cstheme="majorBidi"/>
          <w:lang w:val="es-ES"/>
        </w:rPr>
        <w:t xml:space="preserve">, </w:t>
      </w:r>
      <w:r w:rsidRPr="001B005C">
        <w:rPr>
          <w:rFonts w:asciiTheme="majorBidi" w:hAnsiTheme="majorBidi" w:cstheme="majorBidi"/>
          <w:bCs/>
          <w:lang w:val="es-ES"/>
        </w:rPr>
        <w:t>Tje Lin Chung</w:t>
      </w:r>
      <w:r w:rsidRPr="001B005C">
        <w:rPr>
          <w:rFonts w:asciiTheme="majorBidi" w:hAnsiTheme="majorBidi" w:cstheme="majorBidi"/>
          <w:bCs/>
          <w:vertAlign w:val="superscript"/>
          <w:lang w:val="es-ES"/>
        </w:rPr>
        <w:t>1,5</w:t>
      </w:r>
      <w:r w:rsidRPr="001B005C">
        <w:rPr>
          <w:rFonts w:asciiTheme="majorBidi" w:hAnsiTheme="majorBidi" w:cstheme="majorBidi"/>
          <w:lang w:val="es-ES"/>
        </w:rPr>
        <w:t>, S</w:t>
      </w:r>
      <w:r w:rsidR="00DC43D8">
        <w:rPr>
          <w:rFonts w:asciiTheme="majorBidi" w:hAnsiTheme="majorBidi" w:cstheme="majorBidi"/>
          <w:lang w:val="es-ES"/>
        </w:rPr>
        <w:t>ofia</w:t>
      </w:r>
      <w:r w:rsidRPr="001B005C">
        <w:rPr>
          <w:rFonts w:asciiTheme="majorBidi" w:hAnsiTheme="majorBidi" w:cstheme="majorBidi"/>
          <w:lang w:val="es-ES"/>
        </w:rPr>
        <w:t xml:space="preserve"> Pérez-del-Pulgar</w:t>
      </w:r>
      <w:r w:rsidRPr="001B005C">
        <w:rPr>
          <w:rFonts w:asciiTheme="majorBidi" w:hAnsiTheme="majorBidi" w:cstheme="majorBidi"/>
          <w:vertAlign w:val="superscript"/>
          <w:lang w:val="es-ES"/>
        </w:rPr>
        <w:t>3</w:t>
      </w:r>
      <w:r w:rsidRPr="001B005C">
        <w:rPr>
          <w:rFonts w:asciiTheme="majorBidi" w:hAnsiTheme="majorBidi" w:cstheme="majorBidi"/>
          <w:lang w:val="es-ES"/>
        </w:rPr>
        <w:t>, Alan S. Perelson</w:t>
      </w:r>
      <w:r w:rsidRPr="001B005C">
        <w:rPr>
          <w:rFonts w:asciiTheme="majorBidi" w:hAnsiTheme="majorBidi" w:cstheme="majorBidi"/>
          <w:vertAlign w:val="superscript"/>
          <w:lang w:val="es-ES"/>
        </w:rPr>
        <w:t>6</w:t>
      </w:r>
      <w:r w:rsidRPr="001B005C">
        <w:rPr>
          <w:rFonts w:asciiTheme="majorBidi" w:hAnsiTheme="majorBidi" w:cstheme="majorBidi"/>
          <w:lang w:val="es-ES"/>
        </w:rPr>
        <w:t>, Scott J. Cotler</w:t>
      </w:r>
      <w:r w:rsidRPr="001B005C">
        <w:rPr>
          <w:rFonts w:asciiTheme="majorBidi" w:hAnsiTheme="majorBidi" w:cstheme="majorBidi"/>
          <w:vertAlign w:val="superscript"/>
          <w:lang w:val="es-ES"/>
        </w:rPr>
        <w:t>1</w:t>
      </w:r>
      <w:r w:rsidRPr="001B005C">
        <w:rPr>
          <w:rFonts w:asciiTheme="majorBidi" w:hAnsiTheme="majorBidi" w:cstheme="majorBidi"/>
          <w:lang w:val="es-ES"/>
        </w:rPr>
        <w:t>, Susan L. Uprichard</w:t>
      </w:r>
      <w:r w:rsidRPr="001B005C">
        <w:rPr>
          <w:rFonts w:asciiTheme="majorBidi" w:hAnsiTheme="majorBidi" w:cstheme="majorBidi"/>
          <w:vertAlign w:val="superscript"/>
          <w:lang w:val="es-ES"/>
        </w:rPr>
        <w:t>1,4*</w:t>
      </w:r>
      <w:r w:rsidRPr="001B005C">
        <w:rPr>
          <w:rFonts w:asciiTheme="majorBidi" w:hAnsiTheme="majorBidi" w:cstheme="majorBidi"/>
          <w:lang w:val="es-ES"/>
        </w:rPr>
        <w:t>, Harel Dahari</w:t>
      </w:r>
      <w:r w:rsidRPr="001B005C">
        <w:rPr>
          <w:rFonts w:asciiTheme="majorBidi" w:hAnsiTheme="majorBidi" w:cstheme="majorBidi"/>
          <w:vertAlign w:val="superscript"/>
          <w:lang w:val="es-ES"/>
        </w:rPr>
        <w:t>1*</w:t>
      </w:r>
      <w:r w:rsidRPr="001B005C">
        <w:rPr>
          <w:rFonts w:asciiTheme="majorBidi" w:hAnsiTheme="majorBidi" w:cstheme="majorBidi"/>
          <w:lang w:val="es-ES"/>
        </w:rPr>
        <w:t>, Xavier Forns</w:t>
      </w:r>
      <w:r w:rsidRPr="001B005C">
        <w:rPr>
          <w:rFonts w:asciiTheme="majorBidi" w:hAnsiTheme="majorBidi" w:cstheme="majorBidi"/>
          <w:vertAlign w:val="superscript"/>
          <w:lang w:val="es-ES"/>
        </w:rPr>
        <w:t>*#3</w:t>
      </w:r>
    </w:p>
    <w:p w14:paraId="76E275EE" w14:textId="77777777" w:rsidR="002162F8" w:rsidRPr="001B005C" w:rsidRDefault="002162F8" w:rsidP="002162F8">
      <w:pPr>
        <w:rPr>
          <w:rFonts w:asciiTheme="majorBidi" w:hAnsiTheme="majorBidi" w:cstheme="majorBidi"/>
          <w:lang w:val="es-ES"/>
        </w:rPr>
      </w:pPr>
    </w:p>
    <w:p w14:paraId="68D3115C" w14:textId="50B3CD0D" w:rsidR="002162F8" w:rsidRPr="00772289" w:rsidRDefault="002162F8" w:rsidP="002162F8">
      <w:pPr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666320">
        <w:rPr>
          <w:rFonts w:asciiTheme="majorBidi" w:hAnsiTheme="majorBidi" w:cstheme="majorBidi"/>
          <w:sz w:val="22"/>
          <w:szCs w:val="22"/>
          <w:vertAlign w:val="superscript"/>
        </w:rPr>
        <w:t>1</w:t>
      </w:r>
      <w:r w:rsidRPr="00666320">
        <w:rPr>
          <w:rFonts w:asciiTheme="majorBidi" w:hAnsiTheme="majorBidi" w:cstheme="majorBidi"/>
          <w:sz w:val="22"/>
          <w:szCs w:val="22"/>
        </w:rPr>
        <w:t xml:space="preserve">The Program for Experimental &amp; Theoretical Modeling, Division of Hepatology, Department of Medicine, Stritch School of Medicine, Loyola University Medical Center, Maywood, IL, USA; </w:t>
      </w:r>
      <w:r w:rsidRPr="00666320">
        <w:rPr>
          <w:rFonts w:asciiTheme="majorBidi" w:hAnsiTheme="majorBidi" w:cstheme="majorBidi"/>
          <w:sz w:val="22"/>
          <w:szCs w:val="22"/>
          <w:vertAlign w:val="superscript"/>
        </w:rPr>
        <w:t>2</w:t>
      </w:r>
      <w:r w:rsidRPr="00666320">
        <w:rPr>
          <w:rFonts w:asciiTheme="majorBidi" w:hAnsiTheme="majorBidi" w:cstheme="majorBidi"/>
          <w:sz w:val="22"/>
          <w:szCs w:val="22"/>
        </w:rPr>
        <w:t xml:space="preserve">Network Science Institute, Northeastern University, Boston, MA, USA; </w:t>
      </w:r>
      <w:r w:rsidRPr="00772289">
        <w:rPr>
          <w:rFonts w:asciiTheme="majorBidi" w:hAnsiTheme="majorBidi" w:cstheme="majorBidi"/>
          <w:sz w:val="22"/>
          <w:szCs w:val="22"/>
          <w:vertAlign w:val="superscript"/>
        </w:rPr>
        <w:t>3</w:t>
      </w:r>
      <w:r w:rsidRPr="00772289">
        <w:rPr>
          <w:rFonts w:asciiTheme="majorBidi" w:hAnsiTheme="majorBidi" w:cstheme="majorBidi"/>
          <w:sz w:val="22"/>
          <w:szCs w:val="22"/>
        </w:rPr>
        <w:t>Liver Unit</w:t>
      </w:r>
      <w:r>
        <w:rPr>
          <w:rFonts w:asciiTheme="majorBidi" w:hAnsiTheme="majorBidi" w:cstheme="majorBidi"/>
          <w:sz w:val="22"/>
          <w:szCs w:val="22"/>
        </w:rPr>
        <w:t>,</w:t>
      </w:r>
      <w:r w:rsidRPr="00772289">
        <w:rPr>
          <w:rFonts w:asciiTheme="majorBidi" w:hAnsiTheme="majorBidi" w:cstheme="majorBidi"/>
          <w:sz w:val="22"/>
          <w:szCs w:val="22"/>
        </w:rPr>
        <w:t xml:space="preserve"> Hospital Clínic</w:t>
      </w:r>
      <w:r>
        <w:rPr>
          <w:rFonts w:asciiTheme="majorBidi" w:hAnsiTheme="majorBidi" w:cstheme="majorBidi"/>
          <w:sz w:val="22"/>
          <w:szCs w:val="22"/>
        </w:rPr>
        <w:t>,</w:t>
      </w:r>
      <w:r w:rsidRPr="00772289">
        <w:rPr>
          <w:rFonts w:asciiTheme="majorBidi" w:hAnsiTheme="majorBidi" w:cstheme="majorBidi"/>
          <w:sz w:val="22"/>
          <w:szCs w:val="22"/>
        </w:rPr>
        <w:t xml:space="preserve"> IDIBAPS and CIBEREHD</w:t>
      </w:r>
      <w:r>
        <w:rPr>
          <w:rFonts w:asciiTheme="majorBidi" w:hAnsiTheme="majorBidi" w:cstheme="majorBidi"/>
          <w:sz w:val="22"/>
          <w:szCs w:val="22"/>
        </w:rPr>
        <w:t>,</w:t>
      </w:r>
      <w:r w:rsidRPr="00772289">
        <w:rPr>
          <w:rFonts w:asciiTheme="majorBidi" w:hAnsiTheme="majorBidi" w:cstheme="majorBidi"/>
          <w:sz w:val="22"/>
          <w:szCs w:val="22"/>
        </w:rPr>
        <w:t xml:space="preserve"> University of Barcelona</w:t>
      </w:r>
      <w:r>
        <w:rPr>
          <w:rFonts w:asciiTheme="majorBidi" w:hAnsiTheme="majorBidi" w:cstheme="majorBidi"/>
          <w:sz w:val="22"/>
          <w:szCs w:val="22"/>
        </w:rPr>
        <w:t>,</w:t>
      </w:r>
      <w:r w:rsidRPr="00772289">
        <w:rPr>
          <w:rFonts w:asciiTheme="majorBidi" w:hAnsiTheme="majorBidi" w:cstheme="majorBidi"/>
          <w:sz w:val="22"/>
          <w:szCs w:val="22"/>
        </w:rPr>
        <w:t xml:space="preserve"> Barcelona, Spain</w:t>
      </w:r>
      <w:r>
        <w:rPr>
          <w:rFonts w:asciiTheme="majorBidi" w:hAnsiTheme="majorBidi" w:cstheme="majorBidi"/>
          <w:sz w:val="22"/>
          <w:szCs w:val="22"/>
        </w:rPr>
        <w:t xml:space="preserve">; </w:t>
      </w:r>
      <w:r w:rsidRPr="00666320">
        <w:rPr>
          <w:rFonts w:asciiTheme="majorBidi" w:hAnsiTheme="majorBidi" w:cstheme="majorBidi"/>
          <w:iCs/>
          <w:sz w:val="22"/>
          <w:szCs w:val="22"/>
          <w:vertAlign w:val="superscript"/>
        </w:rPr>
        <w:t>4</w:t>
      </w:r>
      <w:r w:rsidRPr="00666320">
        <w:rPr>
          <w:rFonts w:asciiTheme="majorBidi" w:hAnsiTheme="majorBidi" w:cstheme="majorBidi"/>
          <w:sz w:val="22"/>
          <w:szCs w:val="22"/>
        </w:rPr>
        <w:t xml:space="preserve"> Department of Microbiology </w:t>
      </w:r>
      <w:r>
        <w:rPr>
          <w:rFonts w:asciiTheme="majorBidi" w:hAnsiTheme="majorBidi" w:cstheme="majorBidi"/>
          <w:sz w:val="22"/>
          <w:szCs w:val="22"/>
        </w:rPr>
        <w:t>&amp;</w:t>
      </w:r>
      <w:r w:rsidRPr="00666320">
        <w:rPr>
          <w:rFonts w:asciiTheme="majorBidi" w:hAnsiTheme="majorBidi" w:cstheme="majorBidi"/>
          <w:sz w:val="22"/>
          <w:szCs w:val="22"/>
        </w:rPr>
        <w:t xml:space="preserve"> Immunology, </w:t>
      </w:r>
      <w:r w:rsidR="00A64292">
        <w:rPr>
          <w:rFonts w:asciiTheme="majorBidi" w:hAnsiTheme="majorBidi" w:cstheme="majorBidi"/>
          <w:sz w:val="22"/>
          <w:szCs w:val="22"/>
        </w:rPr>
        <w:t>University of Illinois Chicago, Chicago</w:t>
      </w:r>
      <w:r w:rsidRPr="00666320">
        <w:rPr>
          <w:rFonts w:asciiTheme="majorBidi" w:hAnsiTheme="majorBidi" w:cstheme="majorBidi"/>
          <w:sz w:val="22"/>
          <w:szCs w:val="22"/>
        </w:rPr>
        <w:t>, IL, USA;</w:t>
      </w:r>
      <w:r w:rsidRPr="00666320">
        <w:rPr>
          <w:rFonts w:asciiTheme="majorBidi" w:hAnsiTheme="majorBidi" w:cstheme="majorBidi"/>
          <w:iCs/>
          <w:sz w:val="22"/>
          <w:szCs w:val="22"/>
        </w:rPr>
        <w:t xml:space="preserve"> </w:t>
      </w:r>
      <w:r w:rsidRPr="00666320">
        <w:rPr>
          <w:rFonts w:asciiTheme="majorBidi" w:hAnsiTheme="majorBidi" w:cstheme="majorBidi"/>
          <w:iCs/>
          <w:sz w:val="22"/>
          <w:szCs w:val="22"/>
          <w:vertAlign w:val="superscript"/>
        </w:rPr>
        <w:t>5</w:t>
      </w:r>
      <w:r w:rsidRPr="00666320">
        <w:rPr>
          <w:rFonts w:asciiTheme="majorBidi" w:hAnsiTheme="majorBidi" w:cstheme="majorBidi"/>
          <w:iCs/>
          <w:sz w:val="22"/>
          <w:szCs w:val="22"/>
        </w:rPr>
        <w:t xml:space="preserve">Institute for Biostatistics and Mathematical Modeling, Department of Medicine, Goethe Universität Frankfurt, Frankfurt/Main, Germany; </w:t>
      </w:r>
      <w:r w:rsidRPr="00666320">
        <w:rPr>
          <w:rFonts w:asciiTheme="majorBidi" w:hAnsiTheme="majorBidi" w:cstheme="majorBidi"/>
          <w:iCs/>
          <w:sz w:val="22"/>
          <w:szCs w:val="22"/>
          <w:vertAlign w:val="superscript"/>
        </w:rPr>
        <w:t>6</w:t>
      </w:r>
      <w:r w:rsidRPr="00666320">
        <w:rPr>
          <w:rFonts w:asciiTheme="majorBidi" w:hAnsiTheme="majorBidi" w:cstheme="majorBidi"/>
          <w:iCs/>
          <w:sz w:val="22"/>
          <w:szCs w:val="22"/>
        </w:rPr>
        <w:t>Theoretical Biology and Biophysics, Los Alamos National Laboratory, Los Alamos, NM, USA</w:t>
      </w:r>
    </w:p>
    <w:p w14:paraId="044DF7D4" w14:textId="77777777" w:rsidR="002162F8" w:rsidRDefault="002162F8" w:rsidP="002162F8">
      <w:pPr>
        <w:rPr>
          <w:rFonts w:asciiTheme="majorBidi" w:hAnsiTheme="majorBidi" w:cstheme="majorBidi"/>
          <w:iCs/>
          <w:sz w:val="22"/>
          <w:szCs w:val="22"/>
        </w:rPr>
      </w:pPr>
    </w:p>
    <w:p w14:paraId="3E2927BA" w14:textId="77777777" w:rsidR="002162F8" w:rsidRPr="003358BA" w:rsidRDefault="002162F8" w:rsidP="002162F8">
      <w:pPr>
        <w:rPr>
          <w:rFonts w:asciiTheme="majorBidi" w:hAnsiTheme="majorBidi" w:cstheme="majorBidi"/>
          <w:iCs/>
          <w:sz w:val="22"/>
          <w:szCs w:val="22"/>
        </w:rPr>
      </w:pPr>
      <w:r>
        <w:rPr>
          <w:rFonts w:asciiTheme="majorBidi" w:hAnsiTheme="majorBidi" w:cstheme="majorBidi"/>
          <w:iCs/>
          <w:sz w:val="22"/>
          <w:szCs w:val="22"/>
        </w:rPr>
        <w:t xml:space="preserve">$, Co-first authors; *Co-senior authors </w:t>
      </w:r>
    </w:p>
    <w:p w14:paraId="4BE5EEC0" w14:textId="5A5E2FB8" w:rsidR="002162F8" w:rsidRPr="003358BA" w:rsidRDefault="002162F8" w:rsidP="002162F8">
      <w:pPr>
        <w:rPr>
          <w:rFonts w:asciiTheme="majorBidi" w:hAnsiTheme="majorBidi" w:cstheme="majorBidi"/>
          <w:iCs/>
          <w:sz w:val="22"/>
          <w:szCs w:val="22"/>
        </w:rPr>
      </w:pPr>
      <w:r w:rsidRPr="00666320">
        <w:rPr>
          <w:rFonts w:asciiTheme="majorBidi" w:hAnsiTheme="majorBidi" w:cstheme="majorBidi"/>
          <w:b/>
          <w:bCs/>
          <w:iCs/>
          <w:sz w:val="22"/>
          <w:szCs w:val="22"/>
          <w:vertAlign w:val="superscript"/>
        </w:rPr>
        <w:t>#</w:t>
      </w:r>
      <w:r w:rsidRPr="003358BA">
        <w:rPr>
          <w:rFonts w:asciiTheme="majorBidi" w:hAnsiTheme="majorBidi" w:cstheme="majorBidi"/>
          <w:b/>
          <w:bCs/>
          <w:iCs/>
          <w:sz w:val="22"/>
          <w:szCs w:val="22"/>
        </w:rPr>
        <w:t>Corresponding author</w:t>
      </w:r>
      <w:r>
        <w:rPr>
          <w:rFonts w:asciiTheme="majorBidi" w:hAnsiTheme="majorBidi" w:cstheme="majorBidi"/>
          <w:b/>
          <w:bCs/>
          <w:iCs/>
          <w:sz w:val="22"/>
          <w:szCs w:val="22"/>
        </w:rPr>
        <w:t xml:space="preserve">: </w:t>
      </w:r>
      <w:r w:rsidR="00DC43D8">
        <w:rPr>
          <w:rFonts w:asciiTheme="majorBidi" w:hAnsiTheme="majorBidi" w:cstheme="majorBidi"/>
          <w:iCs/>
          <w:sz w:val="22"/>
          <w:szCs w:val="22"/>
        </w:rPr>
        <w:t>Harel Dahari</w:t>
      </w:r>
      <w:r>
        <w:rPr>
          <w:rFonts w:asciiTheme="majorBidi" w:hAnsiTheme="majorBidi" w:cstheme="majorBidi"/>
          <w:iCs/>
          <w:sz w:val="22"/>
          <w:szCs w:val="22"/>
        </w:rPr>
        <w:t xml:space="preserve">, email: </w:t>
      </w:r>
      <w:r w:rsidR="00DC43D8">
        <w:rPr>
          <w:rFonts w:asciiTheme="majorBidi" w:hAnsiTheme="majorBidi" w:cstheme="majorBidi"/>
          <w:iCs/>
          <w:sz w:val="22"/>
          <w:szCs w:val="22"/>
        </w:rPr>
        <w:t>hdahari</w:t>
      </w:r>
      <w:r w:rsidRPr="00B00D53">
        <w:rPr>
          <w:rFonts w:asciiTheme="majorBidi" w:hAnsiTheme="majorBidi" w:cstheme="majorBidi"/>
          <w:iCs/>
          <w:sz w:val="22"/>
          <w:szCs w:val="22"/>
        </w:rPr>
        <w:t>@</w:t>
      </w:r>
      <w:r w:rsidR="00DC43D8">
        <w:rPr>
          <w:rFonts w:asciiTheme="majorBidi" w:hAnsiTheme="majorBidi" w:cstheme="majorBidi"/>
          <w:iCs/>
          <w:sz w:val="22"/>
          <w:szCs w:val="22"/>
        </w:rPr>
        <w:t>luc.edu</w:t>
      </w:r>
    </w:p>
    <w:p w14:paraId="136E31D9" w14:textId="77777777" w:rsidR="00CA75AC" w:rsidRPr="00685D35" w:rsidRDefault="00CA75AC" w:rsidP="008673B3">
      <w:pPr>
        <w:spacing w:line="480" w:lineRule="auto"/>
        <w:rPr>
          <w:rFonts w:asciiTheme="majorBidi" w:eastAsiaTheme="majorEastAsia" w:hAnsiTheme="majorBidi" w:cstheme="majorBidi"/>
          <w:b/>
          <w:bCs/>
          <w:sz w:val="22"/>
          <w:szCs w:val="26"/>
        </w:rPr>
      </w:pPr>
    </w:p>
    <w:p w14:paraId="5CE360B9" w14:textId="77777777" w:rsidR="00CA75AC" w:rsidRPr="00685D35" w:rsidRDefault="00CA75AC" w:rsidP="008673B3">
      <w:pPr>
        <w:spacing w:line="480" w:lineRule="auto"/>
        <w:rPr>
          <w:rFonts w:asciiTheme="majorBidi" w:eastAsiaTheme="majorEastAsia" w:hAnsiTheme="majorBidi" w:cstheme="majorBidi"/>
          <w:b/>
          <w:bCs/>
          <w:sz w:val="22"/>
          <w:szCs w:val="26"/>
        </w:rPr>
      </w:pPr>
    </w:p>
    <w:p w14:paraId="5C72FE0F" w14:textId="1A028FF9" w:rsidR="008673B3" w:rsidRPr="00685D35" w:rsidRDefault="008673B3" w:rsidP="008673B3">
      <w:pPr>
        <w:spacing w:line="480" w:lineRule="auto"/>
        <w:rPr>
          <w:rFonts w:asciiTheme="majorBidi" w:eastAsiaTheme="majorEastAsia" w:hAnsiTheme="majorBidi" w:cstheme="majorBidi"/>
          <w:b/>
          <w:bCs/>
          <w:sz w:val="22"/>
          <w:szCs w:val="26"/>
        </w:rPr>
      </w:pPr>
      <w:r w:rsidRPr="00685D35">
        <w:rPr>
          <w:rFonts w:asciiTheme="majorBidi" w:eastAsiaTheme="majorEastAsia" w:hAnsiTheme="majorBidi" w:cstheme="majorBidi"/>
          <w:b/>
          <w:bCs/>
          <w:sz w:val="22"/>
          <w:szCs w:val="26"/>
        </w:rPr>
        <w:t>Cell Culture Experiments</w:t>
      </w:r>
    </w:p>
    <w:p w14:paraId="4289691B" w14:textId="37BDBDDE" w:rsidR="008673B3" w:rsidRPr="00685D35" w:rsidRDefault="008673B3" w:rsidP="008673B3">
      <w:pPr>
        <w:spacing w:line="480" w:lineRule="auto"/>
        <w:rPr>
          <w:rFonts w:ascii="Times New Roman" w:hAnsi="Times New Roman" w:cs="Times New Roman"/>
          <w:color w:val="403838"/>
          <w:shd w:val="clear" w:color="auto" w:fill="FFFFFF"/>
        </w:rPr>
      </w:pPr>
      <w:r w:rsidRPr="00685D35">
        <w:rPr>
          <w:rFonts w:ascii="Times New Roman" w:hAnsi="Times New Roman" w:cs="Times New Roman"/>
          <w:color w:val="403838"/>
          <w:shd w:val="clear" w:color="auto" w:fill="FFFFFF"/>
        </w:rPr>
        <w:t>JFH-1 HCVcc virus stock collected in complete Dulbecco's modified Eagle's medium (cDMEM) (HyClone, Logan, UT) with 10% fetal bovine serum (FBS) (HyClone), 100 units/ml penicillin, 100 mg/ml streptomycin, and 2 mM</w:t>
      </w:r>
      <w:r w:rsidRPr="00685D35">
        <w:rPr>
          <w:rStyle w:val="apple-converted-space"/>
          <w:rFonts w:ascii="Times New Roman" w:hAnsi="Times New Roman" w:cs="Times New Roman"/>
          <w:color w:val="403838"/>
          <w:shd w:val="clear" w:color="auto" w:fill="FFFFFF"/>
        </w:rPr>
        <w:t> </w:t>
      </w:r>
      <w:r w:rsidRPr="00685D35">
        <w:rPr>
          <w:rStyle w:val="sc"/>
          <w:rFonts w:ascii="Times New Roman" w:hAnsi="Times New Roman" w:cs="Times New Roman"/>
          <w:caps/>
          <w:color w:val="403838"/>
          <w:bdr w:val="none" w:sz="0" w:space="0" w:color="auto" w:frame="1"/>
          <w:shd w:val="clear" w:color="auto" w:fill="FFFFFF"/>
        </w:rPr>
        <w:t>L</w:t>
      </w:r>
      <w:r w:rsidRPr="00685D35">
        <w:rPr>
          <w:rFonts w:ascii="Times New Roman" w:hAnsi="Times New Roman" w:cs="Times New Roman"/>
          <w:color w:val="403838"/>
          <w:shd w:val="clear" w:color="auto" w:fill="FFFFFF"/>
        </w:rPr>
        <w:t xml:space="preserve">-glutamine (Gibco Invitrogen, Carlsbad, CA) was prepared by amplification in Huh7 cells as previously described in detail </w:t>
      </w:r>
      <w:r w:rsidRPr="00250F8F">
        <w:rPr>
          <w:rFonts w:ascii="Times New Roman" w:hAnsi="Times New Roman" w:cs="Times New Roman"/>
          <w:color w:val="403838"/>
          <w:shd w:val="clear" w:color="auto" w:fill="FFFFFF"/>
        </w:rPr>
        <w:fldChar w:fldCharType="begin"/>
      </w:r>
      <w:r w:rsidRPr="00685D35">
        <w:rPr>
          <w:rFonts w:ascii="Times New Roman" w:hAnsi="Times New Roman" w:cs="Times New Roman"/>
          <w:color w:val="403838"/>
          <w:shd w:val="clear" w:color="auto" w:fill="FFFFFF"/>
        </w:rPr>
        <w:instrText xml:space="preserve"> ADDIN EN.CITE &lt;EndNote&gt;&lt;Cite&gt;&lt;Author&gt;Yu&lt;/Author&gt;&lt;Year&gt;2010&lt;/Year&gt;&lt;RecNum&gt;7&lt;/RecNum&gt;&lt;DisplayText&gt;[1]&lt;/DisplayText&gt;&lt;record&gt;&lt;rec-number&gt;7&lt;/rec-number&gt;&lt;foreign-keys&gt;&lt;key app="EN" db-id="svst5paa7x2p07ef90o5rf09fed0rtvaa5wr" timestamp="1586800715"&gt;7&lt;/key&gt;&lt;/foreign-keys&gt;&lt;ref-type name="Journal Article"&gt;17&lt;/ref-type&gt;&lt;contributors&gt;&lt;authors&gt;&lt;author&gt;Yu, X.&lt;/author&gt;&lt;author&gt;Uprichard, S. L.&lt;/author&gt;&lt;/authors&gt;&lt;/contributors&gt;&lt;auth-address&gt;Department of Medicine, University of Illinois at Chicago, Chicago, Illinois, USA.&lt;/auth-address&gt;&lt;titles&gt;&lt;title&gt;Cell-based hepatitis C virus infection fluorescence resonance energy transfer (FRET) assay for antiviral compound screening&lt;/title&gt;&lt;secondary-title&gt;Curr Protoc Microbiol&lt;/secondary-title&gt;&lt;/titles&gt;&lt;periodical&gt;&lt;full-title&gt;Curr Protoc Microbiol&lt;/full-title&gt;&lt;/periodical&gt;&lt;pages&gt;Unit 17 5&lt;/pages&gt;&lt;volume&gt;Chapter 17&lt;/volume&gt;&lt;edition&gt;2010/09/03&lt;/edition&gt;&lt;keywords&gt;&lt;keyword&gt;Antiviral Agents/*pharmacology&lt;/keyword&gt;&lt;keyword&gt;Cell Line&lt;/keyword&gt;&lt;keyword&gt;Drug Evaluation, Preclinical/*methods&lt;/keyword&gt;&lt;keyword&gt;Fluorescence Resonance Energy Transfer/*methods&lt;/keyword&gt;&lt;keyword&gt;Hepacivirus/*drug effects&lt;/keyword&gt;&lt;keyword&gt;Humans&lt;/keyword&gt;&lt;/keywords&gt;&lt;dates&gt;&lt;year&gt;2010&lt;/year&gt;&lt;pub-dates&gt;&lt;date&gt;Aug&lt;/date&gt;&lt;/pub-dates&gt;&lt;/dates&gt;&lt;isbn&gt;1934-8533 (Electronic)&lt;/isbn&gt;&lt;accession-num&gt;20812217&lt;/accession-num&gt;&lt;urls&gt;&lt;related-urls&gt;&lt;url&gt;https://www.ncbi.nlm.nih.gov/pubmed/20812217&lt;/url&gt;&lt;/related-urls&gt;&lt;/urls&gt;&lt;custom2&gt;PMC2964379&lt;/custom2&gt;&lt;electronic-resource-num&gt;10.1002/9780471729259.mc1705s18&lt;/electronic-resource-num&gt;&lt;/record&gt;&lt;/Cite&gt;&lt;/EndNote&gt;</w:instrText>
      </w:r>
      <w:r w:rsidRPr="00250F8F">
        <w:rPr>
          <w:rFonts w:ascii="Times New Roman" w:hAnsi="Times New Roman" w:cs="Times New Roman"/>
          <w:color w:val="403838"/>
          <w:shd w:val="clear" w:color="auto" w:fill="FFFFFF"/>
        </w:rPr>
        <w:fldChar w:fldCharType="separate"/>
      </w:r>
      <w:r w:rsidRPr="00685D35">
        <w:rPr>
          <w:rFonts w:ascii="Times New Roman" w:hAnsi="Times New Roman" w:cs="Times New Roman"/>
          <w:noProof/>
          <w:color w:val="403838"/>
          <w:shd w:val="clear" w:color="auto" w:fill="FFFFFF"/>
        </w:rPr>
        <w:t>[1]</w:t>
      </w:r>
      <w:r w:rsidRPr="00250F8F">
        <w:rPr>
          <w:rFonts w:ascii="Times New Roman" w:hAnsi="Times New Roman" w:cs="Times New Roman"/>
          <w:color w:val="403838"/>
          <w:shd w:val="clear" w:color="auto" w:fill="FFFFFF"/>
        </w:rPr>
        <w:fldChar w:fldCharType="end"/>
      </w:r>
      <w:r w:rsidRPr="00685D35">
        <w:rPr>
          <w:rFonts w:ascii="Times New Roman" w:hAnsi="Times New Roman" w:cs="Times New Roman"/>
          <w:color w:val="403838"/>
          <w:shd w:val="clear" w:color="auto" w:fill="FFFFFF"/>
        </w:rPr>
        <w:t xml:space="preserve">. </w:t>
      </w:r>
    </w:p>
    <w:p w14:paraId="2C91FA9D" w14:textId="77777777" w:rsidR="008673B3" w:rsidRPr="00685D35" w:rsidRDefault="008673B3" w:rsidP="008673B3">
      <w:pPr>
        <w:spacing w:line="480" w:lineRule="auto"/>
        <w:ind w:firstLine="708"/>
        <w:rPr>
          <w:rFonts w:ascii="Times New Roman" w:hAnsi="Times New Roman" w:cs="Times New Roman"/>
        </w:rPr>
      </w:pPr>
      <w:r w:rsidRPr="00685D35">
        <w:rPr>
          <w:rFonts w:ascii="Times New Roman" w:hAnsi="Times New Roman" w:cs="Times New Roman"/>
        </w:rPr>
        <w:t>To measure HCVcc half-life in the absence of cells, JFH-1 HCVcc stock was diluted to 10</w:t>
      </w:r>
      <w:r w:rsidRPr="00685D35">
        <w:rPr>
          <w:rFonts w:ascii="Times New Roman" w:hAnsi="Times New Roman" w:cs="Times New Roman"/>
          <w:vertAlign w:val="superscript"/>
        </w:rPr>
        <w:t>4</w:t>
      </w:r>
      <w:r w:rsidRPr="00685D35">
        <w:rPr>
          <w:rFonts w:ascii="Times New Roman" w:hAnsi="Times New Roman" w:cs="Times New Roman"/>
        </w:rPr>
        <w:t xml:space="preserve"> ffU/mL, which is the level observed in culture media during steady state HCV infection, and incubated at 37°C simulating conditions during HCV infection in cell culture. At indicated time points, two aliquots were frozen at -80°C until encapsidated HCV RNA was isolated for quantification. </w:t>
      </w:r>
    </w:p>
    <w:p w14:paraId="77482FA6" w14:textId="0677209C" w:rsidR="008673B3" w:rsidRPr="00685D35" w:rsidRDefault="008673B3" w:rsidP="008673B3">
      <w:pPr>
        <w:spacing w:line="480" w:lineRule="auto"/>
        <w:ind w:firstLine="708"/>
        <w:rPr>
          <w:rFonts w:ascii="Times New Roman" w:hAnsi="Times New Roman" w:cs="Times New Roman"/>
        </w:rPr>
      </w:pPr>
      <w:r w:rsidRPr="00685D35">
        <w:rPr>
          <w:rFonts w:ascii="Times New Roman" w:hAnsi="Times New Roman" w:cs="Times New Roman"/>
        </w:rPr>
        <w:t xml:space="preserve">To measure HCVcc half-life in the presence of chronically HCV infected cells, non-growing Huh7 cells </w:t>
      </w:r>
      <w:r w:rsidRPr="00250F8F">
        <w:rPr>
          <w:rFonts w:ascii="Times New Roman" w:hAnsi="Times New Roman" w:cs="Times New Roman"/>
        </w:rPr>
        <w:fldChar w:fldCharType="begin"/>
      </w:r>
      <w:r w:rsidRPr="00685D35">
        <w:rPr>
          <w:rFonts w:ascii="Times New Roman" w:hAnsi="Times New Roman" w:cs="Times New Roman"/>
        </w:rPr>
        <w:instrText xml:space="preserve"> ADDIN EN.CITE &lt;EndNote&gt;&lt;Cite&gt;&lt;Author&gt;Yu&lt;/Author&gt;&lt;Year&gt;2010&lt;/Year&gt;&lt;RecNum&gt;7&lt;/RecNum&gt;&lt;DisplayText&gt;[1]&lt;/DisplayText&gt;&lt;record&gt;&lt;rec-number&gt;7&lt;/rec-number&gt;&lt;foreign-keys&gt;&lt;key app="EN" db-id="svst5paa7x2p07ef90o5rf09fed0rtvaa5wr" timestamp="1586800715"&gt;7&lt;/key&gt;&lt;/foreign-keys&gt;&lt;ref-type name="Journal Article"&gt;17&lt;/ref-type&gt;&lt;contributors&gt;&lt;authors&gt;&lt;author&gt;Yu, X.&lt;/author&gt;&lt;author&gt;Uprichard, S. L.&lt;/author&gt;&lt;/authors&gt;&lt;/contributors&gt;&lt;auth-address&gt;Department of Medicine, University of Illinois at Chicago, Chicago, Illinois, USA.&lt;/auth-address&gt;&lt;titles&gt;&lt;title&gt;Cell-based hepatitis C virus infection fluorescence resonance energy transfer (FRET) assay for antiviral compound screening&lt;/title&gt;&lt;secondary-title&gt;Curr Protoc Microbiol&lt;/secondary-title&gt;&lt;/titles&gt;&lt;periodical&gt;&lt;full-title&gt;Curr Protoc Microbiol&lt;/full-title&gt;&lt;/periodical&gt;&lt;pages&gt;Unit 17 5&lt;/pages&gt;&lt;volume&gt;Chapter 17&lt;/volume&gt;&lt;edition&gt;2010/09/03&lt;/edition&gt;&lt;keywords&gt;&lt;keyword&gt;Antiviral Agents/*pharmacology&lt;/keyword&gt;&lt;keyword&gt;Cell Line&lt;/keyword&gt;&lt;keyword&gt;Drug Evaluation, Preclinical/*methods&lt;/keyword&gt;&lt;keyword&gt;Fluorescence Resonance Energy Transfer/*methods&lt;/keyword&gt;&lt;keyword&gt;Hepacivirus/*drug effects&lt;/keyword&gt;&lt;keyword&gt;Humans&lt;/keyword&gt;&lt;/keywords&gt;&lt;dates&gt;&lt;year&gt;2010&lt;/year&gt;&lt;pub-dates&gt;&lt;date&gt;Aug&lt;/date&gt;&lt;/pub-dates&gt;&lt;/dates&gt;&lt;isbn&gt;1934-8533 (Electronic)&lt;/isbn&gt;&lt;accession-num&gt;20812217&lt;/accession-num&gt;&lt;urls&gt;&lt;related-urls&gt;&lt;url&gt;https://www.ncbi.nlm.nih.gov/pubmed/20812217&lt;/url&gt;&lt;/related-urls&gt;&lt;/urls&gt;&lt;custom2&gt;PMC2964379&lt;/custom2&gt;&lt;electronic-resource-num&gt;10.1002/9780471729259.mc1705s18&lt;/electronic-resource-num&gt;&lt;/record&gt;&lt;/Cite&gt;&lt;/EndNote&gt;</w:instrText>
      </w:r>
      <w:r w:rsidRPr="00250F8F">
        <w:rPr>
          <w:rFonts w:ascii="Times New Roman" w:hAnsi="Times New Roman" w:cs="Times New Roman"/>
        </w:rPr>
        <w:fldChar w:fldCharType="separate"/>
      </w:r>
      <w:r w:rsidRPr="00685D35">
        <w:rPr>
          <w:rFonts w:ascii="Times New Roman" w:hAnsi="Times New Roman" w:cs="Times New Roman"/>
          <w:noProof/>
        </w:rPr>
        <w:t>[1]</w:t>
      </w:r>
      <w:r w:rsidRPr="00250F8F">
        <w:rPr>
          <w:rFonts w:ascii="Times New Roman" w:hAnsi="Times New Roman" w:cs="Times New Roman"/>
        </w:rPr>
        <w:fldChar w:fldCharType="end"/>
      </w:r>
      <w:r w:rsidRPr="00685D35">
        <w:rPr>
          <w:rFonts w:ascii="Times New Roman" w:hAnsi="Times New Roman" w:cs="Times New Roman"/>
        </w:rPr>
        <w:t xml:space="preserve">  were infected with JFH-1 HCVcc at a low MOI (0.01) and cultured for 12 days until HCV levels were at steady state. Cells were then treated with 1nM </w:t>
      </w:r>
      <w:r w:rsidRPr="00685D35">
        <w:rPr>
          <w:rFonts w:asciiTheme="majorBidi" w:hAnsiTheme="majorBidi" w:cstheme="majorBidi"/>
        </w:rPr>
        <w:t xml:space="preserve">daclatasvir (provided by </w:t>
      </w:r>
      <w:r w:rsidRPr="00685D35">
        <w:rPr>
          <w:rFonts w:ascii="Times New Roman" w:hAnsi="Times New Roman" w:cs="Times New Roman"/>
        </w:rPr>
        <w:t>Bristol-Myers Squibb NYC, NY) to stop HCV replication and infectious virus secretion</w:t>
      </w:r>
      <w:r w:rsidR="00A64292">
        <w:rPr>
          <w:rFonts w:ascii="Times New Roman" w:hAnsi="Times New Roman" w:cs="Times New Roman"/>
        </w:rPr>
        <w:t xml:space="preserve"> or 200</w:t>
      </w:r>
      <w:r w:rsidR="00A64292" w:rsidRPr="00A95280">
        <w:rPr>
          <w:rFonts w:ascii="Symbol" w:hAnsi="Symbol" w:cs="Times New Roman"/>
        </w:rPr>
        <w:t></w:t>
      </w:r>
      <w:r w:rsidR="00A64292">
        <w:rPr>
          <w:rFonts w:ascii="Times New Roman" w:hAnsi="Times New Roman" w:cs="Times New Roman"/>
        </w:rPr>
        <w:t xml:space="preserve">M </w:t>
      </w:r>
      <w:r w:rsidR="00A64292" w:rsidRPr="00A95280">
        <w:rPr>
          <w:rFonts w:ascii="Times New Roman" w:hAnsi="Times New Roman" w:cs="Times New Roman"/>
        </w:rPr>
        <w:t>Naringenin</w:t>
      </w:r>
      <w:r w:rsidR="00A64292">
        <w:rPr>
          <w:rFonts w:ascii="Times New Roman" w:hAnsi="Times New Roman" w:cs="Times New Roman"/>
        </w:rPr>
        <w:t xml:space="preserve"> to block HCV secretion</w:t>
      </w:r>
      <w:r w:rsidRPr="00685D35">
        <w:rPr>
          <w:rFonts w:ascii="Times New Roman" w:hAnsi="Times New Roman" w:cs="Times New Roman"/>
        </w:rPr>
        <w:t xml:space="preserve">. At indicated times, medium and cell lysates were harvested from triplicate wells. Total RNA was isolated and </w:t>
      </w:r>
      <w:r w:rsidRPr="00685D35">
        <w:rPr>
          <w:rFonts w:ascii="Times New Roman" w:hAnsi="Times New Roman" w:cs="Times New Roman"/>
          <w:color w:val="000000"/>
          <w:shd w:val="clear" w:color="auto" w:fill="FFFFFF"/>
        </w:rPr>
        <w:t xml:space="preserve">1 </w:t>
      </w:r>
      <w:r w:rsidRPr="00685D3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μg of RNA was used for cDNA synthesis using </w:t>
      </w:r>
      <w:r w:rsidRPr="00685D35">
        <w:rPr>
          <w:rFonts w:ascii="Times New Roman" w:hAnsi="Times New Roman" w:cs="Times New Roman"/>
        </w:rPr>
        <w:t>Fermentas reverse transcriptase reagents (ThermoScientific)</w:t>
      </w:r>
      <w:r w:rsidRPr="00685D35">
        <w:rPr>
          <w:rFonts w:ascii="Times New Roman" w:hAnsi="Times New Roman" w:cs="Times New Roman"/>
          <w:color w:val="000000"/>
          <w:shd w:val="clear" w:color="auto" w:fill="FFFFFF"/>
        </w:rPr>
        <w:t xml:space="preserve">, followed by real-time PCR quantification using an Applied Biosystems 7300 real-time thermocycler (Applied Biosystems). Thermal cycling consisted of an initial denaturation step for 10 min at 95°C followed by 40 cycles of denaturation (15 s at 95°C) and annealing/extension (1 min at 60°C). HCV levels were determined relative to an HCV standard curve and normalized to carrier RNA levels (as a control for recovery efficiency). </w:t>
      </w:r>
      <w:r w:rsidRPr="00685D35">
        <w:rPr>
          <w:rFonts w:ascii="Times New Roman" w:hAnsi="Times New Roman" w:cs="Times New Roman"/>
        </w:rPr>
        <w:t>The PCR primers used to detect HCV were 5’-CGACACTCCACCATAGATCACT-3’_ (sense) and 5’-GAGGCTGCACGACACTCATACT-3’_ (antisense).</w:t>
      </w:r>
    </w:p>
    <w:p w14:paraId="222FC7F2" w14:textId="1E1663CF" w:rsidR="008673B3" w:rsidRPr="00685D35" w:rsidRDefault="008673B3" w:rsidP="00B640AC">
      <w:pPr>
        <w:rPr>
          <w:b/>
          <w:bCs/>
          <w:sz w:val="22"/>
          <w:szCs w:val="22"/>
        </w:rPr>
      </w:pPr>
    </w:p>
    <w:p w14:paraId="5BFFCE52" w14:textId="484C6E4D" w:rsidR="0016404A" w:rsidRPr="00685D35" w:rsidRDefault="0016404A">
      <w:pPr>
        <w:spacing w:after="160" w:line="259" w:lineRule="auto"/>
        <w:jc w:val="left"/>
        <w:rPr>
          <w:b/>
          <w:bCs/>
          <w:sz w:val="22"/>
          <w:szCs w:val="22"/>
        </w:rPr>
      </w:pPr>
      <w:r w:rsidRPr="00685D35">
        <w:rPr>
          <w:b/>
          <w:bCs/>
          <w:sz w:val="22"/>
          <w:szCs w:val="22"/>
        </w:rPr>
        <w:br w:type="page"/>
      </w:r>
    </w:p>
    <w:p w14:paraId="37305B89" w14:textId="77777777" w:rsidR="008673B3" w:rsidRPr="00685D35" w:rsidRDefault="008673B3" w:rsidP="00B640AC">
      <w:pPr>
        <w:rPr>
          <w:b/>
          <w:bCs/>
          <w:sz w:val="22"/>
          <w:szCs w:val="22"/>
        </w:rPr>
      </w:pPr>
    </w:p>
    <w:p w14:paraId="77DA61FC" w14:textId="0FEDF510" w:rsidR="008673B3" w:rsidRPr="00685D35" w:rsidRDefault="008673B3" w:rsidP="00B640AC">
      <w:pPr>
        <w:rPr>
          <w:b/>
          <w:bCs/>
          <w:sz w:val="22"/>
          <w:szCs w:val="22"/>
        </w:rPr>
      </w:pPr>
    </w:p>
    <w:p w14:paraId="36DF2BAC" w14:textId="506C2436" w:rsidR="008673B3" w:rsidRPr="00685D35" w:rsidRDefault="008673B3" w:rsidP="00B640AC">
      <w:pPr>
        <w:rPr>
          <w:b/>
          <w:bCs/>
          <w:sz w:val="22"/>
          <w:szCs w:val="22"/>
        </w:rPr>
      </w:pPr>
    </w:p>
    <w:p w14:paraId="5FB5FB90" w14:textId="77777777" w:rsidR="009A672E" w:rsidRPr="00685D35" w:rsidRDefault="009A672E" w:rsidP="00B640AC">
      <w:pPr>
        <w:rPr>
          <w:b/>
          <w:bCs/>
          <w:sz w:val="22"/>
          <w:szCs w:val="22"/>
        </w:rPr>
      </w:pPr>
    </w:p>
    <w:p w14:paraId="0F1C0826" w14:textId="1296E1EF" w:rsidR="00B640AC" w:rsidRPr="00685D35" w:rsidRDefault="00B640AC" w:rsidP="00B640AC">
      <w:pPr>
        <w:pStyle w:val="Caption"/>
        <w:rPr>
          <w:rFonts w:cs="Arial"/>
          <w:szCs w:val="22"/>
        </w:rPr>
      </w:pPr>
      <w:r w:rsidRPr="00685D35">
        <w:rPr>
          <w:rFonts w:cs="Arial"/>
          <w:b/>
          <w:bCs w:val="0"/>
          <w:szCs w:val="22"/>
        </w:rPr>
        <w:t>Table S</w:t>
      </w:r>
      <w:r w:rsidRPr="00250F8F">
        <w:rPr>
          <w:rFonts w:cs="Arial"/>
          <w:b/>
          <w:bCs w:val="0"/>
          <w:szCs w:val="22"/>
        </w:rPr>
        <w:fldChar w:fldCharType="begin"/>
      </w:r>
      <w:r w:rsidRPr="00685D35">
        <w:rPr>
          <w:rFonts w:cs="Arial"/>
          <w:b/>
          <w:bCs w:val="0"/>
          <w:szCs w:val="22"/>
        </w:rPr>
        <w:instrText xml:space="preserve"> SEQ Table \* ARABIC </w:instrText>
      </w:r>
      <w:r w:rsidRPr="00250F8F">
        <w:rPr>
          <w:rFonts w:cs="Arial"/>
          <w:b/>
          <w:bCs w:val="0"/>
          <w:szCs w:val="22"/>
        </w:rPr>
        <w:fldChar w:fldCharType="separate"/>
      </w:r>
      <w:r w:rsidRPr="00685D35">
        <w:rPr>
          <w:rFonts w:cs="Arial"/>
          <w:b/>
          <w:bCs w:val="0"/>
          <w:noProof/>
          <w:szCs w:val="22"/>
        </w:rPr>
        <w:t>1</w:t>
      </w:r>
      <w:r w:rsidRPr="00250F8F">
        <w:rPr>
          <w:rFonts w:cs="Arial"/>
          <w:b/>
          <w:bCs w:val="0"/>
          <w:szCs w:val="22"/>
        </w:rPr>
        <w:fldChar w:fldCharType="end"/>
      </w:r>
      <w:r w:rsidRPr="00685D35">
        <w:rPr>
          <w:rFonts w:cs="Arial"/>
          <w:b/>
          <w:bCs w:val="0"/>
          <w:szCs w:val="22"/>
        </w:rPr>
        <w:t>:</w:t>
      </w:r>
      <w:r w:rsidRPr="00685D35">
        <w:rPr>
          <w:rFonts w:cs="Arial"/>
          <w:szCs w:val="22"/>
        </w:rPr>
        <w:t xml:space="preserve"> Characteristics of five HCV infected patients who underwent liv</w:t>
      </w:r>
      <w:r w:rsidR="00CA75AC" w:rsidRPr="00685D35">
        <w:rPr>
          <w:rFonts w:cs="Arial"/>
          <w:szCs w:val="22"/>
        </w:rPr>
        <w:t>er transplantation</w:t>
      </w:r>
      <w:r w:rsidR="006D734D" w:rsidRPr="00685D35">
        <w:rPr>
          <w:rFonts w:cs="Arial"/>
          <w:szCs w:val="22"/>
        </w:rPr>
        <w:t xml:space="preserve"> (LT) and donors</w:t>
      </w:r>
      <w:r w:rsidR="00CA75AC" w:rsidRPr="00685D35">
        <w:rPr>
          <w:rFonts w:cs="Arial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310"/>
        <w:gridCol w:w="1309"/>
        <w:gridCol w:w="1294"/>
        <w:gridCol w:w="1295"/>
        <w:gridCol w:w="1305"/>
        <w:gridCol w:w="1309"/>
        <w:gridCol w:w="1319"/>
      </w:tblGrid>
      <w:tr w:rsidR="00B640AC" w:rsidRPr="00685D35" w14:paraId="6630C1B8" w14:textId="77777777" w:rsidTr="00430CD5">
        <w:tc>
          <w:tcPr>
            <w:tcW w:w="1325" w:type="dxa"/>
          </w:tcPr>
          <w:p w14:paraId="41714B1C" w14:textId="77777777" w:rsidR="00B640AC" w:rsidRPr="00685D35" w:rsidRDefault="00B640AC" w:rsidP="00430CD5">
            <w:pPr>
              <w:rPr>
                <w:rFonts w:cs="Arial"/>
                <w:b/>
                <w:sz w:val="22"/>
                <w:szCs w:val="22"/>
              </w:rPr>
            </w:pPr>
            <w:r w:rsidRPr="00685D35">
              <w:rPr>
                <w:rFonts w:cs="Arial"/>
                <w:b/>
                <w:sz w:val="22"/>
                <w:szCs w:val="22"/>
              </w:rPr>
              <w:t>Patient</w:t>
            </w:r>
          </w:p>
        </w:tc>
        <w:tc>
          <w:tcPr>
            <w:tcW w:w="1325" w:type="dxa"/>
          </w:tcPr>
          <w:p w14:paraId="325B3894" w14:textId="77777777" w:rsidR="00B640AC" w:rsidRPr="00685D35" w:rsidRDefault="00B640AC" w:rsidP="00430CD5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685D35">
              <w:rPr>
                <w:rFonts w:cs="Arial"/>
                <w:b/>
                <w:sz w:val="22"/>
                <w:szCs w:val="22"/>
              </w:rPr>
              <w:t>Gender</w:t>
            </w:r>
          </w:p>
        </w:tc>
        <w:tc>
          <w:tcPr>
            <w:tcW w:w="1325" w:type="dxa"/>
          </w:tcPr>
          <w:p w14:paraId="70966393" w14:textId="77777777" w:rsidR="00B640AC" w:rsidRPr="00685D35" w:rsidRDefault="00B640AC" w:rsidP="00430CD5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685D35">
              <w:rPr>
                <w:rFonts w:cs="Arial"/>
                <w:b/>
                <w:sz w:val="22"/>
                <w:szCs w:val="22"/>
              </w:rPr>
              <w:t>Weight (kg)</w:t>
            </w:r>
          </w:p>
        </w:tc>
        <w:tc>
          <w:tcPr>
            <w:tcW w:w="1325" w:type="dxa"/>
          </w:tcPr>
          <w:p w14:paraId="5476E820" w14:textId="77777777" w:rsidR="00B640AC" w:rsidRPr="00685D35" w:rsidRDefault="00B640AC" w:rsidP="00430CD5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685D35">
              <w:rPr>
                <w:rFonts w:cs="Arial"/>
                <w:b/>
                <w:sz w:val="22"/>
                <w:szCs w:val="22"/>
              </w:rPr>
              <w:t>BMI</w:t>
            </w:r>
          </w:p>
        </w:tc>
        <w:tc>
          <w:tcPr>
            <w:tcW w:w="1325" w:type="dxa"/>
          </w:tcPr>
          <w:p w14:paraId="70B3F8DA" w14:textId="77777777" w:rsidR="00B640AC" w:rsidRPr="00685D35" w:rsidRDefault="00B640AC" w:rsidP="00430CD5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685D35">
              <w:rPr>
                <w:rFonts w:cs="Arial"/>
                <w:b/>
                <w:sz w:val="22"/>
                <w:szCs w:val="22"/>
              </w:rPr>
              <w:t>Age at LT</w:t>
            </w:r>
          </w:p>
        </w:tc>
        <w:tc>
          <w:tcPr>
            <w:tcW w:w="1325" w:type="dxa"/>
          </w:tcPr>
          <w:p w14:paraId="435EAC3F" w14:textId="77777777" w:rsidR="00B640AC" w:rsidRPr="00685D35" w:rsidRDefault="00B640AC" w:rsidP="00430CD5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685D35">
              <w:rPr>
                <w:rFonts w:cs="Arial"/>
                <w:b/>
                <w:sz w:val="22"/>
                <w:szCs w:val="22"/>
              </w:rPr>
              <w:t>Donor age</w:t>
            </w:r>
          </w:p>
        </w:tc>
        <w:tc>
          <w:tcPr>
            <w:tcW w:w="1325" w:type="dxa"/>
          </w:tcPr>
          <w:p w14:paraId="2202B9D7" w14:textId="77777777" w:rsidR="00B640AC" w:rsidRPr="00685D35" w:rsidRDefault="00B640AC" w:rsidP="00430CD5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685D35">
              <w:rPr>
                <w:rFonts w:cs="Arial"/>
                <w:b/>
                <w:sz w:val="22"/>
                <w:szCs w:val="22"/>
              </w:rPr>
              <w:t>Donor gender</w:t>
            </w:r>
          </w:p>
        </w:tc>
        <w:tc>
          <w:tcPr>
            <w:tcW w:w="1325" w:type="dxa"/>
          </w:tcPr>
          <w:p w14:paraId="5DA0357C" w14:textId="77777777" w:rsidR="00B640AC" w:rsidRPr="00685D35" w:rsidRDefault="00B640AC" w:rsidP="00430CD5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685D35">
              <w:rPr>
                <w:rFonts w:cs="Arial"/>
                <w:b/>
                <w:sz w:val="22"/>
                <w:szCs w:val="22"/>
              </w:rPr>
              <w:t>HCV genotype</w:t>
            </w:r>
          </w:p>
        </w:tc>
      </w:tr>
      <w:tr w:rsidR="00B640AC" w:rsidRPr="00685D35" w14:paraId="51C3B7B0" w14:textId="77777777" w:rsidTr="00430CD5">
        <w:tc>
          <w:tcPr>
            <w:tcW w:w="1325" w:type="dxa"/>
          </w:tcPr>
          <w:p w14:paraId="77848A5B" w14:textId="77777777" w:rsidR="00B640AC" w:rsidRPr="00685D35" w:rsidRDefault="00B640AC" w:rsidP="00430CD5">
            <w:pPr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25" w:type="dxa"/>
          </w:tcPr>
          <w:p w14:paraId="32BCAF15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1325" w:type="dxa"/>
          </w:tcPr>
          <w:p w14:paraId="0B95935F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88</w:t>
            </w:r>
          </w:p>
        </w:tc>
        <w:tc>
          <w:tcPr>
            <w:tcW w:w="1325" w:type="dxa"/>
          </w:tcPr>
          <w:p w14:paraId="044355B8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25" w:type="dxa"/>
          </w:tcPr>
          <w:p w14:paraId="263C1BC8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68</w:t>
            </w:r>
          </w:p>
        </w:tc>
        <w:tc>
          <w:tcPr>
            <w:tcW w:w="1325" w:type="dxa"/>
          </w:tcPr>
          <w:p w14:paraId="6B029A60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72</w:t>
            </w:r>
          </w:p>
        </w:tc>
        <w:tc>
          <w:tcPr>
            <w:tcW w:w="1325" w:type="dxa"/>
          </w:tcPr>
          <w:p w14:paraId="5DE94318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1325" w:type="dxa"/>
          </w:tcPr>
          <w:p w14:paraId="58BFD10D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1b</w:t>
            </w:r>
          </w:p>
        </w:tc>
      </w:tr>
      <w:tr w:rsidR="00B640AC" w:rsidRPr="00685D35" w14:paraId="08E2C862" w14:textId="77777777" w:rsidTr="00430CD5">
        <w:tc>
          <w:tcPr>
            <w:tcW w:w="1325" w:type="dxa"/>
          </w:tcPr>
          <w:p w14:paraId="5C6ABE37" w14:textId="77777777" w:rsidR="00B640AC" w:rsidRPr="00685D35" w:rsidRDefault="00B640AC" w:rsidP="00430CD5">
            <w:pPr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325" w:type="dxa"/>
          </w:tcPr>
          <w:p w14:paraId="061037AC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F</w:t>
            </w:r>
          </w:p>
        </w:tc>
        <w:tc>
          <w:tcPr>
            <w:tcW w:w="1325" w:type="dxa"/>
          </w:tcPr>
          <w:p w14:paraId="37348658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70</w:t>
            </w:r>
          </w:p>
        </w:tc>
        <w:tc>
          <w:tcPr>
            <w:tcW w:w="1325" w:type="dxa"/>
          </w:tcPr>
          <w:p w14:paraId="7512B508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1325" w:type="dxa"/>
          </w:tcPr>
          <w:p w14:paraId="69B7F6A7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66</w:t>
            </w:r>
          </w:p>
        </w:tc>
        <w:tc>
          <w:tcPr>
            <w:tcW w:w="1325" w:type="dxa"/>
          </w:tcPr>
          <w:p w14:paraId="517E6385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1325" w:type="dxa"/>
          </w:tcPr>
          <w:p w14:paraId="78BCD302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1325" w:type="dxa"/>
          </w:tcPr>
          <w:p w14:paraId="7EF7F0EE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1b</w:t>
            </w:r>
          </w:p>
        </w:tc>
      </w:tr>
      <w:tr w:rsidR="00B640AC" w:rsidRPr="00685D35" w14:paraId="59D9DBFE" w14:textId="77777777" w:rsidTr="00430CD5">
        <w:tc>
          <w:tcPr>
            <w:tcW w:w="1325" w:type="dxa"/>
          </w:tcPr>
          <w:p w14:paraId="7F2E1D0E" w14:textId="77777777" w:rsidR="00B640AC" w:rsidRPr="00685D35" w:rsidRDefault="00B640AC" w:rsidP="00430CD5">
            <w:pPr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25" w:type="dxa"/>
          </w:tcPr>
          <w:p w14:paraId="271DB0E7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1325" w:type="dxa"/>
          </w:tcPr>
          <w:p w14:paraId="3918497D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87</w:t>
            </w:r>
          </w:p>
        </w:tc>
        <w:tc>
          <w:tcPr>
            <w:tcW w:w="1325" w:type="dxa"/>
          </w:tcPr>
          <w:p w14:paraId="73C80365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1325" w:type="dxa"/>
          </w:tcPr>
          <w:p w14:paraId="5B37225D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56</w:t>
            </w:r>
          </w:p>
        </w:tc>
        <w:tc>
          <w:tcPr>
            <w:tcW w:w="1325" w:type="dxa"/>
          </w:tcPr>
          <w:p w14:paraId="6D2E408B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69</w:t>
            </w:r>
          </w:p>
        </w:tc>
        <w:tc>
          <w:tcPr>
            <w:tcW w:w="1325" w:type="dxa"/>
          </w:tcPr>
          <w:p w14:paraId="226F10E1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1325" w:type="dxa"/>
          </w:tcPr>
          <w:p w14:paraId="19E74F4C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3</w:t>
            </w:r>
          </w:p>
        </w:tc>
      </w:tr>
      <w:tr w:rsidR="00B640AC" w:rsidRPr="00685D35" w14:paraId="7D18F70A" w14:textId="77777777" w:rsidTr="00430CD5">
        <w:tc>
          <w:tcPr>
            <w:tcW w:w="1325" w:type="dxa"/>
          </w:tcPr>
          <w:p w14:paraId="15D980C2" w14:textId="77777777" w:rsidR="00B640AC" w:rsidRPr="00685D35" w:rsidRDefault="00B640AC" w:rsidP="00430CD5">
            <w:pPr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325" w:type="dxa"/>
          </w:tcPr>
          <w:p w14:paraId="542D5204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F</w:t>
            </w:r>
          </w:p>
        </w:tc>
        <w:tc>
          <w:tcPr>
            <w:tcW w:w="1325" w:type="dxa"/>
          </w:tcPr>
          <w:p w14:paraId="69B03E7D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43</w:t>
            </w:r>
          </w:p>
        </w:tc>
        <w:tc>
          <w:tcPr>
            <w:tcW w:w="1325" w:type="dxa"/>
          </w:tcPr>
          <w:p w14:paraId="295A35DA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1325" w:type="dxa"/>
          </w:tcPr>
          <w:p w14:paraId="04D0AA04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325" w:type="dxa"/>
          </w:tcPr>
          <w:p w14:paraId="5417094F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73</w:t>
            </w:r>
          </w:p>
        </w:tc>
        <w:tc>
          <w:tcPr>
            <w:tcW w:w="1325" w:type="dxa"/>
          </w:tcPr>
          <w:p w14:paraId="12CCFBD6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F</w:t>
            </w:r>
          </w:p>
        </w:tc>
        <w:tc>
          <w:tcPr>
            <w:tcW w:w="1325" w:type="dxa"/>
          </w:tcPr>
          <w:p w14:paraId="5CE5F5F1" w14:textId="77777777" w:rsidR="00B640AC" w:rsidRPr="00685D35" w:rsidRDefault="00B640AC" w:rsidP="00430CD5">
            <w:pPr>
              <w:jc w:val="right"/>
              <w:rPr>
                <w:rFonts w:cs="Arial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1b</w:t>
            </w:r>
          </w:p>
        </w:tc>
      </w:tr>
      <w:tr w:rsidR="00B640AC" w:rsidRPr="00685D35" w14:paraId="568FC484" w14:textId="77777777" w:rsidTr="00430CD5">
        <w:tc>
          <w:tcPr>
            <w:tcW w:w="1325" w:type="dxa"/>
          </w:tcPr>
          <w:p w14:paraId="41CA2854" w14:textId="77777777" w:rsidR="00B640AC" w:rsidRPr="00685D35" w:rsidRDefault="00B640AC" w:rsidP="00430CD5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85D35">
              <w:rPr>
                <w:rFonts w:eastAsia="Times New Roman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5" w:type="dxa"/>
          </w:tcPr>
          <w:p w14:paraId="0379F55D" w14:textId="77777777" w:rsidR="00B640AC" w:rsidRPr="00685D35" w:rsidRDefault="00B640AC" w:rsidP="00430CD5">
            <w:pPr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1325" w:type="dxa"/>
          </w:tcPr>
          <w:p w14:paraId="78C691E6" w14:textId="77777777" w:rsidR="00B640AC" w:rsidRPr="00685D35" w:rsidRDefault="00B640AC" w:rsidP="00430CD5">
            <w:pPr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1325" w:type="dxa"/>
          </w:tcPr>
          <w:p w14:paraId="74D82FB2" w14:textId="77777777" w:rsidR="00B640AC" w:rsidRPr="00685D35" w:rsidRDefault="00B640AC" w:rsidP="00430CD5">
            <w:pPr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1325" w:type="dxa"/>
          </w:tcPr>
          <w:p w14:paraId="24AAA558" w14:textId="77777777" w:rsidR="00B640AC" w:rsidRPr="00685D35" w:rsidRDefault="00B640AC" w:rsidP="00430CD5">
            <w:pPr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49</w:t>
            </w:r>
          </w:p>
        </w:tc>
        <w:tc>
          <w:tcPr>
            <w:tcW w:w="1325" w:type="dxa"/>
          </w:tcPr>
          <w:p w14:paraId="4195E72D" w14:textId="77777777" w:rsidR="00B640AC" w:rsidRPr="00685D35" w:rsidRDefault="00B640AC" w:rsidP="00430CD5">
            <w:pPr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1325" w:type="dxa"/>
          </w:tcPr>
          <w:p w14:paraId="2ED28AC1" w14:textId="77777777" w:rsidR="00B640AC" w:rsidRPr="00685D35" w:rsidRDefault="00B640AC" w:rsidP="00430CD5">
            <w:pPr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M</w:t>
            </w:r>
          </w:p>
        </w:tc>
        <w:tc>
          <w:tcPr>
            <w:tcW w:w="1325" w:type="dxa"/>
          </w:tcPr>
          <w:p w14:paraId="5E21ED0C" w14:textId="77777777" w:rsidR="00B640AC" w:rsidRPr="00685D35" w:rsidRDefault="00B640AC" w:rsidP="00430CD5">
            <w:pPr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1b</w:t>
            </w:r>
          </w:p>
        </w:tc>
      </w:tr>
      <w:tr w:rsidR="00B640AC" w:rsidRPr="00685D35" w14:paraId="363BAE55" w14:textId="77777777" w:rsidTr="00430CD5">
        <w:tc>
          <w:tcPr>
            <w:tcW w:w="1325" w:type="dxa"/>
          </w:tcPr>
          <w:p w14:paraId="6472F004" w14:textId="77777777" w:rsidR="00B640AC" w:rsidRPr="00685D35" w:rsidRDefault="00B640AC" w:rsidP="00430CD5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85D35">
              <w:rPr>
                <w:rFonts w:eastAsia="Times New Roman" w:cs="Arial"/>
                <w:color w:val="000000"/>
                <w:sz w:val="22"/>
                <w:szCs w:val="22"/>
              </w:rPr>
              <w:t>Median (range)</w:t>
            </w:r>
          </w:p>
        </w:tc>
        <w:tc>
          <w:tcPr>
            <w:tcW w:w="1325" w:type="dxa"/>
          </w:tcPr>
          <w:p w14:paraId="286EB128" w14:textId="77777777" w:rsidR="00B640AC" w:rsidRPr="00685D35" w:rsidRDefault="00B640AC" w:rsidP="00430CD5">
            <w:pPr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14:paraId="398F0DFE" w14:textId="77777777" w:rsidR="00B640AC" w:rsidRPr="00685D35" w:rsidRDefault="00B640AC" w:rsidP="00430CD5">
            <w:pPr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87 (43-90)</w:t>
            </w:r>
          </w:p>
        </w:tc>
        <w:tc>
          <w:tcPr>
            <w:tcW w:w="1325" w:type="dxa"/>
          </w:tcPr>
          <w:p w14:paraId="4018A789" w14:textId="77777777" w:rsidR="00B640AC" w:rsidRPr="00685D35" w:rsidRDefault="00B640AC" w:rsidP="00430CD5">
            <w:pPr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30 (19-34)</w:t>
            </w:r>
          </w:p>
        </w:tc>
        <w:tc>
          <w:tcPr>
            <w:tcW w:w="1325" w:type="dxa"/>
          </w:tcPr>
          <w:p w14:paraId="0CDFF995" w14:textId="77777777" w:rsidR="00B640AC" w:rsidRPr="00685D35" w:rsidRDefault="00B640AC" w:rsidP="00430CD5">
            <w:pPr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60 (49-68)</w:t>
            </w:r>
          </w:p>
        </w:tc>
        <w:tc>
          <w:tcPr>
            <w:tcW w:w="1325" w:type="dxa"/>
          </w:tcPr>
          <w:p w14:paraId="07766F32" w14:textId="77777777" w:rsidR="00B640AC" w:rsidRPr="00685D35" w:rsidRDefault="00B640AC" w:rsidP="00430CD5">
            <w:pPr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685D35">
              <w:rPr>
                <w:rFonts w:cs="Arial"/>
                <w:sz w:val="22"/>
                <w:szCs w:val="22"/>
              </w:rPr>
              <w:t>69 (29-73)</w:t>
            </w:r>
          </w:p>
        </w:tc>
        <w:tc>
          <w:tcPr>
            <w:tcW w:w="1325" w:type="dxa"/>
          </w:tcPr>
          <w:p w14:paraId="65948F21" w14:textId="77777777" w:rsidR="00B640AC" w:rsidRPr="00685D35" w:rsidRDefault="00B640AC" w:rsidP="00430CD5">
            <w:pPr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14:paraId="0F43C726" w14:textId="77777777" w:rsidR="00B640AC" w:rsidRPr="00685D35" w:rsidRDefault="00B640AC" w:rsidP="00430CD5">
            <w:pPr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</w:tr>
    </w:tbl>
    <w:p w14:paraId="2A9BCF31" w14:textId="3679E626" w:rsidR="00B640AC" w:rsidRPr="00685D35" w:rsidRDefault="00B640AC" w:rsidP="00B640AC">
      <w:pPr>
        <w:rPr>
          <w:sz w:val="22"/>
          <w:szCs w:val="22"/>
        </w:rPr>
      </w:pPr>
    </w:p>
    <w:p w14:paraId="5EEA2D21" w14:textId="58D226D9" w:rsidR="0016404A" w:rsidRPr="00685D35" w:rsidRDefault="0016404A" w:rsidP="00B640AC">
      <w:pPr>
        <w:rPr>
          <w:sz w:val="22"/>
          <w:szCs w:val="22"/>
        </w:rPr>
      </w:pPr>
    </w:p>
    <w:p w14:paraId="11294733" w14:textId="779D265F" w:rsidR="0016404A" w:rsidRPr="00685D35" w:rsidRDefault="0016404A" w:rsidP="00B640AC">
      <w:pPr>
        <w:rPr>
          <w:sz w:val="22"/>
          <w:szCs w:val="22"/>
        </w:rPr>
      </w:pPr>
    </w:p>
    <w:p w14:paraId="7A670A87" w14:textId="2826D2D6" w:rsidR="00097B86" w:rsidRPr="00685D35" w:rsidRDefault="0016404A" w:rsidP="00CD5C7F">
      <w:pPr>
        <w:rPr>
          <w:rFonts w:cs="Arial"/>
          <w:b/>
          <w:szCs w:val="22"/>
        </w:rPr>
      </w:pPr>
      <w:r w:rsidRPr="00685D35">
        <w:rPr>
          <w:rFonts w:cs="Arial"/>
          <w:b/>
          <w:szCs w:val="22"/>
        </w:rPr>
        <w:t>Table S</w:t>
      </w:r>
      <w:r w:rsidRPr="00685D35">
        <w:rPr>
          <w:rFonts w:cs="Arial"/>
          <w:b/>
          <w:bCs/>
          <w:szCs w:val="22"/>
        </w:rPr>
        <w:t>2</w:t>
      </w:r>
      <w:r w:rsidRPr="00685D35">
        <w:rPr>
          <w:rFonts w:cs="Arial"/>
          <w:b/>
          <w:szCs w:val="22"/>
        </w:rPr>
        <w:t>: HCV kinetics during AH</w:t>
      </w:r>
    </w:p>
    <w:tbl>
      <w:tblPr>
        <w:tblW w:w="5662" w:type="dxa"/>
        <w:tblLayout w:type="fixed"/>
        <w:tblCellMar>
          <w:top w:w="72" w:type="dxa"/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1422"/>
        <w:gridCol w:w="1421"/>
        <w:gridCol w:w="2819"/>
      </w:tblGrid>
      <w:tr w:rsidR="002357D7" w:rsidRPr="00685D35" w14:paraId="539ADBAD" w14:textId="77777777" w:rsidTr="002357D7">
        <w:trPr>
          <w:trHeight w:val="240"/>
        </w:trPr>
        <w:tc>
          <w:tcPr>
            <w:tcW w:w="949" w:type="dxa"/>
            <w:tcBorders>
              <w:left w:val="nil"/>
              <w:bottom w:val="single" w:sz="4" w:space="0" w:color="auto"/>
              <w:right w:val="nil"/>
            </w:tcBorders>
          </w:tcPr>
          <w:p w14:paraId="5E0BC68A" w14:textId="77777777" w:rsidR="002357D7" w:rsidRPr="00685D35" w:rsidRDefault="002357D7" w:rsidP="00CD5C7F">
            <w:pPr>
              <w:jc w:val="center"/>
              <w:rPr>
                <w:rFonts w:eastAsia="Times New Roman" w:cs="Arial"/>
                <w:b/>
                <w:bCs/>
              </w:rPr>
            </w:pPr>
          </w:p>
          <w:p w14:paraId="04CC92C0" w14:textId="77777777" w:rsidR="002357D7" w:rsidRPr="00685D35" w:rsidRDefault="002357D7" w:rsidP="00CD5C7F">
            <w:pPr>
              <w:jc w:val="center"/>
              <w:rPr>
                <w:rFonts w:eastAsia="Times New Roman" w:cs="Arial"/>
                <w:b/>
                <w:bCs/>
              </w:rPr>
            </w:pPr>
            <w:r w:rsidRPr="00685D35">
              <w:rPr>
                <w:rFonts w:eastAsia="Times New Roman" w:cs="Arial"/>
                <w:b/>
                <w:bCs/>
              </w:rPr>
              <w:t>Phase</w:t>
            </w:r>
          </w:p>
        </w:tc>
        <w:tc>
          <w:tcPr>
            <w:tcW w:w="9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67178" w14:textId="77777777" w:rsidR="002357D7" w:rsidRPr="00685D35" w:rsidRDefault="002357D7" w:rsidP="00CD5C7F">
            <w:pPr>
              <w:jc w:val="center"/>
              <w:rPr>
                <w:rFonts w:eastAsia="Times New Roman" w:cs="Arial"/>
                <w:b/>
                <w:bCs/>
              </w:rPr>
            </w:pPr>
            <w:r w:rsidRPr="00685D35">
              <w:rPr>
                <w:rFonts w:eastAsia="Times New Roman" w:cs="Arial"/>
                <w:b/>
                <w:bCs/>
              </w:rPr>
              <w:t>Case</w:t>
            </w:r>
          </w:p>
        </w:tc>
        <w:tc>
          <w:tcPr>
            <w:tcW w:w="188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DBD864" w14:textId="077DD647" w:rsidR="002357D7" w:rsidRPr="00685D35" w:rsidRDefault="002357D7" w:rsidP="00CD5C7F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85D35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Decrease slope (log/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day</w:t>
            </w:r>
            <w:r w:rsidRPr="00685D35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357D7" w:rsidRPr="00685D35" w14:paraId="15303373" w14:textId="77777777" w:rsidTr="002357D7">
        <w:trPr>
          <w:trHeight w:val="67"/>
        </w:trPr>
        <w:tc>
          <w:tcPr>
            <w:tcW w:w="94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6EA6498" w14:textId="77777777" w:rsidR="002357D7" w:rsidRPr="001B66AE" w:rsidRDefault="002357D7" w:rsidP="00CD5C7F">
            <w:pPr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  <w:p w14:paraId="192218E0" w14:textId="77777777" w:rsidR="002357D7" w:rsidRPr="001B66AE" w:rsidRDefault="002357D7" w:rsidP="00CD5C7F">
            <w:pPr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  <w:p w14:paraId="4C211461" w14:textId="77777777" w:rsidR="002357D7" w:rsidRPr="001B66AE" w:rsidRDefault="002357D7" w:rsidP="00CD5C7F">
            <w:pPr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  <w:p w14:paraId="2C17A043" w14:textId="77777777" w:rsidR="002357D7" w:rsidRPr="001B66AE" w:rsidRDefault="002357D7" w:rsidP="00CD5C7F">
            <w:pPr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  <w:r w:rsidRPr="001B66AE">
              <w:rPr>
                <w:rFonts w:asciiTheme="minorBidi" w:eastAsia="Times New Roman" w:hAnsiTheme="minorBidi"/>
                <w:sz w:val="22"/>
                <w:szCs w:val="22"/>
              </w:rPr>
              <w:t>AH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BE7B5" w14:textId="77777777" w:rsidR="002357D7" w:rsidRPr="001B66AE" w:rsidRDefault="002357D7" w:rsidP="00CD5C7F">
            <w:pPr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  <w:r w:rsidRPr="001B66AE">
              <w:rPr>
                <w:rFonts w:asciiTheme="minorBidi" w:eastAsia="Times New Roman" w:hAnsiTheme="minorBidi"/>
                <w:sz w:val="22"/>
                <w:szCs w:val="22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A4DB87" w14:textId="53F05E97" w:rsidR="002357D7" w:rsidRPr="001B66AE" w:rsidRDefault="002357D7" w:rsidP="00CD5C7F">
            <w:pPr>
              <w:jc w:val="center"/>
              <w:rPr>
                <w:rFonts w:asciiTheme="minorBidi" w:hAnsiTheme="minorBidi"/>
                <w:color w:val="000000"/>
                <w:sz w:val="22"/>
                <w:szCs w:val="22"/>
              </w:rPr>
            </w:pPr>
            <w:r w:rsidRPr="001B66AE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VP</w:t>
            </w:r>
          </w:p>
        </w:tc>
      </w:tr>
      <w:tr w:rsidR="002357D7" w:rsidRPr="00685D35" w14:paraId="4F25EDF6" w14:textId="77777777" w:rsidTr="002357D7">
        <w:trPr>
          <w:trHeight w:val="240"/>
        </w:trPr>
        <w:tc>
          <w:tcPr>
            <w:tcW w:w="949" w:type="dxa"/>
            <w:vMerge/>
            <w:tcBorders>
              <w:left w:val="nil"/>
              <w:right w:val="nil"/>
            </w:tcBorders>
          </w:tcPr>
          <w:p w14:paraId="75328A08" w14:textId="77777777" w:rsidR="002357D7" w:rsidRPr="001B66AE" w:rsidRDefault="002357D7" w:rsidP="00CD5C7F">
            <w:pPr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64B25" w14:textId="77777777" w:rsidR="002357D7" w:rsidRPr="001B66AE" w:rsidRDefault="002357D7" w:rsidP="00CD5C7F">
            <w:pPr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  <w:r w:rsidRPr="001B66AE">
              <w:rPr>
                <w:rFonts w:asciiTheme="minorBidi" w:eastAsia="Times New Roman" w:hAnsiTheme="minorBidi"/>
                <w:sz w:val="22"/>
                <w:szCs w:val="22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D9631" w14:textId="3BB3ADE9" w:rsidR="002357D7" w:rsidRPr="001B66AE" w:rsidRDefault="002357D7" w:rsidP="00CD5C7F">
            <w:pPr>
              <w:jc w:val="center"/>
              <w:rPr>
                <w:rFonts w:asciiTheme="minorBidi" w:hAnsiTheme="minorBidi"/>
                <w:color w:val="000000"/>
                <w:sz w:val="22"/>
                <w:szCs w:val="22"/>
              </w:rPr>
            </w:pPr>
            <w:r w:rsidRPr="001B66AE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VP</w:t>
            </w:r>
          </w:p>
        </w:tc>
      </w:tr>
      <w:tr w:rsidR="002357D7" w:rsidRPr="00685D35" w14:paraId="33EEB94A" w14:textId="77777777" w:rsidTr="002357D7">
        <w:trPr>
          <w:trHeight w:val="240"/>
        </w:trPr>
        <w:tc>
          <w:tcPr>
            <w:tcW w:w="949" w:type="dxa"/>
            <w:vMerge/>
            <w:tcBorders>
              <w:left w:val="nil"/>
              <w:right w:val="nil"/>
            </w:tcBorders>
          </w:tcPr>
          <w:p w14:paraId="7D26CAF5" w14:textId="77777777" w:rsidR="002357D7" w:rsidRPr="001B66AE" w:rsidRDefault="002357D7" w:rsidP="00CD5C7F">
            <w:pPr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51BFA" w14:textId="77777777" w:rsidR="002357D7" w:rsidRPr="001B66AE" w:rsidRDefault="002357D7" w:rsidP="00CD5C7F">
            <w:pPr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  <w:r w:rsidRPr="001B66AE">
              <w:rPr>
                <w:rFonts w:asciiTheme="minorBidi" w:eastAsia="Times New Roman" w:hAnsiTheme="minorBidi"/>
                <w:sz w:val="22"/>
                <w:szCs w:val="22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F3323" w14:textId="2E5A38D4" w:rsidR="002357D7" w:rsidRPr="001B66AE" w:rsidRDefault="002357D7" w:rsidP="00CD5C7F">
            <w:pPr>
              <w:jc w:val="center"/>
              <w:rPr>
                <w:rFonts w:asciiTheme="minorBidi" w:hAnsiTheme="minorBidi"/>
                <w:color w:val="000000"/>
                <w:sz w:val="22"/>
                <w:szCs w:val="22"/>
              </w:rPr>
            </w:pPr>
            <w:r w:rsidRPr="001B66AE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VP</w:t>
            </w:r>
          </w:p>
        </w:tc>
      </w:tr>
      <w:tr w:rsidR="002357D7" w:rsidRPr="00685D35" w14:paraId="7F6B1316" w14:textId="77777777" w:rsidTr="002357D7">
        <w:trPr>
          <w:trHeight w:val="240"/>
        </w:trPr>
        <w:tc>
          <w:tcPr>
            <w:tcW w:w="949" w:type="dxa"/>
            <w:vMerge/>
            <w:tcBorders>
              <w:left w:val="nil"/>
              <w:right w:val="nil"/>
            </w:tcBorders>
          </w:tcPr>
          <w:p w14:paraId="6847165C" w14:textId="77777777" w:rsidR="002357D7" w:rsidRPr="001B66AE" w:rsidRDefault="002357D7" w:rsidP="00CD5C7F">
            <w:pPr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1B665" w14:textId="77777777" w:rsidR="002357D7" w:rsidRPr="001B66AE" w:rsidRDefault="002357D7" w:rsidP="00CD5C7F">
            <w:pPr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  <w:r w:rsidRPr="001B66AE">
              <w:rPr>
                <w:rFonts w:asciiTheme="minorBidi" w:eastAsia="Times New Roman" w:hAnsiTheme="minorBidi"/>
                <w:sz w:val="22"/>
                <w:szCs w:val="22"/>
              </w:rPr>
              <w:t>4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EF48B" w14:textId="39398227" w:rsidR="002357D7" w:rsidRPr="001B66AE" w:rsidRDefault="002357D7" w:rsidP="00CD5C7F">
            <w:pPr>
              <w:jc w:val="center"/>
              <w:rPr>
                <w:rFonts w:asciiTheme="minorBidi" w:hAnsiTheme="minorBidi"/>
                <w:color w:val="000000"/>
                <w:sz w:val="22"/>
                <w:szCs w:val="22"/>
              </w:rPr>
            </w:pPr>
            <w:r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7.6</w:t>
            </w:r>
            <w:r w:rsidRPr="001B66AE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357D7" w:rsidRPr="00685D35" w14:paraId="3E3E2AC0" w14:textId="77777777" w:rsidTr="002357D7">
        <w:trPr>
          <w:trHeight w:val="240"/>
        </w:trPr>
        <w:tc>
          <w:tcPr>
            <w:tcW w:w="949" w:type="dxa"/>
            <w:vMerge/>
            <w:tcBorders>
              <w:left w:val="nil"/>
              <w:bottom w:val="nil"/>
              <w:right w:val="nil"/>
            </w:tcBorders>
          </w:tcPr>
          <w:p w14:paraId="49C82974" w14:textId="77777777" w:rsidR="002357D7" w:rsidRPr="001B66AE" w:rsidRDefault="002357D7" w:rsidP="00CD5C7F">
            <w:pPr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B27BA" w14:textId="77777777" w:rsidR="002357D7" w:rsidRPr="001B66AE" w:rsidRDefault="002357D7" w:rsidP="00CD5C7F">
            <w:pPr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  <w:r w:rsidRPr="001B66AE">
              <w:rPr>
                <w:rFonts w:asciiTheme="minorBidi" w:eastAsia="Times New Roman" w:hAnsiTheme="minorBidi"/>
                <w:sz w:val="22"/>
                <w:szCs w:val="22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FC337" w14:textId="6E42E410" w:rsidR="002357D7" w:rsidRPr="001B66AE" w:rsidRDefault="002357D7" w:rsidP="00CD5C7F">
            <w:pPr>
              <w:jc w:val="center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3.7</w:t>
            </w:r>
            <w:r w:rsidRPr="001B66AE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357D7" w:rsidRPr="00685D35" w14:paraId="1A78969B" w14:textId="77777777" w:rsidTr="002357D7">
        <w:trPr>
          <w:trHeight w:val="240"/>
        </w:trPr>
        <w:tc>
          <w:tcPr>
            <w:tcW w:w="949" w:type="dxa"/>
            <w:tcBorders>
              <w:top w:val="nil"/>
              <w:left w:val="nil"/>
              <w:right w:val="nil"/>
            </w:tcBorders>
          </w:tcPr>
          <w:p w14:paraId="71FAEFF9" w14:textId="77777777" w:rsidR="002357D7" w:rsidRPr="0079680F" w:rsidRDefault="002357D7" w:rsidP="00CD5C7F">
            <w:pPr>
              <w:jc w:val="center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79680F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Median (range)</w:t>
            </w: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516B2" w14:textId="77777777" w:rsidR="002357D7" w:rsidRPr="001B66AE" w:rsidRDefault="002357D7" w:rsidP="00CD5C7F">
            <w:pPr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  <w:vAlign w:val="bottom"/>
          </w:tcPr>
          <w:p w14:paraId="03D49298" w14:textId="05EA3226" w:rsidR="002357D7" w:rsidRPr="0079680F" w:rsidRDefault="002357D7" w:rsidP="00CD5C7F">
            <w:pPr>
              <w:jc w:val="center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79680F"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</w:rPr>
              <w:t>5.6 (3.7-7.6)</w:t>
            </w:r>
          </w:p>
        </w:tc>
      </w:tr>
    </w:tbl>
    <w:p w14:paraId="72698483" w14:textId="07380223" w:rsidR="00097B86" w:rsidRDefault="00097B86" w:rsidP="00097B86">
      <w:pPr>
        <w:rPr>
          <w:sz w:val="22"/>
          <w:szCs w:val="22"/>
        </w:rPr>
      </w:pPr>
    </w:p>
    <w:p w14:paraId="0AB6B69C" w14:textId="1E883380" w:rsidR="002312A2" w:rsidRDefault="002312A2" w:rsidP="00097B86">
      <w:pPr>
        <w:rPr>
          <w:sz w:val="22"/>
          <w:szCs w:val="22"/>
        </w:rPr>
      </w:pPr>
    </w:p>
    <w:p w14:paraId="6A2C6B25" w14:textId="2D9B9A1F" w:rsidR="002312A2" w:rsidRPr="00685D35" w:rsidRDefault="002312A2" w:rsidP="00097B86">
      <w:pPr>
        <w:rPr>
          <w:sz w:val="22"/>
          <w:szCs w:val="22"/>
        </w:rPr>
      </w:pPr>
      <w:r>
        <w:rPr>
          <w:sz w:val="22"/>
          <w:szCs w:val="22"/>
        </w:rPr>
        <w:t>AH, anhepatic phase; VP, viral plateau (slope ~0)</w:t>
      </w:r>
      <w:r w:rsidR="0016209F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14:paraId="783049F9" w14:textId="4DCF95E8" w:rsidR="002357D7" w:rsidRDefault="002357D7" w:rsidP="00097B86">
      <w:pPr>
        <w:rPr>
          <w:rFonts w:ascii="Times New Roman" w:eastAsia="Times New Roman" w:hAnsi="Times New Roman" w:cs="Times New Roman"/>
          <w:color w:val="000000"/>
        </w:rPr>
      </w:pPr>
    </w:p>
    <w:p w14:paraId="2FB6B754" w14:textId="0FA3E763" w:rsidR="0016209F" w:rsidRDefault="0016209F" w:rsidP="00097B86">
      <w:pPr>
        <w:rPr>
          <w:rFonts w:ascii="Times New Roman" w:eastAsia="Times New Roman" w:hAnsi="Times New Roman" w:cs="Times New Roman"/>
          <w:color w:val="000000"/>
        </w:rPr>
      </w:pPr>
    </w:p>
    <w:p w14:paraId="1DF07A96" w14:textId="77777777" w:rsidR="0016209F" w:rsidRDefault="0016209F" w:rsidP="00097B86">
      <w:pPr>
        <w:rPr>
          <w:rFonts w:ascii="Times New Roman" w:eastAsia="Times New Roman" w:hAnsi="Times New Roman" w:cs="Times New Roman"/>
          <w:color w:val="000000"/>
        </w:rPr>
      </w:pPr>
    </w:p>
    <w:p w14:paraId="45A52B70" w14:textId="0192271B" w:rsidR="002357D7" w:rsidRPr="00685D35" w:rsidRDefault="002357D7" w:rsidP="002312A2">
      <w:pPr>
        <w:spacing w:after="160" w:line="259" w:lineRule="auto"/>
        <w:jc w:val="left"/>
        <w:rPr>
          <w:rFonts w:cs="Arial"/>
          <w:b/>
          <w:szCs w:val="22"/>
        </w:rPr>
      </w:pPr>
      <w:r w:rsidRPr="00685D35">
        <w:rPr>
          <w:rFonts w:cs="Arial"/>
          <w:b/>
          <w:szCs w:val="22"/>
        </w:rPr>
        <w:t>Table S</w:t>
      </w:r>
      <w:r w:rsidR="005D6181">
        <w:rPr>
          <w:rFonts w:cs="Arial"/>
          <w:b/>
          <w:bCs/>
          <w:szCs w:val="22"/>
        </w:rPr>
        <w:t>3</w:t>
      </w:r>
      <w:r w:rsidRPr="00685D35">
        <w:rPr>
          <w:rFonts w:cs="Arial"/>
          <w:b/>
          <w:szCs w:val="22"/>
        </w:rPr>
        <w:t>: HCV kinetics during PR</w:t>
      </w:r>
      <w:r w:rsidRPr="00685D35">
        <w:rPr>
          <w:rFonts w:cs="Arial"/>
          <w:szCs w:val="22"/>
        </w:rPr>
        <w:t xml:space="preserve">. </w:t>
      </w:r>
    </w:p>
    <w:tbl>
      <w:tblPr>
        <w:tblW w:w="5662" w:type="dxa"/>
        <w:tblLayout w:type="fixed"/>
        <w:tblCellMar>
          <w:top w:w="72" w:type="dxa"/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949"/>
        <w:gridCol w:w="949"/>
        <w:gridCol w:w="1882"/>
        <w:gridCol w:w="1882"/>
      </w:tblGrid>
      <w:tr w:rsidR="002357D7" w:rsidRPr="00685D35" w14:paraId="6E303F49" w14:textId="77777777" w:rsidTr="00E244F2">
        <w:trPr>
          <w:trHeight w:val="240"/>
        </w:trPr>
        <w:tc>
          <w:tcPr>
            <w:tcW w:w="949" w:type="dxa"/>
            <w:tcBorders>
              <w:left w:val="nil"/>
              <w:bottom w:val="single" w:sz="4" w:space="0" w:color="auto"/>
              <w:right w:val="nil"/>
            </w:tcBorders>
          </w:tcPr>
          <w:p w14:paraId="6C803E87" w14:textId="77777777" w:rsidR="002357D7" w:rsidRPr="00685D35" w:rsidRDefault="002357D7" w:rsidP="00E244F2">
            <w:pPr>
              <w:jc w:val="center"/>
              <w:rPr>
                <w:rFonts w:eastAsia="Times New Roman" w:cs="Arial"/>
                <w:b/>
                <w:bCs/>
              </w:rPr>
            </w:pPr>
          </w:p>
          <w:p w14:paraId="0EEBAEE4" w14:textId="77777777" w:rsidR="002357D7" w:rsidRPr="00685D35" w:rsidRDefault="002357D7" w:rsidP="00E244F2">
            <w:pPr>
              <w:jc w:val="center"/>
              <w:rPr>
                <w:rFonts w:eastAsia="Times New Roman" w:cs="Arial"/>
                <w:b/>
                <w:bCs/>
              </w:rPr>
            </w:pPr>
            <w:r w:rsidRPr="00685D35">
              <w:rPr>
                <w:rFonts w:eastAsia="Times New Roman" w:cs="Arial"/>
                <w:b/>
                <w:bCs/>
              </w:rPr>
              <w:t>Phase</w:t>
            </w:r>
          </w:p>
        </w:tc>
        <w:tc>
          <w:tcPr>
            <w:tcW w:w="9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11F66" w14:textId="77777777" w:rsidR="002357D7" w:rsidRPr="00685D35" w:rsidRDefault="002357D7" w:rsidP="00E244F2">
            <w:pPr>
              <w:jc w:val="center"/>
              <w:rPr>
                <w:rFonts w:eastAsia="Times New Roman" w:cs="Arial"/>
                <w:b/>
                <w:bCs/>
              </w:rPr>
            </w:pPr>
            <w:r w:rsidRPr="00685D35">
              <w:rPr>
                <w:rFonts w:eastAsia="Times New Roman" w:cs="Arial"/>
                <w:b/>
                <w:bCs/>
              </w:rPr>
              <w:t>Case</w:t>
            </w:r>
          </w:p>
        </w:tc>
        <w:tc>
          <w:tcPr>
            <w:tcW w:w="1882" w:type="dxa"/>
            <w:tcBorders>
              <w:left w:val="nil"/>
              <w:bottom w:val="single" w:sz="4" w:space="0" w:color="auto"/>
              <w:right w:val="nil"/>
            </w:tcBorders>
          </w:tcPr>
          <w:p w14:paraId="7A3E32DD" w14:textId="56980803" w:rsidR="002357D7" w:rsidRPr="002312A2" w:rsidRDefault="002357D7" w:rsidP="00E244F2">
            <w:pPr>
              <w:jc w:val="center"/>
              <w:rPr>
                <w:b/>
                <w:bCs/>
                <w:vertAlign w:val="superscript"/>
              </w:rPr>
            </w:pPr>
            <w:r w:rsidRPr="002312A2">
              <w:rPr>
                <w:b/>
                <w:bCs/>
              </w:rPr>
              <w:t>Initial decrease slope (log/day)</w:t>
            </w:r>
            <w:r w:rsidRPr="002312A2">
              <w:rPr>
                <w:b/>
                <w:bCs/>
                <w:vertAlign w:val="superscript"/>
              </w:rPr>
              <w:t>*</w:t>
            </w:r>
          </w:p>
          <w:p w14:paraId="3F324BF0" w14:textId="77777777" w:rsidR="002357D7" w:rsidRPr="00685D35" w:rsidRDefault="002357D7" w:rsidP="00E244F2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2312A2">
              <w:rPr>
                <w:b/>
                <w:bCs/>
              </w:rPr>
              <w:t>and [duration, min]</w:t>
            </w:r>
          </w:p>
        </w:tc>
        <w:tc>
          <w:tcPr>
            <w:tcW w:w="188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7980624" w14:textId="3B356B5E" w:rsidR="002357D7" w:rsidRPr="00685D35" w:rsidRDefault="002357D7" w:rsidP="00E244F2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685D35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Final</w:t>
            </w:r>
            <w:r w:rsidRPr="001B66AE">
              <w:rPr>
                <w:rFonts w:eastAsia="Times New Roman" w:cs="Arial"/>
                <w:b/>
                <w:bCs/>
                <w:color w:val="000000"/>
                <w:sz w:val="22"/>
                <w:szCs w:val="22"/>
                <w:vertAlign w:val="superscript"/>
              </w:rPr>
              <w:t>#</w:t>
            </w:r>
            <w:r w:rsidRPr="00685D35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 xml:space="preserve"> Decrease slope (log/</w:t>
            </w:r>
            <w:r w:rsidR="00220779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day</w:t>
            </w:r>
            <w:r w:rsidRPr="00685D35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)**</w:t>
            </w:r>
          </w:p>
        </w:tc>
      </w:tr>
      <w:tr w:rsidR="002357D7" w:rsidRPr="00685D35" w14:paraId="314ACA40" w14:textId="77777777" w:rsidTr="00E244F2">
        <w:trPr>
          <w:trHeight w:val="240"/>
        </w:trPr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AA1AA" w14:textId="77777777" w:rsidR="002357D7" w:rsidRPr="001B66AE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8E009" w14:textId="77777777" w:rsidR="002357D7" w:rsidRPr="001B66AE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sz w:val="22"/>
                <w:szCs w:val="22"/>
              </w:rPr>
            </w:pPr>
            <w:r w:rsidRPr="001B66AE">
              <w:rPr>
                <w:rFonts w:asciiTheme="minorBidi" w:eastAsia="Times New Roman" w:hAnsiTheme="minorBidi"/>
                <w:sz w:val="22"/>
                <w:szCs w:val="22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774B0" w14:textId="6204BE84" w:rsidR="002357D7" w:rsidRPr="001B66AE" w:rsidRDefault="00220779" w:rsidP="00E244F2">
            <w:pPr>
              <w:jc w:val="center"/>
              <w:outlineLvl w:val="0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66</w:t>
            </w:r>
            <w:r w:rsidR="002357D7" w:rsidRPr="00685D35">
              <w:rPr>
                <w:rFonts w:asciiTheme="minorBidi" w:hAnsiTheme="minorBidi"/>
                <w:sz w:val="22"/>
                <w:szCs w:val="22"/>
              </w:rPr>
              <w:t xml:space="preserve"> [</w:t>
            </w:r>
            <w:r w:rsidR="002357D7" w:rsidRPr="001B66AE">
              <w:rPr>
                <w:rFonts w:asciiTheme="minorBidi" w:hAnsiTheme="minorBidi"/>
                <w:sz w:val="22"/>
                <w:szCs w:val="22"/>
              </w:rPr>
              <w:t>16</w:t>
            </w:r>
            <w:r w:rsidR="002357D7" w:rsidRPr="00685D35">
              <w:rPr>
                <w:rFonts w:asciiTheme="minorBidi" w:hAnsiTheme="minorBidi"/>
                <w:sz w:val="22"/>
                <w:szCs w:val="22"/>
              </w:rPr>
              <w:t>]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845F5A" w14:textId="08D7233A" w:rsidR="002357D7" w:rsidRPr="001B66AE" w:rsidRDefault="00220779" w:rsidP="00E244F2">
            <w:pPr>
              <w:jc w:val="center"/>
              <w:outlineLvl w:val="0"/>
              <w:rPr>
                <w:rFonts w:asciiTheme="minorBidi" w:hAnsiTheme="minorBidi"/>
                <w:color w:val="000000"/>
                <w:sz w:val="22"/>
                <w:szCs w:val="22"/>
              </w:rPr>
            </w:pPr>
            <w:r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6.0</w:t>
            </w:r>
            <w:r w:rsidR="002357D7" w:rsidRPr="001B66AE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357D7" w:rsidRPr="00685D35" w14:paraId="74DC90CC" w14:textId="77777777" w:rsidTr="00E244F2">
        <w:trPr>
          <w:trHeight w:val="240"/>
        </w:trPr>
        <w:tc>
          <w:tcPr>
            <w:tcW w:w="949" w:type="dxa"/>
            <w:vMerge w:val="restart"/>
            <w:tcBorders>
              <w:top w:val="nil"/>
              <w:left w:val="nil"/>
              <w:right w:val="nil"/>
            </w:tcBorders>
          </w:tcPr>
          <w:p w14:paraId="1D3DC8D4" w14:textId="77777777" w:rsidR="002357D7" w:rsidRPr="001B66AE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sz w:val="22"/>
                <w:szCs w:val="22"/>
              </w:rPr>
            </w:pPr>
          </w:p>
          <w:p w14:paraId="664E1CBE" w14:textId="77777777" w:rsidR="002357D7" w:rsidRPr="001B66AE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sz w:val="22"/>
                <w:szCs w:val="22"/>
              </w:rPr>
            </w:pPr>
          </w:p>
          <w:p w14:paraId="5DB199E9" w14:textId="77777777" w:rsidR="002357D7" w:rsidRPr="001B66AE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sz w:val="22"/>
                <w:szCs w:val="22"/>
              </w:rPr>
            </w:pPr>
          </w:p>
          <w:p w14:paraId="016A6746" w14:textId="77777777" w:rsidR="002357D7" w:rsidRPr="001B66AE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1B66AE">
              <w:rPr>
                <w:rFonts w:asciiTheme="minorBidi" w:eastAsia="Times New Roman" w:hAnsiTheme="minorBidi"/>
                <w:sz w:val="22"/>
                <w:szCs w:val="22"/>
              </w:rPr>
              <w:t>RP</w:t>
            </w:r>
          </w:p>
          <w:p w14:paraId="6A08A3EC" w14:textId="77777777" w:rsidR="002357D7" w:rsidRPr="001B66AE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</w:p>
          <w:p w14:paraId="6885771D" w14:textId="77777777" w:rsidR="002357D7" w:rsidRPr="0079680F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79680F"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</w:rPr>
              <w:t>Median (range)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78BCB" w14:textId="77777777" w:rsidR="002357D7" w:rsidRPr="001B66AE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sz w:val="22"/>
                <w:szCs w:val="22"/>
              </w:rPr>
            </w:pPr>
            <w:r w:rsidRPr="001B66AE">
              <w:rPr>
                <w:rFonts w:asciiTheme="minorBidi" w:eastAsia="Times New Roman" w:hAnsiTheme="minorBidi"/>
                <w:sz w:val="22"/>
                <w:szCs w:val="22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4FAD90A" w14:textId="01520B76" w:rsidR="002357D7" w:rsidRPr="001B66AE" w:rsidRDefault="00220779" w:rsidP="00E244F2">
            <w:pPr>
              <w:jc w:val="center"/>
              <w:outlineLvl w:val="0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36</w:t>
            </w:r>
            <w:r w:rsidR="002357D7" w:rsidRPr="00685D35">
              <w:rPr>
                <w:rFonts w:asciiTheme="minorBidi" w:hAnsiTheme="minorBidi"/>
                <w:sz w:val="22"/>
                <w:szCs w:val="22"/>
              </w:rPr>
              <w:t xml:space="preserve"> [</w:t>
            </w:r>
            <w:r w:rsidR="002357D7" w:rsidRPr="001B66AE">
              <w:rPr>
                <w:rFonts w:asciiTheme="minorBidi" w:hAnsiTheme="minorBidi"/>
                <w:sz w:val="22"/>
                <w:szCs w:val="22"/>
              </w:rPr>
              <w:t>22</w:t>
            </w:r>
            <w:r w:rsidR="002357D7" w:rsidRPr="00685D35">
              <w:rPr>
                <w:rFonts w:asciiTheme="minorBidi" w:hAnsiTheme="minorBidi"/>
                <w:sz w:val="22"/>
                <w:szCs w:val="22"/>
              </w:rPr>
              <w:t>]</w:t>
            </w:r>
            <w:r w:rsidR="002357D7" w:rsidRPr="001B66AE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53CDD" w14:textId="69DB6D26" w:rsidR="002357D7" w:rsidRPr="001B66AE" w:rsidRDefault="00220779" w:rsidP="00E244F2">
            <w:pPr>
              <w:jc w:val="center"/>
              <w:outlineLvl w:val="0"/>
              <w:rPr>
                <w:rFonts w:asciiTheme="minorBidi" w:hAnsiTheme="minorBidi"/>
                <w:color w:val="000000"/>
                <w:sz w:val="22"/>
                <w:szCs w:val="22"/>
              </w:rPr>
            </w:pPr>
            <w:r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8.4</w:t>
            </w:r>
            <w:r w:rsidR="002357D7" w:rsidRPr="001B66AE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357D7" w:rsidRPr="00685D35" w14:paraId="65304FFE" w14:textId="77777777" w:rsidTr="00E244F2">
        <w:trPr>
          <w:trHeight w:val="240"/>
        </w:trPr>
        <w:tc>
          <w:tcPr>
            <w:tcW w:w="949" w:type="dxa"/>
            <w:vMerge/>
            <w:tcBorders>
              <w:left w:val="nil"/>
              <w:right w:val="nil"/>
            </w:tcBorders>
          </w:tcPr>
          <w:p w14:paraId="4CABC9E2" w14:textId="77777777" w:rsidR="002357D7" w:rsidRPr="001B66AE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CD2F7" w14:textId="77777777" w:rsidR="002357D7" w:rsidRPr="001B66AE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sz w:val="22"/>
                <w:szCs w:val="22"/>
              </w:rPr>
            </w:pPr>
            <w:r w:rsidRPr="001B66AE">
              <w:rPr>
                <w:rFonts w:asciiTheme="minorBidi" w:eastAsia="Times New Roman" w:hAnsiTheme="minorBidi"/>
                <w:sz w:val="22"/>
                <w:szCs w:val="22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AE65533" w14:textId="4870C869" w:rsidR="002357D7" w:rsidRPr="001B66AE" w:rsidRDefault="00220779" w:rsidP="00E244F2">
            <w:pPr>
              <w:jc w:val="center"/>
              <w:outlineLvl w:val="0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50</w:t>
            </w:r>
            <w:r w:rsidR="002357D7" w:rsidRPr="001B66AE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2357D7" w:rsidRPr="00685D35">
              <w:rPr>
                <w:rFonts w:asciiTheme="minorBidi" w:hAnsiTheme="minorBidi"/>
                <w:sz w:val="22"/>
                <w:szCs w:val="22"/>
              </w:rPr>
              <w:t>[</w:t>
            </w:r>
            <w:r w:rsidR="002357D7" w:rsidRPr="001B66AE">
              <w:rPr>
                <w:rFonts w:asciiTheme="minorBidi" w:hAnsiTheme="minorBidi"/>
                <w:sz w:val="22"/>
                <w:szCs w:val="22"/>
              </w:rPr>
              <w:t>14</w:t>
            </w:r>
            <w:r w:rsidR="002357D7" w:rsidRPr="00685D35">
              <w:rPr>
                <w:rFonts w:asciiTheme="minorBidi" w:hAnsiTheme="minorBidi"/>
                <w:sz w:val="22"/>
                <w:szCs w:val="22"/>
              </w:rPr>
              <w:t>]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F6EF4" w14:textId="151AD860" w:rsidR="002357D7" w:rsidRPr="001B66AE" w:rsidRDefault="00220779" w:rsidP="00E244F2">
            <w:pPr>
              <w:jc w:val="center"/>
              <w:outlineLvl w:val="0"/>
              <w:rPr>
                <w:rFonts w:asciiTheme="minorBidi" w:hAnsiTheme="minorBidi"/>
                <w:color w:val="000000"/>
                <w:sz w:val="22"/>
                <w:szCs w:val="22"/>
              </w:rPr>
            </w:pPr>
            <w:r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5.3</w:t>
            </w:r>
          </w:p>
        </w:tc>
      </w:tr>
      <w:tr w:rsidR="002357D7" w:rsidRPr="00685D35" w14:paraId="28B81B76" w14:textId="77777777" w:rsidTr="00E244F2">
        <w:trPr>
          <w:trHeight w:val="240"/>
        </w:trPr>
        <w:tc>
          <w:tcPr>
            <w:tcW w:w="949" w:type="dxa"/>
            <w:vMerge/>
            <w:tcBorders>
              <w:left w:val="nil"/>
              <w:right w:val="nil"/>
            </w:tcBorders>
          </w:tcPr>
          <w:p w14:paraId="0979BCD0" w14:textId="77777777" w:rsidR="002357D7" w:rsidRPr="001B66AE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D1C81" w14:textId="77777777" w:rsidR="002357D7" w:rsidRPr="001B66AE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sz w:val="22"/>
                <w:szCs w:val="22"/>
              </w:rPr>
            </w:pPr>
            <w:r w:rsidRPr="001B66AE">
              <w:rPr>
                <w:rFonts w:asciiTheme="minorBidi" w:eastAsia="Times New Roman" w:hAnsiTheme="minorBidi"/>
                <w:sz w:val="22"/>
                <w:szCs w:val="22"/>
              </w:rPr>
              <w:t>4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F4B4966" w14:textId="1D056FA3" w:rsidR="002357D7" w:rsidRPr="001B66AE" w:rsidRDefault="00220779" w:rsidP="00E244F2">
            <w:pPr>
              <w:jc w:val="center"/>
              <w:outlineLvl w:val="0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49</w:t>
            </w:r>
            <w:r w:rsidR="002357D7" w:rsidRPr="00685D35">
              <w:rPr>
                <w:rFonts w:asciiTheme="minorBidi" w:hAnsiTheme="minorBidi"/>
                <w:sz w:val="22"/>
                <w:szCs w:val="22"/>
              </w:rPr>
              <w:t xml:space="preserve"> [11]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B7AF0" w14:textId="1CF46F26" w:rsidR="002357D7" w:rsidRPr="001B66AE" w:rsidRDefault="00220779" w:rsidP="00E244F2">
            <w:pPr>
              <w:jc w:val="center"/>
              <w:outlineLvl w:val="0"/>
              <w:rPr>
                <w:rFonts w:asciiTheme="minorBidi" w:hAnsiTheme="minorBidi"/>
                <w:color w:val="000000"/>
                <w:sz w:val="22"/>
                <w:szCs w:val="22"/>
              </w:rPr>
            </w:pPr>
            <w:r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8.8</w:t>
            </w:r>
            <w:r w:rsidR="002357D7" w:rsidRPr="001B66AE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357D7" w:rsidRPr="00685D35" w14:paraId="4EF720EF" w14:textId="77777777" w:rsidTr="00E244F2">
        <w:trPr>
          <w:trHeight w:val="240"/>
        </w:trPr>
        <w:tc>
          <w:tcPr>
            <w:tcW w:w="949" w:type="dxa"/>
            <w:vMerge/>
            <w:tcBorders>
              <w:left w:val="nil"/>
              <w:right w:val="nil"/>
            </w:tcBorders>
          </w:tcPr>
          <w:p w14:paraId="3A024247" w14:textId="77777777" w:rsidR="002357D7" w:rsidRPr="001B66AE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5716B" w14:textId="5F6F9445" w:rsidR="002357D7" w:rsidRPr="001B66AE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sz w:val="22"/>
                <w:szCs w:val="22"/>
              </w:rPr>
            </w:pPr>
            <w:r w:rsidRPr="001B66AE">
              <w:rPr>
                <w:rFonts w:asciiTheme="minorBidi" w:eastAsia="Times New Roman" w:hAnsiTheme="minorBidi"/>
                <w:sz w:val="22"/>
                <w:szCs w:val="22"/>
              </w:rPr>
              <w:t>5</w:t>
            </w:r>
            <w:r w:rsidR="0024317F" w:rsidRPr="0024317F">
              <w:rPr>
                <w:rFonts w:asciiTheme="minorBidi" w:eastAsia="Times New Roman" w:hAnsiTheme="minorBidi"/>
                <w:sz w:val="22"/>
                <w:szCs w:val="22"/>
                <w:vertAlign w:val="superscript"/>
              </w:rPr>
              <w:t>@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2CCBE41" w14:textId="77777777" w:rsidR="002357D7" w:rsidRPr="001B66AE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 w:rsidRPr="001B66AE">
              <w:rPr>
                <w:rFonts w:asciiTheme="minorBidi" w:hAnsiTheme="minorBidi"/>
                <w:sz w:val="22"/>
                <w:szCs w:val="22"/>
              </w:rP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BC024" w14:textId="024FF1AD" w:rsidR="002357D7" w:rsidRPr="001B66AE" w:rsidRDefault="00220779" w:rsidP="00E244F2">
            <w:pPr>
              <w:jc w:val="center"/>
              <w:outlineLvl w:val="0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  <w:r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>1.4</w:t>
            </w:r>
            <w:r w:rsidR="002357D7" w:rsidRPr="001B66AE"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357D7" w:rsidRPr="00685D35" w14:paraId="10502957" w14:textId="77777777" w:rsidTr="00E244F2">
        <w:trPr>
          <w:trHeight w:val="240"/>
        </w:trPr>
        <w:tc>
          <w:tcPr>
            <w:tcW w:w="949" w:type="dxa"/>
            <w:vMerge/>
            <w:tcBorders>
              <w:left w:val="nil"/>
              <w:bottom w:val="nil"/>
              <w:right w:val="nil"/>
            </w:tcBorders>
          </w:tcPr>
          <w:p w14:paraId="79B75453" w14:textId="77777777" w:rsidR="002357D7" w:rsidRPr="001B66AE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AFCC0" w14:textId="77777777" w:rsidR="002357D7" w:rsidRPr="0079680F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i/>
                <w:iCs/>
                <w:color w:val="000000"/>
                <w:sz w:val="22"/>
                <w:szCs w:val="22"/>
              </w:rPr>
            </w:pPr>
          </w:p>
          <w:p w14:paraId="512F0A52" w14:textId="77777777" w:rsidR="002357D7" w:rsidRPr="0079680F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i/>
                <w:iCs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4ABCAF3" w14:textId="5F2B72B4" w:rsidR="002357D7" w:rsidRPr="0079680F" w:rsidRDefault="00220779" w:rsidP="00E244F2">
            <w:pPr>
              <w:jc w:val="center"/>
              <w:outlineLvl w:val="0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79680F">
              <w:rPr>
                <w:rFonts w:asciiTheme="minorBidi" w:hAnsiTheme="minorBidi"/>
                <w:b/>
                <w:bCs/>
                <w:sz w:val="22"/>
                <w:szCs w:val="22"/>
              </w:rPr>
              <w:t>50</w:t>
            </w:r>
          </w:p>
          <w:p w14:paraId="1D9599FB" w14:textId="656F34E6" w:rsidR="002357D7" w:rsidRPr="0079680F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i/>
                <w:iCs/>
                <w:color w:val="000000"/>
                <w:sz w:val="22"/>
                <w:szCs w:val="22"/>
              </w:rPr>
            </w:pPr>
            <w:r w:rsidRPr="0079680F">
              <w:rPr>
                <w:rFonts w:asciiTheme="minorBidi" w:hAnsiTheme="minorBidi"/>
                <w:b/>
                <w:bCs/>
                <w:sz w:val="22"/>
                <w:szCs w:val="22"/>
              </w:rPr>
              <w:t>(</w:t>
            </w:r>
            <w:r w:rsidR="00220779" w:rsidRPr="0079680F">
              <w:rPr>
                <w:rFonts w:asciiTheme="minorBidi" w:hAnsiTheme="minorBidi"/>
                <w:b/>
                <w:bCs/>
                <w:sz w:val="22"/>
                <w:szCs w:val="22"/>
              </w:rPr>
              <w:t>36</w:t>
            </w:r>
            <w:r w:rsidRPr="0079680F">
              <w:rPr>
                <w:rFonts w:asciiTheme="minorBidi" w:hAnsiTheme="minorBidi"/>
                <w:b/>
                <w:bCs/>
                <w:sz w:val="22"/>
                <w:szCs w:val="22"/>
              </w:rPr>
              <w:t>-</w:t>
            </w:r>
            <w:r w:rsidR="00220779" w:rsidRPr="0079680F">
              <w:rPr>
                <w:rFonts w:asciiTheme="minorBidi" w:hAnsiTheme="minorBidi"/>
                <w:b/>
                <w:bCs/>
                <w:sz w:val="22"/>
                <w:szCs w:val="22"/>
              </w:rPr>
              <w:t>66</w:t>
            </w:r>
            <w:r w:rsidRPr="0079680F">
              <w:rPr>
                <w:rFonts w:asciiTheme="minorBidi" w:hAnsi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0F386" w14:textId="124C7164" w:rsidR="002357D7" w:rsidRPr="0079680F" w:rsidRDefault="00220779" w:rsidP="00E244F2">
            <w:pPr>
              <w:jc w:val="center"/>
              <w:outlineLvl w:val="0"/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</w:rPr>
            </w:pPr>
            <w:r w:rsidRPr="0079680F"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</w:rPr>
              <w:t>6.0</w:t>
            </w:r>
          </w:p>
          <w:p w14:paraId="49CB1E24" w14:textId="1FE136AF" w:rsidR="002357D7" w:rsidRPr="0079680F" w:rsidRDefault="002357D7" w:rsidP="00E244F2">
            <w:pPr>
              <w:jc w:val="center"/>
              <w:outlineLvl w:val="0"/>
              <w:rPr>
                <w:rFonts w:asciiTheme="minorBidi" w:eastAsia="Times New Roman" w:hAnsiTheme="minorBidi"/>
                <w:i/>
                <w:iCs/>
                <w:color w:val="000000"/>
                <w:sz w:val="22"/>
                <w:szCs w:val="22"/>
              </w:rPr>
            </w:pPr>
            <w:r w:rsidRPr="0079680F"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</w:rPr>
              <w:t>(</w:t>
            </w:r>
            <w:r w:rsidR="00220779" w:rsidRPr="0079680F"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</w:rPr>
              <w:t>1.4-8.8</w:t>
            </w:r>
            <w:r w:rsidRPr="0079680F">
              <w:rPr>
                <w:rFonts w:asciiTheme="minorBidi" w:eastAsia="Times New Roman" w:hAnsiTheme="minorBid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</w:tbl>
    <w:p w14:paraId="2B6087CE" w14:textId="77777777" w:rsidR="0079680F" w:rsidRPr="00685D35" w:rsidRDefault="0079680F" w:rsidP="002357D7">
      <w:pPr>
        <w:rPr>
          <w:sz w:val="22"/>
          <w:szCs w:val="22"/>
        </w:rPr>
      </w:pPr>
    </w:p>
    <w:p w14:paraId="44F62231" w14:textId="11D45D6B" w:rsidR="002357D7" w:rsidRPr="0079680F" w:rsidRDefault="002357D7" w:rsidP="0079680F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9680F">
        <w:rPr>
          <w:rFonts w:ascii="Times New Roman" w:hAnsi="Times New Roman" w:cs="Times New Roman"/>
          <w:sz w:val="22"/>
          <w:szCs w:val="22"/>
          <w:vertAlign w:val="superscript"/>
        </w:rPr>
        <w:t>@</w:t>
      </w:r>
      <w:r w:rsidRPr="0079680F">
        <w:rPr>
          <w:rFonts w:ascii="Times New Roman" w:hAnsi="Times New Roman" w:cs="Times New Roman"/>
          <w:sz w:val="22"/>
          <w:szCs w:val="22"/>
        </w:rPr>
        <w:t xml:space="preserve">, For Case 5 during </w:t>
      </w:r>
      <w:r w:rsidR="002312A2" w:rsidRPr="0079680F">
        <w:rPr>
          <w:rFonts w:ascii="Times New Roman" w:eastAsia="Times New Roman" w:hAnsi="Times New Roman" w:cs="Times New Roman"/>
          <w:color w:val="000000"/>
          <w:sz w:val="22"/>
          <w:szCs w:val="22"/>
        </w:rPr>
        <w:t>graft reperfusion (</w:t>
      </w:r>
      <w:r w:rsidRPr="0079680F">
        <w:rPr>
          <w:rFonts w:ascii="Times New Roman" w:hAnsi="Times New Roman" w:cs="Times New Roman"/>
          <w:sz w:val="22"/>
          <w:szCs w:val="22"/>
        </w:rPr>
        <w:t>RP</w:t>
      </w:r>
      <w:r w:rsidR="002312A2" w:rsidRPr="0079680F">
        <w:rPr>
          <w:rFonts w:ascii="Times New Roman" w:hAnsi="Times New Roman" w:cs="Times New Roman"/>
          <w:sz w:val="22"/>
          <w:szCs w:val="22"/>
        </w:rPr>
        <w:t>)</w:t>
      </w:r>
      <w:r w:rsidRPr="0079680F">
        <w:rPr>
          <w:rFonts w:ascii="Times New Roman" w:hAnsi="Times New Roman" w:cs="Times New Roman"/>
          <w:sz w:val="22"/>
          <w:szCs w:val="22"/>
        </w:rPr>
        <w:t xml:space="preserve"> only one slope was estimated</w:t>
      </w:r>
      <w:r w:rsidR="0024317F" w:rsidRPr="0079680F">
        <w:rPr>
          <w:rFonts w:ascii="Times New Roman" w:hAnsi="Times New Roman" w:cs="Times New Roman"/>
          <w:sz w:val="22"/>
          <w:szCs w:val="22"/>
        </w:rPr>
        <w:t xml:space="preserve"> from </w:t>
      </w:r>
      <w:r w:rsidR="0024317F" w:rsidRPr="0079680F">
        <w:rPr>
          <w:rFonts w:ascii="Times New Roman" w:eastAsia="Times New Roman" w:hAnsi="Times New Roman" w:cs="Times New Roman"/>
          <w:color w:val="000000"/>
          <w:sz w:val="22"/>
          <w:szCs w:val="22"/>
        </w:rPr>
        <w:t>the last point of AH phase until 4 hr post R</w:t>
      </w:r>
      <w:r w:rsidR="0024317F" w:rsidRPr="0079680F">
        <w:rPr>
          <w:rFonts w:ascii="Times New Roman" w:hAnsi="Times New Roman" w:cs="Times New Roman"/>
          <w:sz w:val="22"/>
          <w:szCs w:val="22"/>
        </w:rPr>
        <w:t>P</w:t>
      </w:r>
      <w:r w:rsidRPr="0079680F">
        <w:rPr>
          <w:rFonts w:ascii="Times New Roman" w:hAnsi="Times New Roman" w:cs="Times New Roman"/>
          <w:sz w:val="22"/>
          <w:szCs w:val="22"/>
        </w:rPr>
        <w:t xml:space="preserve">; </w:t>
      </w:r>
      <w:r w:rsidRPr="0079680F">
        <w:rPr>
          <w:rFonts w:ascii="Times New Roman" w:hAnsi="Times New Roman" w:cs="Times New Roman"/>
          <w:sz w:val="22"/>
          <w:szCs w:val="22"/>
          <w:vertAlign w:val="superscript"/>
        </w:rPr>
        <w:t>#</w:t>
      </w:r>
      <w:r w:rsidRPr="0079680F">
        <w:rPr>
          <w:rFonts w:ascii="Times New Roman" w:hAnsi="Times New Roman" w:cs="Times New Roman"/>
          <w:sz w:val="22"/>
          <w:szCs w:val="22"/>
        </w:rPr>
        <w:t>, For Cases 1-4 during RP, an initial rapid decrease is estimated, followed by a slower/final decrease;</w:t>
      </w:r>
      <w:r w:rsidRPr="007968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vertAlign w:val="superscript"/>
        </w:rPr>
        <w:t>*</w:t>
      </w:r>
      <w:r w:rsidRPr="007968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79680F" w:rsidRPr="007968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2312A2" w:rsidRPr="0079680F">
        <w:rPr>
          <w:rFonts w:ascii="Times New Roman" w:eastAsia="Times New Roman" w:hAnsi="Times New Roman" w:cs="Times New Roman"/>
          <w:color w:val="000000"/>
          <w:sz w:val="22"/>
          <w:szCs w:val="22"/>
        </w:rPr>
        <w:t>Slopes were calculated by taking the measured viral load (VL) of the last point of AH phase and the first 3 points of RP phase;</w:t>
      </w:r>
      <w:r w:rsidRPr="007968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vertAlign w:val="superscript"/>
        </w:rPr>
        <w:t>**</w:t>
      </w:r>
      <w:r w:rsidR="002312A2" w:rsidRPr="007968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680F" w:rsidRPr="007C0E7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24317F" w:rsidRPr="007968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VL after the first 3 points of RP until 4 hr post RP </w:t>
      </w:r>
      <w:r w:rsidRPr="0079680F">
        <w:rPr>
          <w:rFonts w:ascii="Times New Roman" w:eastAsia="Times New Roman" w:hAnsi="Times New Roman" w:cs="Times New Roman"/>
          <w:color w:val="000000"/>
          <w:sz w:val="22"/>
          <w:szCs w:val="22"/>
        </w:rPr>
        <w:t>were used.</w:t>
      </w:r>
    </w:p>
    <w:p w14:paraId="6BD42BE7" w14:textId="77777777" w:rsidR="002357D7" w:rsidRPr="001B66AE" w:rsidRDefault="002357D7" w:rsidP="00097B86">
      <w:pPr>
        <w:rPr>
          <w:rFonts w:ascii="Times New Roman" w:eastAsia="Times New Roman" w:hAnsi="Times New Roman" w:cs="Times New Roman"/>
          <w:color w:val="000000"/>
        </w:rPr>
      </w:pPr>
    </w:p>
    <w:p w14:paraId="2621D14C" w14:textId="77777777" w:rsidR="00097B86" w:rsidRPr="00685D35" w:rsidRDefault="00097B86" w:rsidP="00B640AC">
      <w:pPr>
        <w:rPr>
          <w:rFonts w:cs="Arial"/>
          <w:b/>
          <w:szCs w:val="22"/>
        </w:rPr>
      </w:pPr>
    </w:p>
    <w:p w14:paraId="4484BFF1" w14:textId="55346F42" w:rsidR="0016404A" w:rsidRPr="00685D35" w:rsidRDefault="0016404A" w:rsidP="00B640AC">
      <w:pPr>
        <w:rPr>
          <w:rFonts w:cs="Arial"/>
          <w:b/>
          <w:szCs w:val="22"/>
        </w:rPr>
      </w:pPr>
    </w:p>
    <w:p w14:paraId="36685C40" w14:textId="77777777" w:rsidR="00B640AC" w:rsidRPr="00685D35" w:rsidRDefault="00B640AC" w:rsidP="00B640AC">
      <w:pPr>
        <w:rPr>
          <w:rFonts w:cs="Arial"/>
          <w:sz w:val="22"/>
          <w:szCs w:val="22"/>
        </w:rPr>
      </w:pPr>
      <w:r w:rsidRPr="00250F8F">
        <w:rPr>
          <w:rFonts w:cs="Arial"/>
          <w:noProof/>
          <w:sz w:val="22"/>
          <w:szCs w:val="22"/>
          <w:lang w:eastAsia="en-US"/>
        </w:rPr>
        <w:drawing>
          <wp:inline distT="0" distB="0" distL="0" distR="0" wp14:anchorId="26A03C18" wp14:editId="4C8ABCF3">
            <wp:extent cx="6796677" cy="2831949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g1_viral_kinetics_allPats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6677" cy="283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7C7BC" w14:textId="77777777" w:rsidR="00B640AC" w:rsidRPr="00685D35" w:rsidRDefault="00B640AC" w:rsidP="00B640AC">
      <w:pPr>
        <w:jc w:val="center"/>
        <w:rPr>
          <w:rFonts w:cs="Arial"/>
          <w:sz w:val="22"/>
          <w:szCs w:val="22"/>
        </w:rPr>
      </w:pPr>
    </w:p>
    <w:p w14:paraId="78ED5B00" w14:textId="0830049B" w:rsidR="008A7E0A" w:rsidRPr="001B66AE" w:rsidRDefault="00B640AC" w:rsidP="006D734D">
      <w:pPr>
        <w:pStyle w:val="Caption"/>
        <w:rPr>
          <w:rFonts w:ascii="Times New Roman" w:hAnsi="Times New Roman" w:cs="Times New Roman"/>
          <w:sz w:val="24"/>
          <w:szCs w:val="24"/>
        </w:rPr>
      </w:pPr>
      <w:r w:rsidRPr="001B66AE">
        <w:rPr>
          <w:rFonts w:ascii="Times New Roman" w:hAnsi="Times New Roman" w:cs="Times New Roman"/>
          <w:b/>
          <w:bCs w:val="0"/>
          <w:sz w:val="24"/>
          <w:szCs w:val="24"/>
        </w:rPr>
        <w:t>Figure S</w:t>
      </w:r>
      <w:r w:rsidRPr="001B66AE">
        <w:rPr>
          <w:rFonts w:ascii="Times New Roman" w:hAnsi="Times New Roman" w:cs="Times New Roman"/>
          <w:b/>
          <w:bCs w:val="0"/>
          <w:sz w:val="24"/>
          <w:szCs w:val="24"/>
        </w:rPr>
        <w:fldChar w:fldCharType="begin"/>
      </w:r>
      <w:r w:rsidRPr="001B66AE">
        <w:rPr>
          <w:rFonts w:ascii="Times New Roman" w:hAnsi="Times New Roman" w:cs="Times New Roman"/>
          <w:b/>
          <w:bCs w:val="0"/>
          <w:sz w:val="24"/>
          <w:szCs w:val="24"/>
        </w:rPr>
        <w:instrText xml:space="preserve"> SEQ Figure \* ARABIC </w:instrText>
      </w:r>
      <w:r w:rsidRPr="001B66AE">
        <w:rPr>
          <w:rFonts w:ascii="Times New Roman" w:hAnsi="Times New Roman" w:cs="Times New Roman"/>
          <w:b/>
          <w:bCs w:val="0"/>
          <w:sz w:val="24"/>
          <w:szCs w:val="24"/>
        </w:rPr>
        <w:fldChar w:fldCharType="separate"/>
      </w:r>
      <w:r w:rsidRPr="001B66AE">
        <w:rPr>
          <w:rFonts w:ascii="Times New Roman" w:hAnsi="Times New Roman" w:cs="Times New Roman"/>
          <w:b/>
          <w:bCs w:val="0"/>
          <w:noProof/>
          <w:sz w:val="24"/>
          <w:szCs w:val="24"/>
        </w:rPr>
        <w:t>1</w:t>
      </w:r>
      <w:r w:rsidRPr="001B66AE">
        <w:rPr>
          <w:rFonts w:ascii="Times New Roman" w:hAnsi="Times New Roman" w:cs="Times New Roman"/>
          <w:b/>
          <w:bCs w:val="0"/>
          <w:sz w:val="24"/>
          <w:szCs w:val="24"/>
        </w:rPr>
        <w:fldChar w:fldCharType="end"/>
      </w:r>
      <w:r w:rsidRPr="001B66AE">
        <w:rPr>
          <w:rFonts w:ascii="Times New Roman" w:hAnsi="Times New Roman" w:cs="Times New Roman"/>
          <w:sz w:val="24"/>
          <w:szCs w:val="24"/>
        </w:rPr>
        <w:t xml:space="preserve">: Virus kinetics of five HCV infected patient before, during and after liver transplantation. Surgery was initiated at </w:t>
      </w:r>
      <w:r w:rsidRPr="001B66AE">
        <w:rPr>
          <w:rFonts w:ascii="Times New Roman" w:hAnsi="Times New Roman" w:cs="Times New Roman"/>
          <w:i/>
          <w:sz w:val="24"/>
          <w:szCs w:val="24"/>
        </w:rPr>
        <w:t>t = 0</w:t>
      </w:r>
      <w:r w:rsidRPr="001B66AE">
        <w:rPr>
          <w:rFonts w:ascii="Times New Roman" w:hAnsi="Times New Roman" w:cs="Times New Roman"/>
          <w:sz w:val="24"/>
          <w:szCs w:val="24"/>
        </w:rPr>
        <w:t>.</w:t>
      </w:r>
      <w:r w:rsidR="00AC3701" w:rsidRPr="001B66AE">
        <w:rPr>
          <w:rFonts w:ascii="Times New Roman" w:hAnsi="Times New Roman" w:cs="Times New Roman"/>
          <w:sz w:val="24"/>
          <w:szCs w:val="24"/>
        </w:rPr>
        <w:t xml:space="preserve"> </w:t>
      </w:r>
      <w:r w:rsidR="008A7E0A" w:rsidRPr="001B66AE">
        <w:rPr>
          <w:rFonts w:ascii="Times New Roman" w:hAnsi="Times New Roman" w:cs="Times New Roman"/>
          <w:sz w:val="24"/>
          <w:szCs w:val="24"/>
        </w:rPr>
        <w:t xml:space="preserve">In all patients, virus levels decreased after graft reperfusion. A nadir was reached after a median time of 15 h (range 9-87 h) post RP. HCV RNA resurged within 7 days after RP, with 3 of 5 </w:t>
      </w:r>
      <w:r w:rsidR="009E4A01">
        <w:rPr>
          <w:rFonts w:ascii="Times New Roman" w:hAnsi="Times New Roman" w:cs="Times New Roman"/>
          <w:sz w:val="24"/>
          <w:szCs w:val="24"/>
        </w:rPr>
        <w:t xml:space="preserve">Cases </w:t>
      </w:r>
      <w:r w:rsidR="008A7E0A" w:rsidRPr="001B66AE">
        <w:rPr>
          <w:rFonts w:ascii="Times New Roman" w:hAnsi="Times New Roman" w:cs="Times New Roman"/>
          <w:sz w:val="24"/>
          <w:szCs w:val="24"/>
        </w:rPr>
        <w:t xml:space="preserve">reaching greater or comparable viral levels to those observed at baseline. </w:t>
      </w:r>
      <w:r w:rsidR="00AC3701" w:rsidRPr="001B66AE">
        <w:rPr>
          <w:rFonts w:ascii="Times New Roman" w:hAnsi="Times New Roman" w:cs="Times New Roman"/>
          <w:sz w:val="24"/>
          <w:szCs w:val="24"/>
        </w:rPr>
        <w:t xml:space="preserve">For the remaining 2 </w:t>
      </w:r>
      <w:r w:rsidR="009E4A01">
        <w:rPr>
          <w:rFonts w:ascii="Times New Roman" w:hAnsi="Times New Roman" w:cs="Times New Roman"/>
          <w:sz w:val="24"/>
          <w:szCs w:val="24"/>
        </w:rPr>
        <w:t>Case</w:t>
      </w:r>
      <w:r w:rsidR="00AC3701" w:rsidRPr="001B66AE">
        <w:rPr>
          <w:rFonts w:ascii="Times New Roman" w:hAnsi="Times New Roman" w:cs="Times New Roman"/>
          <w:sz w:val="24"/>
          <w:szCs w:val="24"/>
        </w:rPr>
        <w:t>s, t</w:t>
      </w:r>
      <w:r w:rsidR="008A7E0A" w:rsidRPr="001B66AE">
        <w:rPr>
          <w:rFonts w:ascii="Times New Roman" w:hAnsi="Times New Roman" w:cs="Times New Roman"/>
          <w:sz w:val="24"/>
          <w:szCs w:val="24"/>
        </w:rPr>
        <w:t xml:space="preserve">he corresponding viral loads were 0.87 and 0.43 log10 IU/mL lower than those just before surgery. Interestingly, HCV RNA levels in </w:t>
      </w:r>
      <w:r w:rsidR="009E4A01">
        <w:rPr>
          <w:rFonts w:ascii="Times New Roman" w:hAnsi="Times New Roman" w:cs="Times New Roman"/>
          <w:sz w:val="24"/>
          <w:szCs w:val="24"/>
        </w:rPr>
        <w:t>Case 5</w:t>
      </w:r>
      <w:r w:rsidR="008A7E0A" w:rsidRPr="001B66AE">
        <w:rPr>
          <w:rFonts w:ascii="Times New Roman" w:hAnsi="Times New Roman" w:cs="Times New Roman"/>
          <w:sz w:val="24"/>
          <w:szCs w:val="24"/>
        </w:rPr>
        <w:t xml:space="preserve"> remained in a lower plateau from 11 hours post-surgery until the end of follow up period (slope &lt; 0.001, p = 0.76), with a corresponding viral load of 2.45 ± 0.002 log10 IU/mL.</w:t>
      </w:r>
    </w:p>
    <w:p w14:paraId="483B3A90" w14:textId="467702C7" w:rsidR="00A31AB8" w:rsidRDefault="00A31AB8">
      <w:pPr>
        <w:spacing w:after="160" w:line="259" w:lineRule="auto"/>
        <w:jc w:val="left"/>
      </w:pPr>
      <w:r>
        <w:br w:type="page"/>
      </w:r>
    </w:p>
    <w:p w14:paraId="5EB25592" w14:textId="77777777" w:rsidR="00250F8F" w:rsidRDefault="00250F8F" w:rsidP="00250F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6"/>
        <w:gridCol w:w="3234"/>
      </w:tblGrid>
      <w:tr w:rsidR="00A31AB8" w14:paraId="1BD2264E" w14:textId="77777777" w:rsidTr="003E3DB2">
        <w:trPr>
          <w:trHeight w:val="1250"/>
        </w:trPr>
        <w:tc>
          <w:tcPr>
            <w:tcW w:w="7216" w:type="dxa"/>
          </w:tcPr>
          <w:p w14:paraId="54DF47C0" w14:textId="0AE55F5F" w:rsidR="00A31AB8" w:rsidRDefault="00A31AB8" w:rsidP="00250F8F">
            <w:r>
              <w:rPr>
                <w:noProof/>
                <w:lang w:eastAsia="en-US"/>
              </w:rPr>
              <w:drawing>
                <wp:inline distT="0" distB="0" distL="0" distR="0" wp14:anchorId="1C88680D" wp14:editId="2D686910">
                  <wp:extent cx="4356100" cy="124460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schematic-A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vAlign w:val="center"/>
          </w:tcPr>
          <w:p w14:paraId="14D072D6" w14:textId="570F859A" w:rsidR="00A31AB8" w:rsidRDefault="00A31AB8" w:rsidP="003E3DB2">
            <w:pPr>
              <w:jc w:val="center"/>
            </w:pPr>
            <w:r>
              <w:t>Equation 1</w:t>
            </w:r>
          </w:p>
        </w:tc>
      </w:tr>
      <w:tr w:rsidR="00A31AB8" w14:paraId="18DA9F91" w14:textId="77777777" w:rsidTr="003E3DB2">
        <w:trPr>
          <w:trHeight w:val="2312"/>
        </w:trPr>
        <w:tc>
          <w:tcPr>
            <w:tcW w:w="7216" w:type="dxa"/>
          </w:tcPr>
          <w:p w14:paraId="68143867" w14:textId="5AA6AD6F" w:rsidR="00A31AB8" w:rsidRDefault="00A31AB8" w:rsidP="00A31AB8">
            <w:r>
              <w:rPr>
                <w:noProof/>
                <w:lang w:eastAsia="en-US"/>
              </w:rPr>
              <w:drawing>
                <wp:inline distT="0" distB="0" distL="0" distR="0" wp14:anchorId="475864F9" wp14:editId="18ACC170">
                  <wp:extent cx="4368800" cy="1371600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schematic-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vAlign w:val="center"/>
          </w:tcPr>
          <w:p w14:paraId="6AC4BEDA" w14:textId="2600A53E" w:rsidR="00A31AB8" w:rsidRDefault="00A31AB8" w:rsidP="003E3DB2">
            <w:pPr>
              <w:jc w:val="center"/>
            </w:pPr>
            <w:r>
              <w:t>Equation 3</w:t>
            </w:r>
          </w:p>
        </w:tc>
      </w:tr>
      <w:tr w:rsidR="00A31AB8" w14:paraId="09703C3A" w14:textId="77777777" w:rsidTr="003E3DB2">
        <w:trPr>
          <w:trHeight w:val="2294"/>
        </w:trPr>
        <w:tc>
          <w:tcPr>
            <w:tcW w:w="7216" w:type="dxa"/>
          </w:tcPr>
          <w:p w14:paraId="16284695" w14:textId="0A873ED9" w:rsidR="00A31AB8" w:rsidRDefault="00A31AB8" w:rsidP="00A31AB8">
            <w:r>
              <w:rPr>
                <w:noProof/>
                <w:lang w:eastAsia="en-US"/>
              </w:rPr>
              <w:drawing>
                <wp:inline distT="0" distB="0" distL="0" distR="0" wp14:anchorId="0182CA27" wp14:editId="0EA9F2D3">
                  <wp:extent cx="4103076" cy="1519657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schematic-C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076" cy="1519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vAlign w:val="center"/>
          </w:tcPr>
          <w:p w14:paraId="222891DB" w14:textId="3237E7B4" w:rsidR="00A31AB8" w:rsidRDefault="00A31AB8" w:rsidP="003E3DB2">
            <w:pPr>
              <w:jc w:val="center"/>
            </w:pPr>
            <w:r>
              <w:t>Equation 4</w:t>
            </w:r>
          </w:p>
        </w:tc>
      </w:tr>
      <w:tr w:rsidR="00A31AB8" w14:paraId="166AD95B" w14:textId="77777777" w:rsidTr="003E3DB2">
        <w:trPr>
          <w:trHeight w:val="2375"/>
        </w:trPr>
        <w:tc>
          <w:tcPr>
            <w:tcW w:w="7216" w:type="dxa"/>
          </w:tcPr>
          <w:p w14:paraId="31C3435B" w14:textId="69019EA4" w:rsidR="00A31AB8" w:rsidRDefault="00A31AB8" w:rsidP="00A31AB8">
            <w:r>
              <w:rPr>
                <w:noProof/>
                <w:lang w:eastAsia="en-US"/>
              </w:rPr>
              <w:drawing>
                <wp:inline distT="0" distB="0" distL="0" distR="0" wp14:anchorId="7E2FF193" wp14:editId="469A8B55">
                  <wp:extent cx="4064000" cy="1554257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schematic-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0" cy="1554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vAlign w:val="center"/>
          </w:tcPr>
          <w:p w14:paraId="6ADA12AF" w14:textId="77777777" w:rsidR="00A31AB8" w:rsidRDefault="00A31AB8" w:rsidP="00A31AB8">
            <w:pPr>
              <w:jc w:val="center"/>
            </w:pPr>
            <w:r>
              <w:t>Not Modelled</w:t>
            </w:r>
          </w:p>
          <w:p w14:paraId="1C5A06F1" w14:textId="77777777" w:rsidR="00A31AB8" w:rsidRDefault="00A31AB8" w:rsidP="00A31AB8">
            <w:pPr>
              <w:jc w:val="center"/>
            </w:pPr>
          </w:p>
          <w:p w14:paraId="2AFBBC12" w14:textId="00C4788D" w:rsidR="00A31AB8" w:rsidRDefault="00A31AB8" w:rsidP="003E3DB2">
            <w:pPr>
              <w:jc w:val="center"/>
            </w:pPr>
            <w:r>
              <w:t xml:space="preserve">Note that Case 5 maintained plateau at this stage, while Cases 1-4 experienced a resurgence. </w:t>
            </w:r>
          </w:p>
        </w:tc>
      </w:tr>
    </w:tbl>
    <w:p w14:paraId="388347E9" w14:textId="54432F39" w:rsidR="00250F8F" w:rsidRDefault="00250F8F" w:rsidP="00250F8F"/>
    <w:p w14:paraId="11D540C1" w14:textId="77777777" w:rsidR="00250F8F" w:rsidRPr="00685D35" w:rsidRDefault="00250F8F" w:rsidP="00250F8F">
      <w:pPr>
        <w:jc w:val="center"/>
        <w:rPr>
          <w:rFonts w:cs="Arial"/>
          <w:sz w:val="22"/>
          <w:szCs w:val="22"/>
        </w:rPr>
      </w:pPr>
    </w:p>
    <w:p w14:paraId="3D21E522" w14:textId="5AC9543C" w:rsidR="00250F8F" w:rsidRPr="00D401D1" w:rsidRDefault="00250F8F" w:rsidP="00250F8F">
      <w:pPr>
        <w:pStyle w:val="Caption"/>
        <w:rPr>
          <w:rFonts w:ascii="Times New Roman" w:hAnsi="Times New Roman" w:cs="Times New Roman"/>
          <w:sz w:val="24"/>
          <w:szCs w:val="24"/>
        </w:rPr>
      </w:pPr>
      <w:r w:rsidRPr="00D401D1">
        <w:rPr>
          <w:rFonts w:ascii="Times New Roman" w:hAnsi="Times New Roman" w:cs="Times New Roman"/>
          <w:b/>
          <w:bCs w:val="0"/>
          <w:sz w:val="24"/>
          <w:szCs w:val="24"/>
        </w:rPr>
        <w:t>Figure S2</w:t>
      </w:r>
      <w:r w:rsidRPr="00D401D1">
        <w:rPr>
          <w:rFonts w:ascii="Times New Roman" w:hAnsi="Times New Roman" w:cs="Times New Roman"/>
          <w:sz w:val="24"/>
          <w:szCs w:val="24"/>
        </w:rPr>
        <w:t xml:space="preserve">: </w:t>
      </w:r>
      <w:r w:rsidRPr="0053497B">
        <w:rPr>
          <w:rFonts w:ascii="Times New Roman" w:hAnsi="Times New Roman" w:cs="Times New Roman"/>
          <w:b/>
          <w:bCs w:val="0"/>
          <w:sz w:val="24"/>
          <w:szCs w:val="24"/>
        </w:rPr>
        <w:t>Visual description of the procedure and modeling assumptions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497B" w:rsidRPr="00125532">
        <w:rPr>
          <w:rFonts w:ascii="Times New Roman" w:hAnsi="Times New Roman" w:cs="Times New Roman"/>
          <w:b/>
          <w:bCs w:val="0"/>
          <w:sz w:val="24"/>
          <w:szCs w:val="24"/>
        </w:rPr>
        <w:t>(A)</w:t>
      </w:r>
      <w:r w:rsidR="00534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Prior to the </w:t>
      </w:r>
      <w:r w:rsidR="0053497B">
        <w:rPr>
          <w:rFonts w:ascii="Times New Roman" w:hAnsi="Times New Roman" w:cs="Times New Roman"/>
          <w:sz w:val="24"/>
          <w:szCs w:val="24"/>
        </w:rPr>
        <w:t>anhepatic (</w:t>
      </w:r>
      <w:r>
        <w:rPr>
          <w:rFonts w:ascii="Times New Roman" w:hAnsi="Times New Roman" w:cs="Times New Roman"/>
          <w:sz w:val="24"/>
          <w:szCs w:val="24"/>
        </w:rPr>
        <w:t>AH</w:t>
      </w:r>
      <w:r w:rsidR="005349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phase </w:t>
      </w:r>
      <w:r w:rsidR="00D401D1">
        <w:rPr>
          <w:rFonts w:ascii="Times New Roman" w:hAnsi="Times New Roman" w:cs="Times New Roman"/>
          <w:sz w:val="24"/>
          <w:szCs w:val="24"/>
        </w:rPr>
        <w:t xml:space="preserve">viral load is at steady state in which </w:t>
      </w:r>
      <w:r w:rsidR="0053497B">
        <w:rPr>
          <w:rFonts w:ascii="Times New Roman" w:hAnsi="Times New Roman" w:cs="Times New Roman"/>
          <w:sz w:val="24"/>
          <w:szCs w:val="24"/>
        </w:rPr>
        <w:t>virus is being produced and balanced by viral clearance</w:t>
      </w:r>
      <w:r w:rsidR="003E3DB2">
        <w:rPr>
          <w:rFonts w:ascii="Times New Roman" w:hAnsi="Times New Roman" w:cs="Times New Roman"/>
          <w:sz w:val="24"/>
          <w:szCs w:val="24"/>
        </w:rPr>
        <w:t xml:space="preserve"> (Eq. 1 in the main text)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497B" w:rsidRPr="00125532">
        <w:rPr>
          <w:rFonts w:ascii="Times New Roman" w:hAnsi="Times New Roman" w:cs="Times New Roman"/>
          <w:b/>
          <w:bCs w:val="0"/>
          <w:sz w:val="24"/>
          <w:szCs w:val="24"/>
        </w:rPr>
        <w:t>(B)</w:t>
      </w:r>
      <w:r w:rsidR="00534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During the AH phase, the liver is not present and therefore </w:t>
      </w:r>
      <w:r w:rsidR="003E3DB2">
        <w:rPr>
          <w:rFonts w:ascii="Times New Roman" w:hAnsi="Times New Roman" w:cs="Times New Roman"/>
          <w:sz w:val="24"/>
          <w:szCs w:val="24"/>
        </w:rPr>
        <w:t>there is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3E3DB2">
        <w:rPr>
          <w:rFonts w:ascii="Times New Roman" w:hAnsi="Times New Roman" w:cs="Times New Roman"/>
          <w:sz w:val="24"/>
          <w:szCs w:val="24"/>
        </w:rPr>
        <w:t xml:space="preserve"> viral</w:t>
      </w:r>
      <w:r>
        <w:rPr>
          <w:rFonts w:ascii="Times New Roman" w:hAnsi="Times New Roman" w:cs="Times New Roman"/>
          <w:sz w:val="24"/>
          <w:szCs w:val="24"/>
        </w:rPr>
        <w:t xml:space="preserve"> production. However, virus </w:t>
      </w:r>
      <w:r w:rsidR="003E3DB2">
        <w:rPr>
          <w:rFonts w:ascii="Times New Roman" w:hAnsi="Times New Roman" w:cs="Times New Roman"/>
          <w:sz w:val="24"/>
          <w:szCs w:val="24"/>
        </w:rPr>
        <w:t xml:space="preserve">may </w:t>
      </w:r>
      <w:r w:rsidR="006D6195">
        <w:rPr>
          <w:rFonts w:ascii="Times New Roman" w:hAnsi="Times New Roman" w:cs="Times New Roman"/>
          <w:sz w:val="24"/>
          <w:szCs w:val="24"/>
        </w:rPr>
        <w:t xml:space="preserve">appear to </w:t>
      </w:r>
      <w:r w:rsidR="003E3DB2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cleared </w:t>
      </w:r>
      <w:r w:rsidR="006D6195">
        <w:rPr>
          <w:rFonts w:ascii="Times New Roman" w:hAnsi="Times New Roman" w:cs="Times New Roman"/>
          <w:sz w:val="24"/>
          <w:szCs w:val="24"/>
        </w:rPr>
        <w:t xml:space="preserve">by the input of </w:t>
      </w:r>
      <w:r w:rsidR="003E3DB2">
        <w:rPr>
          <w:rFonts w:ascii="Times New Roman" w:hAnsi="Times New Roman" w:cs="Times New Roman"/>
          <w:sz w:val="24"/>
          <w:szCs w:val="24"/>
        </w:rPr>
        <w:t>fluid</w:t>
      </w:r>
      <w:r w:rsidR="006D6195">
        <w:rPr>
          <w:rFonts w:ascii="Times New Roman" w:hAnsi="Times New Roman" w:cs="Times New Roman"/>
          <w:sz w:val="24"/>
          <w:szCs w:val="24"/>
        </w:rPr>
        <w:t>s</w:t>
      </w:r>
      <w:r w:rsidR="003E3DB2">
        <w:rPr>
          <w:rFonts w:ascii="Times New Roman" w:hAnsi="Times New Roman" w:cs="Times New Roman"/>
          <w:sz w:val="24"/>
          <w:szCs w:val="24"/>
        </w:rPr>
        <w:t xml:space="preserve"> </w:t>
      </w:r>
      <w:r w:rsidR="006D6195">
        <w:rPr>
          <w:rFonts w:ascii="Times New Roman" w:hAnsi="Times New Roman" w:cs="Times New Roman"/>
          <w:sz w:val="24"/>
          <w:szCs w:val="24"/>
        </w:rPr>
        <w:t xml:space="preserve">that dilute the virus in circulation </w:t>
      </w:r>
      <w:r w:rsidR="003E3DB2">
        <w:rPr>
          <w:rFonts w:ascii="Times New Roman" w:hAnsi="Times New Roman" w:cs="Times New Roman"/>
          <w:sz w:val="24"/>
          <w:szCs w:val="24"/>
        </w:rPr>
        <w:t xml:space="preserve">(see F in Eq. 2 in the main text)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9F326D">
        <w:rPr>
          <w:rFonts w:ascii="Times New Roman" w:hAnsi="Times New Roman" w:cs="Times New Roman"/>
          <w:sz w:val="24"/>
          <w:szCs w:val="24"/>
        </w:rPr>
        <w:t xml:space="preserve">through </w:t>
      </w:r>
      <w:r w:rsidR="003E3DB2">
        <w:rPr>
          <w:rFonts w:ascii="Times New Roman" w:hAnsi="Times New Roman" w:cs="Times New Roman"/>
          <w:sz w:val="24"/>
          <w:szCs w:val="24"/>
        </w:rPr>
        <w:t xml:space="preserve">unknown virus </w:t>
      </w:r>
      <w:r w:rsidR="009F326D" w:rsidRPr="00125532">
        <w:rPr>
          <w:rFonts w:ascii="Times New Roman" w:hAnsi="Times New Roman" w:cs="Times New Roman"/>
          <w:i/>
          <w:iCs/>
          <w:sz w:val="24"/>
          <w:szCs w:val="24"/>
        </w:rPr>
        <w:t>physiological</w:t>
      </w:r>
      <w:r w:rsidR="009F326D">
        <w:rPr>
          <w:rFonts w:ascii="Times New Roman" w:hAnsi="Times New Roman" w:cs="Times New Roman"/>
          <w:sz w:val="24"/>
          <w:szCs w:val="24"/>
        </w:rPr>
        <w:t xml:space="preserve"> clearance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497B" w:rsidRPr="00125532">
        <w:rPr>
          <w:rFonts w:ascii="Times New Roman" w:hAnsi="Times New Roman" w:cs="Times New Roman"/>
          <w:b/>
          <w:bCs w:val="0"/>
          <w:sz w:val="24"/>
          <w:szCs w:val="24"/>
        </w:rPr>
        <w:t>(C)</w:t>
      </w:r>
      <w:r w:rsidR="0053497B">
        <w:rPr>
          <w:rFonts w:ascii="Times New Roman" w:hAnsi="Times New Roman" w:cs="Times New Roman"/>
          <w:sz w:val="24"/>
          <w:szCs w:val="24"/>
        </w:rPr>
        <w:t xml:space="preserve"> </w:t>
      </w:r>
      <w:r w:rsidR="006D6195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 xml:space="preserve">4 hr post RP </w:t>
      </w:r>
      <w:r w:rsidR="003E3DB2">
        <w:rPr>
          <w:rFonts w:ascii="Times New Roman" w:hAnsi="Times New Roman" w:cs="Times New Roman"/>
          <w:sz w:val="24"/>
          <w:szCs w:val="24"/>
        </w:rPr>
        <w:t>there is no</w:t>
      </w:r>
      <w:r>
        <w:rPr>
          <w:rFonts w:ascii="Times New Roman" w:hAnsi="Times New Roman" w:cs="Times New Roman"/>
          <w:sz w:val="24"/>
          <w:szCs w:val="24"/>
        </w:rPr>
        <w:t xml:space="preserve"> viral production as the new liver has not yet been </w:t>
      </w:r>
      <w:r w:rsidR="0053497B">
        <w:rPr>
          <w:rFonts w:ascii="Times New Roman" w:hAnsi="Times New Roman" w:cs="Times New Roman"/>
          <w:sz w:val="24"/>
          <w:szCs w:val="24"/>
        </w:rPr>
        <w:t xml:space="preserve">productively </w:t>
      </w:r>
      <w:r>
        <w:rPr>
          <w:rFonts w:ascii="Times New Roman" w:hAnsi="Times New Roman" w:cs="Times New Roman"/>
          <w:sz w:val="24"/>
          <w:szCs w:val="24"/>
        </w:rPr>
        <w:t>infected</w:t>
      </w:r>
      <w:r w:rsidR="0053497B">
        <w:rPr>
          <w:rFonts w:ascii="Times New Roman" w:hAnsi="Times New Roman" w:cs="Times New Roman"/>
          <w:sz w:val="24"/>
          <w:szCs w:val="24"/>
        </w:rPr>
        <w:t xml:space="preserve"> (i</w:t>
      </w:r>
      <w:r w:rsidR="005E578C">
        <w:rPr>
          <w:rFonts w:ascii="Times New Roman" w:hAnsi="Times New Roman" w:cs="Times New Roman"/>
          <w:sz w:val="24"/>
          <w:szCs w:val="24"/>
        </w:rPr>
        <w:t>.</w:t>
      </w:r>
      <w:r w:rsidR="0053497B">
        <w:rPr>
          <w:rFonts w:ascii="Times New Roman" w:hAnsi="Times New Roman" w:cs="Times New Roman"/>
          <w:sz w:val="24"/>
          <w:szCs w:val="24"/>
        </w:rPr>
        <w:t xml:space="preserve">e., </w:t>
      </w:r>
      <w:r w:rsidR="006D6195">
        <w:rPr>
          <w:rFonts w:ascii="Times New Roman" w:hAnsi="Times New Roman" w:cs="Times New Roman"/>
          <w:sz w:val="24"/>
          <w:szCs w:val="24"/>
        </w:rPr>
        <w:t xml:space="preserve">is not </w:t>
      </w:r>
      <w:r w:rsidR="0053497B">
        <w:rPr>
          <w:rFonts w:ascii="Times New Roman" w:hAnsi="Times New Roman" w:cs="Times New Roman"/>
          <w:sz w:val="24"/>
          <w:szCs w:val="24"/>
        </w:rPr>
        <w:t>releasing new virions)</w:t>
      </w:r>
      <w:r>
        <w:rPr>
          <w:rFonts w:ascii="Times New Roman" w:hAnsi="Times New Roman" w:cs="Times New Roman"/>
          <w:sz w:val="24"/>
          <w:szCs w:val="24"/>
        </w:rPr>
        <w:t xml:space="preserve">. Clearance still occurs both via </w:t>
      </w:r>
      <w:r w:rsidR="003E3DB2">
        <w:rPr>
          <w:rFonts w:ascii="Times New Roman" w:hAnsi="Times New Roman" w:cs="Times New Roman"/>
          <w:sz w:val="24"/>
          <w:szCs w:val="24"/>
        </w:rPr>
        <w:t xml:space="preserve">fluid balances </w:t>
      </w:r>
      <w:r w:rsidR="0053497B">
        <w:rPr>
          <w:rFonts w:ascii="Times New Roman" w:hAnsi="Times New Roman" w:cs="Times New Roman"/>
          <w:sz w:val="24"/>
          <w:szCs w:val="24"/>
        </w:rPr>
        <w:t xml:space="preserve">but </w:t>
      </w:r>
      <w:r w:rsidR="009F326D">
        <w:rPr>
          <w:rFonts w:ascii="Times New Roman" w:hAnsi="Times New Roman" w:cs="Times New Roman"/>
          <w:sz w:val="24"/>
          <w:szCs w:val="24"/>
        </w:rPr>
        <w:t xml:space="preserve">is </w:t>
      </w:r>
      <w:r w:rsidR="0053497B">
        <w:rPr>
          <w:rFonts w:ascii="Times New Roman" w:hAnsi="Times New Roman" w:cs="Times New Roman"/>
          <w:sz w:val="24"/>
          <w:szCs w:val="24"/>
        </w:rPr>
        <w:t>mainly predicted 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31F">
        <w:rPr>
          <w:rFonts w:ascii="Times New Roman" w:hAnsi="Times New Roman" w:cs="Times New Roman"/>
          <w:sz w:val="24"/>
          <w:szCs w:val="24"/>
        </w:rPr>
        <w:t xml:space="preserve">a </w:t>
      </w:r>
      <w:r w:rsidR="00125532">
        <w:rPr>
          <w:rFonts w:ascii="Times New Roman" w:hAnsi="Times New Roman" w:cs="Times New Roman"/>
          <w:sz w:val="24"/>
          <w:szCs w:val="24"/>
        </w:rPr>
        <w:t>time-dependent function (see</w:t>
      </w:r>
      <w:r w:rsidR="00C86952">
        <w:rPr>
          <w:rFonts w:ascii="Times New Roman" w:hAnsi="Times New Roman" w:cs="Times New Roman"/>
          <w:sz w:val="24"/>
          <w:szCs w:val="24"/>
        </w:rPr>
        <w:t xml:space="preserve"> c(t)</w:t>
      </w:r>
      <w:r w:rsidR="00125532">
        <w:rPr>
          <w:rFonts w:ascii="Times New Roman" w:hAnsi="Times New Roman" w:cs="Times New Roman"/>
          <w:sz w:val="24"/>
          <w:szCs w:val="24"/>
        </w:rPr>
        <w:t xml:space="preserve"> in Eq. 4) that may represent</w:t>
      </w:r>
      <w:r w:rsidR="006D6195">
        <w:rPr>
          <w:rFonts w:ascii="Times New Roman" w:hAnsi="Times New Roman" w:cs="Times New Roman"/>
          <w:sz w:val="24"/>
          <w:szCs w:val="24"/>
        </w:rPr>
        <w:t xml:space="preserve"> a </w:t>
      </w:r>
      <w:r w:rsidR="0053497B">
        <w:rPr>
          <w:rFonts w:ascii="Times New Roman" w:hAnsi="Times New Roman" w:cs="Times New Roman"/>
          <w:sz w:val="24"/>
          <w:szCs w:val="24"/>
        </w:rPr>
        <w:t>rapid</w:t>
      </w:r>
      <w:r w:rsidR="00C86952">
        <w:rPr>
          <w:rFonts w:ascii="Times New Roman" w:hAnsi="Times New Roman" w:cs="Times New Roman"/>
          <w:sz w:val="24"/>
          <w:szCs w:val="24"/>
        </w:rPr>
        <w:t xml:space="preserve"> </w:t>
      </w:r>
      <w:r w:rsidR="00125532">
        <w:rPr>
          <w:rFonts w:ascii="Times New Roman" w:hAnsi="Times New Roman" w:cs="Times New Roman"/>
          <w:sz w:val="24"/>
          <w:szCs w:val="24"/>
        </w:rPr>
        <w:t xml:space="preserve">clearance phase </w:t>
      </w:r>
      <w:r w:rsidR="00C86952">
        <w:rPr>
          <w:rFonts w:ascii="Times New Roman" w:hAnsi="Times New Roman" w:cs="Times New Roman"/>
          <w:sz w:val="24"/>
          <w:szCs w:val="24"/>
        </w:rPr>
        <w:t>(</w:t>
      </w:r>
      <w:r w:rsidR="00180EB3">
        <w:rPr>
          <w:rFonts w:ascii="Times New Roman" w:hAnsi="Times New Roman" w:cs="Times New Roman"/>
          <w:sz w:val="24"/>
          <w:szCs w:val="24"/>
        </w:rPr>
        <w:t xml:space="preserve">possibly due to viral </w:t>
      </w:r>
      <w:r w:rsidR="00C86952">
        <w:rPr>
          <w:rFonts w:ascii="Times New Roman" w:hAnsi="Times New Roman" w:cs="Times New Roman"/>
          <w:sz w:val="24"/>
          <w:szCs w:val="24"/>
        </w:rPr>
        <w:t>binding/entry</w:t>
      </w:r>
      <w:r w:rsidR="00180EB3">
        <w:rPr>
          <w:rFonts w:ascii="Times New Roman" w:hAnsi="Times New Roman" w:cs="Times New Roman"/>
          <w:sz w:val="24"/>
          <w:szCs w:val="24"/>
        </w:rPr>
        <w:t xml:space="preserve"> into </w:t>
      </w:r>
      <w:r w:rsidR="00A64292">
        <w:rPr>
          <w:rFonts w:ascii="Times New Roman" w:hAnsi="Times New Roman" w:cs="Times New Roman"/>
          <w:sz w:val="24"/>
          <w:szCs w:val="24"/>
        </w:rPr>
        <w:t>hepatocytes</w:t>
      </w:r>
      <w:r w:rsidR="00C86952">
        <w:rPr>
          <w:rFonts w:ascii="Times New Roman" w:hAnsi="Times New Roman" w:cs="Times New Roman"/>
          <w:sz w:val="24"/>
          <w:szCs w:val="24"/>
        </w:rPr>
        <w:t>)</w:t>
      </w:r>
      <w:r w:rsidR="00125532">
        <w:rPr>
          <w:rFonts w:ascii="Times New Roman" w:hAnsi="Times New Roman" w:cs="Times New Roman"/>
          <w:sz w:val="24"/>
          <w:szCs w:val="24"/>
        </w:rPr>
        <w:t xml:space="preserve"> immediately after graft reperfusion</w:t>
      </w:r>
      <w:r w:rsidR="0053497B">
        <w:rPr>
          <w:rFonts w:ascii="Times New Roman" w:hAnsi="Times New Roman" w:cs="Times New Roman"/>
          <w:sz w:val="24"/>
          <w:szCs w:val="24"/>
        </w:rPr>
        <w:t xml:space="preserve"> and </w:t>
      </w:r>
      <w:r w:rsidR="00180EB3">
        <w:rPr>
          <w:rFonts w:ascii="Times New Roman" w:hAnsi="Times New Roman" w:cs="Times New Roman"/>
          <w:sz w:val="24"/>
          <w:szCs w:val="24"/>
        </w:rPr>
        <w:t xml:space="preserve">a </w:t>
      </w:r>
      <w:r w:rsidR="00125532">
        <w:rPr>
          <w:rFonts w:ascii="Times New Roman" w:hAnsi="Times New Roman" w:cs="Times New Roman"/>
          <w:sz w:val="24"/>
          <w:szCs w:val="24"/>
        </w:rPr>
        <w:t>final/</w:t>
      </w:r>
      <w:r w:rsidR="0053497B">
        <w:rPr>
          <w:rFonts w:ascii="Times New Roman" w:hAnsi="Times New Roman" w:cs="Times New Roman"/>
          <w:sz w:val="24"/>
          <w:szCs w:val="24"/>
        </w:rPr>
        <w:t>slower</w:t>
      </w:r>
      <w:r w:rsidR="00C86952">
        <w:rPr>
          <w:rFonts w:ascii="Times New Roman" w:hAnsi="Times New Roman" w:cs="Times New Roman"/>
          <w:sz w:val="24"/>
          <w:szCs w:val="24"/>
        </w:rPr>
        <w:t xml:space="preserve"> </w:t>
      </w:r>
      <w:r w:rsidR="00125532">
        <w:rPr>
          <w:rFonts w:ascii="Times New Roman" w:hAnsi="Times New Roman" w:cs="Times New Roman"/>
          <w:sz w:val="24"/>
          <w:szCs w:val="24"/>
        </w:rPr>
        <w:t xml:space="preserve">clearance phase </w:t>
      </w:r>
      <w:r w:rsidR="00C86952">
        <w:rPr>
          <w:rFonts w:ascii="Times New Roman" w:hAnsi="Times New Roman" w:cs="Times New Roman"/>
          <w:sz w:val="24"/>
          <w:szCs w:val="24"/>
        </w:rPr>
        <w:t>(</w:t>
      </w:r>
      <w:r w:rsidR="00C86952" w:rsidRPr="0086231F">
        <w:rPr>
          <w:rFonts w:ascii="Times New Roman" w:hAnsi="Times New Roman" w:cs="Times New Roman"/>
          <w:i/>
          <w:iCs/>
          <w:sz w:val="24"/>
          <w:szCs w:val="24"/>
        </w:rPr>
        <w:t>physiological</w:t>
      </w:r>
      <w:r w:rsidR="00C869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497B" w:rsidRPr="0086231F">
        <w:rPr>
          <w:rFonts w:ascii="Times New Roman" w:hAnsi="Times New Roman" w:cs="Times New Roman"/>
          <w:b/>
          <w:bCs w:val="0"/>
          <w:sz w:val="24"/>
          <w:szCs w:val="24"/>
        </w:rPr>
        <w:t>(D)</w:t>
      </w:r>
      <w:r w:rsidR="0053497B">
        <w:rPr>
          <w:rFonts w:ascii="Times New Roman" w:hAnsi="Times New Roman" w:cs="Times New Roman"/>
          <w:sz w:val="24"/>
          <w:szCs w:val="24"/>
        </w:rPr>
        <w:t xml:space="preserve"> </w:t>
      </w:r>
      <w:r w:rsidR="00180EB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onger after RP (over 4 hours), the new liver begin</w:t>
      </w:r>
      <w:r w:rsidR="0053497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producing </w:t>
      </w:r>
      <w:r w:rsidR="0053497B">
        <w:rPr>
          <w:rFonts w:ascii="Times New Roman" w:hAnsi="Times New Roman" w:cs="Times New Roman"/>
          <w:sz w:val="24"/>
          <w:szCs w:val="24"/>
        </w:rPr>
        <w:t>new virions (as evident in Figure S1)</w:t>
      </w:r>
      <w:r w:rsidR="00C86952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04F78" w14:textId="77777777" w:rsidR="00180EB3" w:rsidRDefault="00180EB3">
      <w:pPr>
        <w:rPr>
          <w:b/>
          <w:bCs/>
        </w:rPr>
      </w:pPr>
    </w:p>
    <w:p w14:paraId="67856B82" w14:textId="77777777" w:rsidR="00180EB3" w:rsidRDefault="00180EB3">
      <w:pPr>
        <w:rPr>
          <w:b/>
          <w:bCs/>
        </w:rPr>
      </w:pPr>
    </w:p>
    <w:p w14:paraId="02BB1369" w14:textId="78B15FC1" w:rsidR="008673B3" w:rsidRPr="00685D35" w:rsidRDefault="008A7E0A" w:rsidP="00A64292">
      <w:r w:rsidRPr="00685D35">
        <w:rPr>
          <w:b/>
          <w:bCs/>
        </w:rPr>
        <w:t xml:space="preserve">Cited literature  </w:t>
      </w:r>
    </w:p>
    <w:p w14:paraId="302B7CAB" w14:textId="77777777" w:rsidR="008673B3" w:rsidRPr="00685D35" w:rsidRDefault="008673B3" w:rsidP="008673B3">
      <w:pPr>
        <w:pStyle w:val="EndNoteBibliography"/>
        <w:ind w:left="720" w:hanging="720"/>
      </w:pPr>
      <w:r w:rsidRPr="00250F8F">
        <w:fldChar w:fldCharType="begin"/>
      </w:r>
      <w:r w:rsidRPr="00685D35">
        <w:instrText xml:space="preserve"> ADDIN EN.REFLIST </w:instrText>
      </w:r>
      <w:r w:rsidRPr="00250F8F">
        <w:fldChar w:fldCharType="separate"/>
      </w:r>
      <w:r w:rsidRPr="00685D35">
        <w:t>1.</w:t>
      </w:r>
      <w:r w:rsidRPr="00685D35">
        <w:tab/>
        <w:t xml:space="preserve">Yu, X. and S.L. Uprichard, </w:t>
      </w:r>
      <w:r w:rsidRPr="00685D35">
        <w:rPr>
          <w:i/>
        </w:rPr>
        <w:t>Cell-based hepatitis C virus infection fluorescence resonance energy transfer (FRET) assay for antiviral compound screening.</w:t>
      </w:r>
      <w:r w:rsidRPr="00685D35">
        <w:t xml:space="preserve"> Curr Protoc Microbiol, 2010. </w:t>
      </w:r>
      <w:r w:rsidRPr="00685D35">
        <w:rPr>
          <w:b/>
        </w:rPr>
        <w:t>Chapter 17</w:t>
      </w:r>
      <w:r w:rsidRPr="00685D35">
        <w:t>: p. Unit 17 5.</w:t>
      </w:r>
    </w:p>
    <w:p w14:paraId="4365078F" w14:textId="6C270659" w:rsidR="00EF6DDC" w:rsidRDefault="008673B3" w:rsidP="008673B3">
      <w:r w:rsidRPr="00250F8F">
        <w:fldChar w:fldCharType="end"/>
      </w:r>
    </w:p>
    <w:sectPr w:rsidR="00EF6DDC" w:rsidSect="00CA75AC">
      <w:footerReference w:type="even" r:id="rId14"/>
      <w:footerReference w:type="defaul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D6BD1" w14:textId="77777777" w:rsidR="00286689" w:rsidRDefault="00286689">
      <w:r>
        <w:separator/>
      </w:r>
    </w:p>
  </w:endnote>
  <w:endnote w:type="continuationSeparator" w:id="0">
    <w:p w14:paraId="685876BC" w14:textId="77777777" w:rsidR="00286689" w:rsidRDefault="0028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44B50" w14:textId="77777777" w:rsidR="00585A76" w:rsidRDefault="00B640AC" w:rsidP="004D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EA0B1C" w14:textId="77777777" w:rsidR="00585A76" w:rsidRDefault="00286689" w:rsidP="002D34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BA24" w14:textId="77777777" w:rsidR="00585A76" w:rsidRDefault="00B640AC" w:rsidP="004D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0E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59C3A7" w14:textId="77777777" w:rsidR="00585A76" w:rsidRDefault="00286689" w:rsidP="002D34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A25EE" w14:textId="77777777" w:rsidR="00286689" w:rsidRDefault="00286689">
      <w:r>
        <w:separator/>
      </w:r>
    </w:p>
  </w:footnote>
  <w:footnote w:type="continuationSeparator" w:id="0">
    <w:p w14:paraId="6ED23554" w14:textId="77777777" w:rsidR="00286689" w:rsidRDefault="00286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umbered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B640AC"/>
    <w:rsid w:val="000172B6"/>
    <w:rsid w:val="000235E2"/>
    <w:rsid w:val="0004438C"/>
    <w:rsid w:val="000911A6"/>
    <w:rsid w:val="00097B86"/>
    <w:rsid w:val="000B4E64"/>
    <w:rsid w:val="000D2728"/>
    <w:rsid w:val="000E654D"/>
    <w:rsid w:val="00124BE8"/>
    <w:rsid w:val="00125532"/>
    <w:rsid w:val="001531CE"/>
    <w:rsid w:val="00157DBA"/>
    <w:rsid w:val="0016209F"/>
    <w:rsid w:val="0016404A"/>
    <w:rsid w:val="00180EB3"/>
    <w:rsid w:val="001B66AE"/>
    <w:rsid w:val="00212147"/>
    <w:rsid w:val="002162F8"/>
    <w:rsid w:val="00220779"/>
    <w:rsid w:val="002312A2"/>
    <w:rsid w:val="002357D7"/>
    <w:rsid w:val="0024317F"/>
    <w:rsid w:val="002438AA"/>
    <w:rsid w:val="00250F8F"/>
    <w:rsid w:val="0026194F"/>
    <w:rsid w:val="00286689"/>
    <w:rsid w:val="002D2BE1"/>
    <w:rsid w:val="00304FB0"/>
    <w:rsid w:val="00313C9D"/>
    <w:rsid w:val="00370824"/>
    <w:rsid w:val="0037664D"/>
    <w:rsid w:val="00385DB5"/>
    <w:rsid w:val="003B17A3"/>
    <w:rsid w:val="003D24C5"/>
    <w:rsid w:val="003E3DB2"/>
    <w:rsid w:val="00447DD5"/>
    <w:rsid w:val="00485DE2"/>
    <w:rsid w:val="004F54B0"/>
    <w:rsid w:val="005170AF"/>
    <w:rsid w:val="0053497B"/>
    <w:rsid w:val="00536873"/>
    <w:rsid w:val="0056390D"/>
    <w:rsid w:val="0056441A"/>
    <w:rsid w:val="00572166"/>
    <w:rsid w:val="00584392"/>
    <w:rsid w:val="005850E1"/>
    <w:rsid w:val="005D6181"/>
    <w:rsid w:val="005E174A"/>
    <w:rsid w:val="005E578C"/>
    <w:rsid w:val="0068052E"/>
    <w:rsid w:val="00685D35"/>
    <w:rsid w:val="006C488A"/>
    <w:rsid w:val="006D0718"/>
    <w:rsid w:val="006D08C8"/>
    <w:rsid w:val="006D6195"/>
    <w:rsid w:val="006D734D"/>
    <w:rsid w:val="006F369F"/>
    <w:rsid w:val="00715600"/>
    <w:rsid w:val="007512F7"/>
    <w:rsid w:val="0079680F"/>
    <w:rsid w:val="007A660C"/>
    <w:rsid w:val="007C27A7"/>
    <w:rsid w:val="00832E02"/>
    <w:rsid w:val="0086231F"/>
    <w:rsid w:val="008673B3"/>
    <w:rsid w:val="0088357F"/>
    <w:rsid w:val="00890A36"/>
    <w:rsid w:val="00896AA3"/>
    <w:rsid w:val="008A7E0A"/>
    <w:rsid w:val="008E30C4"/>
    <w:rsid w:val="00955093"/>
    <w:rsid w:val="009A5842"/>
    <w:rsid w:val="009A672E"/>
    <w:rsid w:val="009E4A01"/>
    <w:rsid w:val="009F326D"/>
    <w:rsid w:val="00A31AB8"/>
    <w:rsid w:val="00A64292"/>
    <w:rsid w:val="00AC3701"/>
    <w:rsid w:val="00AC528F"/>
    <w:rsid w:val="00AD1A75"/>
    <w:rsid w:val="00B17288"/>
    <w:rsid w:val="00B2487A"/>
    <w:rsid w:val="00B25909"/>
    <w:rsid w:val="00B640AC"/>
    <w:rsid w:val="00BC448F"/>
    <w:rsid w:val="00C84BE6"/>
    <w:rsid w:val="00C86952"/>
    <w:rsid w:val="00CA75AC"/>
    <w:rsid w:val="00CB601A"/>
    <w:rsid w:val="00CD5C7F"/>
    <w:rsid w:val="00D401D1"/>
    <w:rsid w:val="00D542E8"/>
    <w:rsid w:val="00D60EB3"/>
    <w:rsid w:val="00D75002"/>
    <w:rsid w:val="00DC43D8"/>
    <w:rsid w:val="00DF0EA6"/>
    <w:rsid w:val="00E179D3"/>
    <w:rsid w:val="00E3395B"/>
    <w:rsid w:val="00E64A2B"/>
    <w:rsid w:val="00E84D29"/>
    <w:rsid w:val="00F118CF"/>
    <w:rsid w:val="00F372CD"/>
    <w:rsid w:val="00FB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2606"/>
  <w15:docId w15:val="{55759884-FEE4-4A6C-8D8D-D0D3A412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40AC"/>
    <w:pPr>
      <w:spacing w:after="0" w:line="240" w:lineRule="auto"/>
      <w:jc w:val="both"/>
    </w:pPr>
    <w:rPr>
      <w:rFonts w:ascii="Arial" w:eastAsiaTheme="minorEastAsia" w:hAnsi="Arial"/>
      <w:sz w:val="24"/>
      <w:szCs w:val="24"/>
      <w:lang w:eastAsia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0AC"/>
    <w:pPr>
      <w:spacing w:after="0" w:line="240" w:lineRule="auto"/>
    </w:pPr>
    <w:rPr>
      <w:rFonts w:eastAsiaTheme="minorEastAsia"/>
      <w:sz w:val="24"/>
      <w:szCs w:val="24"/>
      <w:lang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qFormat/>
    <w:rsid w:val="00B640AC"/>
    <w:pPr>
      <w:spacing w:after="200"/>
    </w:pPr>
    <w:rPr>
      <w:bCs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rsid w:val="00B640A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0AC"/>
    <w:rPr>
      <w:rFonts w:ascii="Arial" w:eastAsiaTheme="minorEastAsia" w:hAnsi="Arial"/>
      <w:sz w:val="24"/>
      <w:szCs w:val="24"/>
      <w:lang w:eastAsia="de-DE" w:bidi="ar-SA"/>
    </w:rPr>
  </w:style>
  <w:style w:type="character" w:styleId="PageNumber">
    <w:name w:val="page number"/>
    <w:basedOn w:val="DefaultParagraphFont"/>
    <w:uiPriority w:val="99"/>
    <w:semiHidden/>
    <w:unhideWhenUsed/>
    <w:rsid w:val="00B640AC"/>
  </w:style>
  <w:style w:type="paragraph" w:styleId="BalloonText">
    <w:name w:val="Balloon Text"/>
    <w:basedOn w:val="Normal"/>
    <w:link w:val="BalloonTextChar"/>
    <w:uiPriority w:val="99"/>
    <w:semiHidden/>
    <w:unhideWhenUsed/>
    <w:rsid w:val="00261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4F"/>
    <w:rPr>
      <w:rFonts w:ascii="Segoe UI" w:eastAsiaTheme="minorEastAsia" w:hAnsi="Segoe UI" w:cs="Segoe UI"/>
      <w:sz w:val="18"/>
      <w:szCs w:val="18"/>
      <w:lang w:eastAsia="de-DE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61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9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94F"/>
    <w:rPr>
      <w:rFonts w:ascii="Arial" w:eastAsiaTheme="minorEastAsia" w:hAnsi="Arial"/>
      <w:sz w:val="20"/>
      <w:szCs w:val="20"/>
      <w:lang w:eastAsia="de-D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94F"/>
    <w:rPr>
      <w:rFonts w:ascii="Arial" w:eastAsiaTheme="minorEastAsia" w:hAnsi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DefaultParagraphFont"/>
    <w:rsid w:val="008673B3"/>
  </w:style>
  <w:style w:type="character" w:customStyle="1" w:styleId="sc">
    <w:name w:val="sc"/>
    <w:basedOn w:val="DefaultParagraphFont"/>
    <w:rsid w:val="008673B3"/>
  </w:style>
  <w:style w:type="paragraph" w:customStyle="1" w:styleId="EndNoteBibliographyTitle">
    <w:name w:val="EndNote Bibliography Title"/>
    <w:basedOn w:val="Normal"/>
    <w:link w:val="EndNoteBibliographyTitleChar"/>
    <w:rsid w:val="008673B3"/>
    <w:pPr>
      <w:jc w:val="center"/>
    </w:pPr>
    <w:rPr>
      <w:rFonts w:cs="Arial"/>
      <w:noProof/>
      <w:lang w:val="de-D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673B3"/>
    <w:rPr>
      <w:rFonts w:ascii="Arial" w:eastAsiaTheme="minorEastAsia" w:hAnsi="Arial" w:cs="Arial"/>
      <w:noProof/>
      <w:sz w:val="24"/>
      <w:szCs w:val="24"/>
      <w:lang w:val="de-DE" w:eastAsia="de-DE" w:bidi="ar-SA"/>
    </w:rPr>
  </w:style>
  <w:style w:type="paragraph" w:customStyle="1" w:styleId="EndNoteBibliography">
    <w:name w:val="EndNote Bibliography"/>
    <w:basedOn w:val="Normal"/>
    <w:link w:val="EndNoteBibliographyChar"/>
    <w:rsid w:val="008673B3"/>
    <w:rPr>
      <w:rFonts w:cs="Arial"/>
      <w:noProof/>
      <w:lang w:val="de-DE"/>
    </w:rPr>
  </w:style>
  <w:style w:type="character" w:customStyle="1" w:styleId="EndNoteBibliographyChar">
    <w:name w:val="EndNote Bibliography Char"/>
    <w:basedOn w:val="DefaultParagraphFont"/>
    <w:link w:val="EndNoteBibliography"/>
    <w:rsid w:val="008673B3"/>
    <w:rPr>
      <w:rFonts w:ascii="Arial" w:eastAsiaTheme="minorEastAsia" w:hAnsi="Arial" w:cs="Arial"/>
      <w:noProof/>
      <w:sz w:val="24"/>
      <w:szCs w:val="24"/>
      <w:lang w:val="de-DE" w:eastAsia="de-DE" w:bidi="ar-SA"/>
    </w:rPr>
  </w:style>
  <w:style w:type="paragraph" w:styleId="Revision">
    <w:name w:val="Revision"/>
    <w:hidden/>
    <w:uiPriority w:val="99"/>
    <w:semiHidden/>
    <w:rsid w:val="002357D7"/>
    <w:pPr>
      <w:spacing w:after="0" w:line="240" w:lineRule="auto"/>
    </w:pPr>
    <w:rPr>
      <w:rFonts w:ascii="Arial" w:eastAsiaTheme="minorEastAsia" w:hAnsi="Arial"/>
      <w:sz w:val="24"/>
      <w:szCs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48E59CF872E49816CD432043BAE9D" ma:contentTypeVersion="13" ma:contentTypeDescription="Create a new document." ma:contentTypeScope="" ma:versionID="85acdcf79d93971642c73a1db7003551">
  <xsd:schema xmlns:xsd="http://www.w3.org/2001/XMLSchema" xmlns:xs="http://www.w3.org/2001/XMLSchema" xmlns:p="http://schemas.microsoft.com/office/2006/metadata/properties" xmlns:ns3="47138b05-1f9f-442e-91fd-1da71cc25a43" xmlns:ns4="89673d65-1d93-42c4-bc96-ca6e9db93cbe" targetNamespace="http://schemas.microsoft.com/office/2006/metadata/properties" ma:root="true" ma:fieldsID="e328274b8b67d65c5545956fbf296b38" ns3:_="" ns4:_="">
    <xsd:import namespace="47138b05-1f9f-442e-91fd-1da71cc25a43"/>
    <xsd:import namespace="89673d65-1d93-42c4-bc96-ca6e9db93c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8b05-1f9f-442e-91fd-1da71cc25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73d65-1d93-42c4-bc96-ca6e9db93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E6067-742F-4010-8697-6C099EEEE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F0D65-06F5-4D7A-9595-9A4D1BE50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38b05-1f9f-442e-91fd-1da71cc25a43"/>
    <ds:schemaRef ds:uri="89673d65-1d93-42c4-bc96-ca6e9db93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E71BE-BBCF-4612-9C17-951A7FBA07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harel dahari</dc:creator>
  <cp:lastModifiedBy>harel dahari</cp:lastModifiedBy>
  <cp:revision>3</cp:revision>
  <dcterms:created xsi:type="dcterms:W3CDTF">2020-06-29T03:01:00Z</dcterms:created>
  <dcterms:modified xsi:type="dcterms:W3CDTF">2020-06-29T03:02:00Z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0x010100A7048E59CF872E49816CD432043BAE9D</vt:lpwstr>
  </property>
</Properties>
</file>