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B24" w:rsidRPr="0037691A" w:rsidRDefault="00E76B24" w:rsidP="0037691A">
      <w:pPr>
        <w:jc w:val="center"/>
        <w:rPr>
          <w:rFonts w:ascii="Arial" w:hAnsi="Arial" w:cs="Arial"/>
          <w:b/>
          <w:bCs/>
          <w:sz w:val="24"/>
          <w:szCs w:val="20"/>
          <w:lang w:val="en-GB"/>
        </w:rPr>
      </w:pPr>
      <w:r w:rsidRPr="0037691A">
        <w:rPr>
          <w:rFonts w:ascii="Arial" w:hAnsi="Arial" w:cs="Arial"/>
          <w:b/>
          <w:bCs/>
          <w:sz w:val="24"/>
          <w:szCs w:val="20"/>
          <w:lang w:val="en-GB"/>
        </w:rPr>
        <w:t>Limited Neutralisation of the SARS-CoV-2 Omicron Subvariants BA.1 and BA.2 by Convalescent and Vaccine Serum and monoclonal antibodies</w:t>
      </w:r>
    </w:p>
    <w:p w:rsidR="00E76B24" w:rsidRPr="002B5F1F" w:rsidRDefault="00E76B24" w:rsidP="00E76B24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2B5F1F">
        <w:rPr>
          <w:rFonts w:ascii="Arial" w:hAnsi="Arial" w:cs="Arial"/>
          <w:sz w:val="20"/>
          <w:szCs w:val="20"/>
          <w:lang w:val="en-GB"/>
        </w:rPr>
        <w:t>Alexander Wilhelm*, Marek Widera*</w:t>
      </w:r>
      <w:r w:rsidRPr="002B5F1F">
        <w:rPr>
          <w:rFonts w:ascii="Arial" w:hAnsi="Arial" w:cs="Arial"/>
          <w:sz w:val="20"/>
          <w:szCs w:val="20"/>
          <w:vertAlign w:val="superscript"/>
          <w:lang w:val="en-GB"/>
        </w:rPr>
        <w:t>#</w:t>
      </w:r>
      <w:r w:rsidRPr="002B5F1F">
        <w:rPr>
          <w:rFonts w:ascii="Arial" w:hAnsi="Arial" w:cs="Arial"/>
          <w:sz w:val="20"/>
          <w:szCs w:val="20"/>
          <w:lang w:val="en-GB"/>
        </w:rPr>
        <w:t>, Katharina Grikscheit, Tuna Toptan, Barbara Schenk,</w:t>
      </w:r>
      <w:r w:rsidRPr="002B5F1F">
        <w:rPr>
          <w:rFonts w:ascii="Arial" w:hAnsi="Arial" w:cs="Arial"/>
          <w:sz w:val="20"/>
          <w:szCs w:val="20"/>
          <w:vertAlign w:val="superscript"/>
          <w:lang w:val="en-GB"/>
        </w:rPr>
        <w:t xml:space="preserve"> </w:t>
      </w:r>
      <w:r w:rsidRPr="002B5F1F">
        <w:rPr>
          <w:rFonts w:ascii="Arial" w:hAnsi="Arial" w:cs="Arial"/>
          <w:sz w:val="20"/>
          <w:szCs w:val="20"/>
          <w:lang w:val="en-GB"/>
        </w:rPr>
        <w:t>Christiane Pallas, Melinda Metzler, Niko Kohmer, Sebastian Hoehl, Rolf Marschalek, Fabian A. Helfritz, Timo Wolf, Udo Goetsch, Sandra Ciesek</w:t>
      </w:r>
      <w:r w:rsidRPr="00E76B24">
        <w:rPr>
          <w:rFonts w:ascii="Arial" w:hAnsi="Arial" w:cs="Arial"/>
          <w:sz w:val="20"/>
          <w:szCs w:val="20"/>
          <w:vertAlign w:val="superscript"/>
          <w:lang w:val="en-GB"/>
        </w:rPr>
        <w:t>#</w:t>
      </w:r>
    </w:p>
    <w:p w:rsidR="00E76B24" w:rsidRPr="002B5F1F" w:rsidRDefault="00E76B24" w:rsidP="00E76B24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E76B24" w:rsidRPr="002B5F1F" w:rsidRDefault="00E76B24" w:rsidP="00E76B24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2B5F1F">
        <w:rPr>
          <w:rFonts w:ascii="Arial" w:hAnsi="Arial" w:cs="Arial"/>
          <w:sz w:val="20"/>
          <w:szCs w:val="20"/>
          <w:lang w:val="en-GB"/>
        </w:rPr>
        <w:t>* contributed equally</w:t>
      </w:r>
    </w:p>
    <w:p w:rsidR="00E76B24" w:rsidRPr="00C77F22" w:rsidRDefault="00E76B24" w:rsidP="00E76B24">
      <w:pPr>
        <w:spacing w:after="0"/>
        <w:rPr>
          <w:rStyle w:val="Hyperlink"/>
          <w:rFonts w:ascii="Arial" w:hAnsi="Arial" w:cs="Arial"/>
          <w:sz w:val="20"/>
          <w:szCs w:val="20"/>
          <w:lang w:val="en-GB"/>
        </w:rPr>
      </w:pPr>
      <w:r w:rsidRPr="002B5F1F">
        <w:rPr>
          <w:rFonts w:ascii="Arial" w:hAnsi="Arial" w:cs="Arial"/>
          <w:sz w:val="20"/>
          <w:szCs w:val="20"/>
          <w:vertAlign w:val="superscript"/>
          <w:lang w:val="en-GB"/>
        </w:rPr>
        <w:t>#</w:t>
      </w:r>
      <w:r w:rsidRPr="002B5F1F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Pr="002B5F1F">
        <w:rPr>
          <w:rFonts w:ascii="Arial" w:hAnsi="Arial" w:cs="Arial"/>
          <w:sz w:val="20"/>
          <w:szCs w:val="20"/>
          <w:lang w:val="en-GB"/>
        </w:rPr>
        <w:t>corresponding</w:t>
      </w:r>
      <w:proofErr w:type="gramEnd"/>
      <w:r w:rsidRPr="002B5F1F">
        <w:rPr>
          <w:rFonts w:ascii="Arial" w:hAnsi="Arial" w:cs="Arial"/>
          <w:sz w:val="20"/>
          <w:szCs w:val="20"/>
          <w:lang w:val="en-GB"/>
        </w:rPr>
        <w:t xml:space="preserve"> authors: M. Widera (</w:t>
      </w:r>
      <w:r w:rsidRPr="00C03A0B">
        <w:rPr>
          <w:rFonts w:ascii="Arial" w:hAnsi="Arial" w:cs="Arial"/>
          <w:sz w:val="20"/>
          <w:szCs w:val="20"/>
          <w:lang w:val="en-GB"/>
        </w:rPr>
        <w:t>marek.widera@kgu.de</w:t>
      </w:r>
      <w:r w:rsidRPr="002B5F1F">
        <w:rPr>
          <w:rFonts w:ascii="Arial" w:hAnsi="Arial" w:cs="Arial"/>
          <w:sz w:val="20"/>
          <w:szCs w:val="20"/>
          <w:lang w:val="en-GB"/>
        </w:rPr>
        <w:t>); S. Ciesek (</w:t>
      </w:r>
      <w:r w:rsidRPr="00C03A0B">
        <w:rPr>
          <w:rFonts w:ascii="Arial" w:hAnsi="Arial" w:cs="Arial"/>
          <w:sz w:val="20"/>
          <w:szCs w:val="20"/>
          <w:lang w:val="en-GB"/>
        </w:rPr>
        <w:t>sandra.ciesek@kgu.</w:t>
      </w:r>
      <w:r w:rsidRPr="008030D6">
        <w:rPr>
          <w:rFonts w:ascii="Arial" w:hAnsi="Arial" w:cs="Arial"/>
          <w:sz w:val="20"/>
          <w:szCs w:val="20"/>
          <w:lang w:val="en-GB"/>
        </w:rPr>
        <w:t>de</w:t>
      </w:r>
      <w:r w:rsidRPr="00ED582E">
        <w:rPr>
          <w:rStyle w:val="Hyperlink"/>
          <w:rFonts w:ascii="Arial" w:hAnsi="Arial" w:cs="Arial"/>
          <w:color w:val="auto"/>
          <w:sz w:val="20"/>
          <w:szCs w:val="20"/>
          <w:u w:val="none"/>
          <w:lang w:val="en-GB"/>
        </w:rPr>
        <w:t>)</w:t>
      </w:r>
    </w:p>
    <w:p w:rsidR="00E76B24" w:rsidRDefault="00E76B24" w:rsidP="00E76B24">
      <w:pPr>
        <w:spacing w:before="81" w:after="41"/>
        <w:ind w:left="172"/>
        <w:jc w:val="both"/>
        <w:rPr>
          <w:rFonts w:ascii="Arial" w:eastAsiaTheme="majorEastAsia" w:hAnsi="Arial" w:cs="Arial"/>
          <w:b/>
          <w:sz w:val="24"/>
          <w:szCs w:val="26"/>
          <w:lang w:val="en-GB"/>
        </w:rPr>
      </w:pPr>
    </w:p>
    <w:p w:rsidR="0037691A" w:rsidRDefault="0037691A" w:rsidP="00ED582E">
      <w:pPr>
        <w:rPr>
          <w:rFonts w:ascii="Arial" w:hAnsi="Arial" w:cs="Arial"/>
          <w:b/>
          <w:bCs/>
          <w:sz w:val="24"/>
          <w:szCs w:val="20"/>
          <w:lang w:val="en-GB"/>
        </w:rPr>
      </w:pPr>
    </w:p>
    <w:p w:rsidR="00ED582E" w:rsidRPr="00E76B24" w:rsidRDefault="00ED582E" w:rsidP="00ED582E">
      <w:pPr>
        <w:rPr>
          <w:rFonts w:ascii="Arial" w:hAnsi="Arial" w:cs="Arial"/>
          <w:b/>
          <w:bCs/>
          <w:sz w:val="24"/>
          <w:szCs w:val="20"/>
          <w:lang w:val="en-GB"/>
        </w:rPr>
      </w:pPr>
      <w:r w:rsidRPr="00E76B24">
        <w:rPr>
          <w:rFonts w:ascii="Arial" w:hAnsi="Arial" w:cs="Arial"/>
          <w:b/>
          <w:bCs/>
          <w:sz w:val="24"/>
          <w:szCs w:val="20"/>
          <w:lang w:val="en-GB"/>
        </w:rPr>
        <w:t xml:space="preserve">Supplementary Tables and Figures </w:t>
      </w:r>
    </w:p>
    <w:p w:rsidR="00E76B24" w:rsidRDefault="00E76B24" w:rsidP="00E76B24">
      <w:pPr>
        <w:spacing w:before="81" w:after="41"/>
        <w:ind w:left="172"/>
        <w:jc w:val="both"/>
        <w:rPr>
          <w:rFonts w:ascii="Arial" w:eastAsiaTheme="majorEastAsia" w:hAnsi="Arial" w:cs="Arial"/>
          <w:b/>
          <w:sz w:val="24"/>
          <w:szCs w:val="26"/>
          <w:lang w:val="en-GB"/>
        </w:rPr>
      </w:pPr>
    </w:p>
    <w:p w:rsidR="00E76B24" w:rsidRPr="002B5F1F" w:rsidRDefault="00E76B24" w:rsidP="00E76B24">
      <w:pPr>
        <w:spacing w:before="81" w:after="41"/>
        <w:ind w:left="172"/>
        <w:jc w:val="both"/>
        <w:rPr>
          <w:rFonts w:ascii="Arial" w:eastAsiaTheme="majorEastAsia" w:hAnsi="Arial" w:cs="Arial"/>
          <w:b/>
          <w:sz w:val="24"/>
          <w:szCs w:val="26"/>
          <w:lang w:val="en-GB"/>
        </w:rPr>
      </w:pPr>
      <w:bookmarkStart w:id="0" w:name="_GoBack"/>
      <w:bookmarkEnd w:id="0"/>
    </w:p>
    <w:p w:rsidR="00E76B24" w:rsidRPr="002B5F1F" w:rsidRDefault="00E76B24" w:rsidP="00E76B24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 w:rsidRPr="002B5F1F">
        <w:rPr>
          <w:noProof/>
          <w:lang w:eastAsia="de-DE"/>
        </w:rPr>
        <w:drawing>
          <wp:inline distT="0" distB="0" distL="0" distR="0" wp14:anchorId="417DA3B6" wp14:editId="0BFE63EC">
            <wp:extent cx="1438098" cy="2562225"/>
            <wp:effectExtent l="0" t="0" r="0" b="0"/>
            <wp:docPr id="19" name="Grafik 19" descr="FigureS1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gureS1_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571" cy="258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B24" w:rsidRPr="002B5F1F" w:rsidRDefault="00E76B24" w:rsidP="00E76B2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E76B24" w:rsidRPr="002B5F1F" w:rsidRDefault="00E76B24" w:rsidP="00E76B24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B5F1F">
        <w:rPr>
          <w:rFonts w:ascii="Arial" w:hAnsi="Arial" w:cs="Arial"/>
          <w:b/>
          <w:bCs/>
          <w:sz w:val="20"/>
          <w:szCs w:val="20"/>
          <w:lang w:val="en-GB"/>
        </w:rPr>
        <w:t>Supplementary Figure 1 -</w:t>
      </w:r>
      <w:r w:rsidRPr="002B5F1F">
        <w:rPr>
          <w:rFonts w:ascii="Arial" w:hAnsi="Arial" w:cs="Arial"/>
          <w:b/>
          <w:sz w:val="20"/>
          <w:szCs w:val="20"/>
          <w:lang w:val="en-GB"/>
        </w:rPr>
        <w:t xml:space="preserve"> Antibody-mediated neutralisation of authentic SARS-CoV-2 variants.</w:t>
      </w:r>
      <w:r w:rsidRPr="002B5F1F">
        <w:rPr>
          <w:rFonts w:ascii="Arial" w:hAnsi="Arial" w:cs="Arial"/>
          <w:sz w:val="20"/>
          <w:szCs w:val="20"/>
          <w:lang w:val="en-GB"/>
        </w:rPr>
        <w:t xml:space="preserve"> Values represent reciprocal dilutions micro-neutralisation titers resulting in 50% virus neutralisation (NT</w:t>
      </w:r>
      <w:r w:rsidRPr="002B5F1F">
        <w:rPr>
          <w:rFonts w:ascii="Arial" w:hAnsi="Arial" w:cs="Arial"/>
          <w:sz w:val="20"/>
          <w:szCs w:val="20"/>
          <w:vertAlign w:val="subscript"/>
          <w:lang w:val="en-GB"/>
        </w:rPr>
        <w:t>50</w:t>
      </w:r>
      <w:r w:rsidRPr="002B5F1F">
        <w:rPr>
          <w:rFonts w:ascii="Arial" w:hAnsi="Arial" w:cs="Arial"/>
          <w:sz w:val="20"/>
          <w:szCs w:val="20"/>
          <w:lang w:val="en-GB"/>
        </w:rPr>
        <w:t>) of SARS-CoV-2 variants B.1 (parental, FFM7</w:t>
      </w:r>
      <w:r w:rsidRPr="00F20F8D">
        <w:rPr>
          <w:rFonts w:ascii="Arial" w:hAnsi="Arial" w:cs="Arial"/>
          <w:noProof/>
          <w:sz w:val="20"/>
          <w:szCs w:val="20"/>
          <w:vertAlign w:val="superscript"/>
          <w:lang w:val="en-GB"/>
        </w:rPr>
        <w:t>34</w:t>
      </w:r>
      <w:r w:rsidRPr="002B5F1F">
        <w:rPr>
          <w:rFonts w:ascii="Arial" w:hAnsi="Arial" w:cs="Arial"/>
          <w:sz w:val="20"/>
          <w:szCs w:val="20"/>
          <w:lang w:val="en-GB"/>
        </w:rPr>
        <w:t>, D614G) and B.1.617.2 (Delta</w:t>
      </w:r>
      <w:r w:rsidRPr="00F20F8D">
        <w:rPr>
          <w:rFonts w:ascii="Arial" w:hAnsi="Arial" w:cs="Arial"/>
          <w:noProof/>
          <w:sz w:val="20"/>
          <w:szCs w:val="20"/>
          <w:vertAlign w:val="superscript"/>
          <w:lang w:val="en-GB"/>
        </w:rPr>
        <w:t>30</w:t>
      </w:r>
      <w:r w:rsidRPr="002B5F1F">
        <w:rPr>
          <w:rFonts w:ascii="Arial" w:hAnsi="Arial" w:cs="Arial"/>
          <w:sz w:val="20"/>
          <w:szCs w:val="20"/>
          <w:lang w:val="en-GB"/>
        </w:rPr>
        <w:t xml:space="preserve">) (grey). Neutralisation assays </w:t>
      </w:r>
      <w:proofErr w:type="gramStart"/>
      <w:r w:rsidRPr="002B5F1F">
        <w:rPr>
          <w:rFonts w:ascii="Arial" w:hAnsi="Arial" w:cs="Arial"/>
          <w:sz w:val="20"/>
          <w:szCs w:val="20"/>
          <w:lang w:val="en-GB"/>
        </w:rPr>
        <w:t>were performed</w:t>
      </w:r>
      <w:proofErr w:type="gramEnd"/>
      <w:r w:rsidRPr="002B5F1F">
        <w:rPr>
          <w:rFonts w:ascii="Arial" w:hAnsi="Arial" w:cs="Arial"/>
          <w:sz w:val="20"/>
          <w:szCs w:val="20"/>
          <w:lang w:val="en-GB"/>
        </w:rPr>
        <w:t xml:space="preserve"> using serum samples obtained from vaccinated individuals. Mean titers and relative portion (</w:t>
      </w:r>
      <w:proofErr w:type="gramStart"/>
      <w:r w:rsidRPr="002B5F1F">
        <w:rPr>
          <w:rFonts w:ascii="Arial" w:hAnsi="Arial" w:cs="Arial"/>
          <w:sz w:val="20"/>
          <w:szCs w:val="20"/>
          <w:lang w:val="en-GB"/>
        </w:rPr>
        <w:t>%</w:t>
      </w:r>
      <w:proofErr w:type="gramEnd"/>
      <w:r w:rsidRPr="002B5F1F">
        <w:rPr>
          <w:rFonts w:ascii="Arial" w:hAnsi="Arial" w:cs="Arial"/>
          <w:sz w:val="20"/>
          <w:szCs w:val="20"/>
          <w:lang w:val="en-GB"/>
        </w:rPr>
        <w:t>) of neutralising sera against each variant are indicated below each panel. Mean values of two technical replicates per sample are depicted with 95% confidence intervals and SD. Statistical significance was calculated by Wilcoxon Rank Sum Test. Asterisk indicat</w:t>
      </w:r>
      <w:r>
        <w:rPr>
          <w:rFonts w:ascii="Arial" w:hAnsi="Arial" w:cs="Arial"/>
          <w:sz w:val="20"/>
          <w:szCs w:val="20"/>
          <w:lang w:val="en-GB"/>
        </w:rPr>
        <w:t>e</w:t>
      </w:r>
      <w:r w:rsidRPr="002B5F1F">
        <w:rPr>
          <w:rFonts w:ascii="Arial" w:hAnsi="Arial" w:cs="Arial"/>
          <w:sz w:val="20"/>
          <w:szCs w:val="20"/>
          <w:lang w:val="en-GB"/>
        </w:rPr>
        <w:t xml:space="preserve"> p-value as * (p &lt; 0.05).</w:t>
      </w:r>
    </w:p>
    <w:p w:rsidR="00E76B24" w:rsidRPr="002B5F1F" w:rsidRDefault="00E76B24" w:rsidP="00E76B24">
      <w:pPr>
        <w:rPr>
          <w:sz w:val="20"/>
          <w:szCs w:val="20"/>
          <w:lang w:val="en-GB"/>
        </w:rPr>
      </w:pPr>
      <w:r w:rsidRPr="002B5F1F">
        <w:rPr>
          <w:sz w:val="20"/>
          <w:szCs w:val="20"/>
          <w:lang w:val="en-GB"/>
        </w:rPr>
        <w:br w:type="page"/>
      </w:r>
    </w:p>
    <w:p w:rsidR="00E76B24" w:rsidRDefault="00E76B24" w:rsidP="00E76B24">
      <w:pPr>
        <w:jc w:val="center"/>
        <w:rPr>
          <w:lang w:val="en-US"/>
        </w:rPr>
      </w:pPr>
      <w:r>
        <w:rPr>
          <w:noProof/>
          <w:lang w:eastAsia="de-DE"/>
        </w:rPr>
        <w:lastRenderedPageBreak/>
        <w:drawing>
          <wp:inline distT="0" distB="0" distL="0" distR="0" wp14:anchorId="0BC76A8F" wp14:editId="7C4F98A2">
            <wp:extent cx="5573011" cy="357505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FAFEFF"/>
                        </a:clrFrom>
                        <a:clrTo>
                          <a:srgbClr val="FAFE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417" cy="359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B24" w:rsidRDefault="00E76B24" w:rsidP="00E76B24">
      <w:pPr>
        <w:rPr>
          <w:lang w:val="en-US"/>
        </w:rPr>
      </w:pPr>
    </w:p>
    <w:p w:rsidR="00E76B24" w:rsidRDefault="00E76B24" w:rsidP="00E76B24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894B1C">
        <w:rPr>
          <w:rFonts w:ascii="Arial" w:hAnsi="Arial" w:cs="Arial"/>
          <w:b/>
          <w:sz w:val="20"/>
          <w:lang w:val="en-US"/>
        </w:rPr>
        <w:t>Supplementary Figure 2</w:t>
      </w:r>
      <w:r w:rsidRPr="00894B1C">
        <w:rPr>
          <w:rFonts w:ascii="Arial" w:hAnsi="Arial" w:cs="Arial"/>
          <w:sz w:val="20"/>
          <w:lang w:val="en-US"/>
        </w:rPr>
        <w:t xml:space="preserve"> – O</w:t>
      </w:r>
      <w:proofErr w:type="spellStart"/>
      <w:r w:rsidRPr="00894B1C">
        <w:rPr>
          <w:rFonts w:ascii="Arial" w:hAnsi="Arial" w:cs="Arial"/>
          <w:sz w:val="20"/>
          <w:szCs w:val="20"/>
          <w:lang w:val="en-GB"/>
        </w:rPr>
        <w:t>verview</w:t>
      </w:r>
      <w:proofErr w:type="spellEnd"/>
      <w:r w:rsidRPr="00894B1C">
        <w:rPr>
          <w:rFonts w:ascii="Arial" w:hAnsi="Arial" w:cs="Arial"/>
          <w:sz w:val="20"/>
          <w:szCs w:val="20"/>
          <w:lang w:val="en-GB"/>
        </w:rPr>
        <w:t xml:space="preserve"> of sera used in this study. Detailed listing of the 165 samples indicating the relative overlaps between the groups. BNT=BNT162b2; MOD=mRNA-1273; ChAd= ChAdOx1. The figures in brackets indicate the number of male and female (male/female) donors.</w:t>
      </w:r>
    </w:p>
    <w:p w:rsidR="00E76B24" w:rsidRPr="002B5F1F" w:rsidRDefault="00E76B24" w:rsidP="00E76B24">
      <w:pPr>
        <w:pStyle w:val="Textkrper"/>
        <w:spacing w:before="65" w:line="292" w:lineRule="auto"/>
        <w:ind w:right="169"/>
        <w:jc w:val="both"/>
        <w:rPr>
          <w:sz w:val="22"/>
          <w:szCs w:val="22"/>
          <w:lang w:val="en-GB"/>
        </w:rPr>
      </w:pPr>
    </w:p>
    <w:p w:rsidR="00E76B24" w:rsidRDefault="00E76B24">
      <w:pPr>
        <w:rPr>
          <w:rFonts w:eastAsiaTheme="majorEastAsia"/>
          <w:b/>
          <w:sz w:val="20"/>
          <w:szCs w:val="26"/>
          <w:lang w:val="en-GB"/>
        </w:rPr>
        <w:sectPr w:rsidR="00E76B24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eastAsiaTheme="majorEastAsia"/>
          <w:b/>
          <w:sz w:val="20"/>
          <w:szCs w:val="26"/>
          <w:lang w:val="en-GB"/>
        </w:rPr>
        <w:br w:type="page"/>
      </w:r>
    </w:p>
    <w:p w:rsidR="00ED582E" w:rsidRDefault="00ED582E" w:rsidP="00ED582E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noProof/>
          <w:sz w:val="20"/>
          <w:szCs w:val="20"/>
          <w:lang w:eastAsia="de-DE"/>
        </w:rPr>
        <w:lastRenderedPageBreak/>
        <w:drawing>
          <wp:inline distT="0" distB="0" distL="0" distR="0" wp14:anchorId="0367E8EF" wp14:editId="445FC0C3">
            <wp:extent cx="7165075" cy="5283516"/>
            <wp:effectExtent l="0" t="0" r="0" b="0"/>
            <wp:docPr id="1" name="Grafik 1" descr="Figure2_Sensitivity Analy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2_Sensitivity Analys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534" cy="533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82E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:rsidR="00ED582E" w:rsidRDefault="00ED582E" w:rsidP="00ED582E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ED582E" w:rsidRDefault="00ED582E" w:rsidP="00ED582E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ED582E" w:rsidRDefault="00ED582E" w:rsidP="00ED582E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B5F1F">
        <w:rPr>
          <w:rFonts w:ascii="Arial" w:hAnsi="Arial" w:cs="Arial"/>
          <w:b/>
          <w:bCs/>
          <w:sz w:val="20"/>
          <w:szCs w:val="20"/>
          <w:lang w:val="en-GB"/>
        </w:rPr>
        <w:t>Supplementary Figure </w:t>
      </w:r>
      <w:r>
        <w:rPr>
          <w:rFonts w:ascii="Arial" w:hAnsi="Arial" w:cs="Arial"/>
          <w:b/>
          <w:bCs/>
          <w:sz w:val="20"/>
          <w:szCs w:val="20"/>
          <w:lang w:val="en-GB"/>
        </w:rPr>
        <w:t>3</w:t>
      </w:r>
      <w:r w:rsidRPr="002B5F1F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>–</w:t>
      </w:r>
      <w:r>
        <w:rPr>
          <w:rFonts w:ascii="Arial" w:hAnsi="Arial" w:cs="Arial"/>
          <w:b/>
          <w:sz w:val="20"/>
          <w:szCs w:val="20"/>
          <w:lang w:val="en-GB"/>
        </w:rPr>
        <w:t>Sensitivity analysis of one-way ANOVA test for differences in IgG antibody responses and age distribution</w:t>
      </w:r>
      <w:r w:rsidRPr="002B5F1F">
        <w:rPr>
          <w:rFonts w:ascii="Arial" w:hAnsi="Arial" w:cs="Arial"/>
          <w:b/>
          <w:sz w:val="20"/>
          <w:szCs w:val="20"/>
          <w:lang w:val="en-GB"/>
        </w:rPr>
        <w:t>.</w:t>
      </w:r>
      <w:r w:rsidRPr="002B5F1F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A one-way ANOVA test was conducted excluding sera originated from identical donors (red asterisks) to evaluate differences in categories of p-values obtained from the one-way ANOVA test containing all sera used in this study (black asterisks) (see </w:t>
      </w:r>
      <w:r w:rsidRPr="00D77E43">
        <w:rPr>
          <w:rFonts w:ascii="Arial" w:hAnsi="Arial" w:cs="Arial"/>
          <w:sz w:val="20"/>
          <w:szCs w:val="20"/>
          <w:lang w:val="en-GB"/>
        </w:rPr>
        <w:t>Figure 2</w:t>
      </w:r>
      <w:r>
        <w:rPr>
          <w:rFonts w:ascii="Arial" w:hAnsi="Arial" w:cs="Arial"/>
          <w:sz w:val="20"/>
          <w:szCs w:val="20"/>
          <w:lang w:val="en-GB"/>
        </w:rPr>
        <w:t xml:space="preserve">). </w:t>
      </w:r>
      <w:r w:rsidRPr="001F2A2C">
        <w:rPr>
          <w:rFonts w:ascii="Arial" w:hAnsi="Arial" w:cs="Arial"/>
          <w:sz w:val="20"/>
          <w:szCs w:val="20"/>
          <w:lang w:val="en-GB"/>
        </w:rPr>
        <w:t>Statistical significance</w:t>
      </w:r>
      <w:r>
        <w:rPr>
          <w:rFonts w:ascii="Arial" w:hAnsi="Arial" w:cs="Arial"/>
          <w:sz w:val="20"/>
          <w:szCs w:val="20"/>
          <w:lang w:val="en-GB"/>
        </w:rPr>
        <w:t>s</w:t>
      </w:r>
      <w:r w:rsidRPr="001F2A2C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GB"/>
        </w:rPr>
        <w:t xml:space="preserve">were </w:t>
      </w:r>
      <w:r w:rsidRPr="001F2A2C">
        <w:rPr>
          <w:rFonts w:ascii="Arial" w:hAnsi="Arial" w:cs="Arial"/>
          <w:sz w:val="20"/>
          <w:szCs w:val="20"/>
          <w:lang w:val="en-GB"/>
        </w:rPr>
        <w:t>calculated</w:t>
      </w:r>
      <w:proofErr w:type="gramEnd"/>
      <w:r w:rsidRPr="001F2A2C">
        <w:rPr>
          <w:rFonts w:ascii="Arial" w:hAnsi="Arial" w:cs="Arial"/>
          <w:sz w:val="20"/>
          <w:szCs w:val="20"/>
          <w:lang w:val="en-GB"/>
        </w:rPr>
        <w:t xml:space="preserve"> by one-way ANOVA with Tukey’s multiple comparison test</w:t>
      </w:r>
      <w:r>
        <w:rPr>
          <w:rFonts w:ascii="Arial" w:hAnsi="Arial" w:cs="Arial"/>
          <w:sz w:val="20"/>
          <w:szCs w:val="20"/>
          <w:lang w:val="en-GB"/>
        </w:rPr>
        <w:t>s</w:t>
      </w:r>
      <w:r w:rsidRPr="001F2A2C">
        <w:rPr>
          <w:rFonts w:ascii="Arial" w:hAnsi="Arial" w:cs="Arial"/>
          <w:sz w:val="20"/>
          <w:szCs w:val="20"/>
          <w:lang w:val="en-GB"/>
        </w:rPr>
        <w:t>. Asterisks indicate p-values as * (p &lt; 0.05), ** (p &lt; 0.01), *** (p &lt; 0.001)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1F2A2C">
        <w:rPr>
          <w:rFonts w:ascii="Arial" w:hAnsi="Arial" w:cs="Arial"/>
          <w:sz w:val="20"/>
          <w:szCs w:val="20"/>
          <w:lang w:val="en-GB"/>
        </w:rPr>
        <w:t>**** (p&lt;0.0001)</w:t>
      </w:r>
      <w:r>
        <w:rPr>
          <w:rFonts w:ascii="Arial" w:hAnsi="Arial" w:cs="Arial"/>
          <w:sz w:val="20"/>
          <w:szCs w:val="20"/>
          <w:lang w:val="en-GB"/>
        </w:rPr>
        <w:t>, and ns (p&gt;0.05)</w:t>
      </w:r>
    </w:p>
    <w:p w:rsidR="00ED582E" w:rsidRDefault="00ED582E" w:rsidP="00E76B24">
      <w:pPr>
        <w:spacing w:before="81" w:after="41"/>
        <w:ind w:left="172"/>
        <w:jc w:val="both"/>
        <w:rPr>
          <w:rFonts w:ascii="Arial" w:eastAsiaTheme="majorEastAsia" w:hAnsi="Arial" w:cs="Arial"/>
          <w:b/>
          <w:sz w:val="20"/>
          <w:szCs w:val="20"/>
          <w:lang w:val="en-GB"/>
        </w:rPr>
      </w:pPr>
    </w:p>
    <w:p w:rsidR="00ED582E" w:rsidRDefault="00ED582E" w:rsidP="00E76B24">
      <w:pPr>
        <w:spacing w:before="81" w:after="41"/>
        <w:ind w:left="172"/>
        <w:jc w:val="both"/>
        <w:rPr>
          <w:rFonts w:ascii="Arial" w:eastAsiaTheme="majorEastAsia" w:hAnsi="Arial" w:cs="Arial"/>
          <w:b/>
          <w:sz w:val="20"/>
          <w:szCs w:val="20"/>
          <w:lang w:val="en-GB"/>
        </w:rPr>
      </w:pPr>
    </w:p>
    <w:p w:rsidR="00E76B24" w:rsidRPr="002B5F1F" w:rsidRDefault="00E76B24" w:rsidP="00E76B24">
      <w:pPr>
        <w:spacing w:before="81" w:after="41"/>
        <w:ind w:left="172"/>
        <w:jc w:val="both"/>
        <w:rPr>
          <w:rFonts w:ascii="Arial" w:hAnsi="Arial" w:cs="Arial"/>
          <w:sz w:val="20"/>
          <w:szCs w:val="20"/>
          <w:lang w:val="en-GB"/>
        </w:rPr>
      </w:pPr>
      <w:r w:rsidRPr="002B5F1F">
        <w:rPr>
          <w:rFonts w:ascii="Arial" w:eastAsiaTheme="majorEastAsia" w:hAnsi="Arial" w:cs="Arial"/>
          <w:b/>
          <w:sz w:val="20"/>
          <w:szCs w:val="20"/>
          <w:lang w:val="en-GB"/>
        </w:rPr>
        <w:t>Supplementary Table 1: Mutations in the spike proteins of SARS-CoV-2 variants of concern</w:t>
      </w:r>
      <w:r w:rsidRPr="002B5F1F">
        <w:rPr>
          <w:rFonts w:ascii="Arial" w:hAnsi="Arial" w:cs="Arial"/>
          <w:sz w:val="20"/>
          <w:szCs w:val="20"/>
          <w:lang w:val="en-GB"/>
        </w:rPr>
        <w:t>. Compared to the parental SARS-CoV-2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2B5F1F">
        <w:rPr>
          <w:rFonts w:ascii="Arial" w:hAnsi="Arial" w:cs="Arial"/>
          <w:sz w:val="20"/>
          <w:szCs w:val="20"/>
          <w:lang w:val="en-GB"/>
        </w:rPr>
        <w:t>Omicron subvariants B</w:t>
      </w:r>
      <w:r>
        <w:rPr>
          <w:rFonts w:ascii="Arial" w:hAnsi="Arial" w:cs="Arial"/>
          <w:sz w:val="20"/>
          <w:szCs w:val="20"/>
          <w:lang w:val="en-GB"/>
        </w:rPr>
        <w:t>A</w:t>
      </w:r>
      <w:r w:rsidRPr="002B5F1F">
        <w:rPr>
          <w:rFonts w:ascii="Arial" w:hAnsi="Arial" w:cs="Arial"/>
          <w:sz w:val="20"/>
          <w:szCs w:val="20"/>
          <w:lang w:val="en-GB"/>
        </w:rPr>
        <w:t>.1 and B</w:t>
      </w:r>
      <w:r>
        <w:rPr>
          <w:rFonts w:ascii="Arial" w:hAnsi="Arial" w:cs="Arial"/>
          <w:sz w:val="20"/>
          <w:szCs w:val="20"/>
          <w:lang w:val="en-GB"/>
        </w:rPr>
        <w:t>A.</w:t>
      </w:r>
      <w:r w:rsidRPr="002B5F1F">
        <w:rPr>
          <w:rFonts w:ascii="Arial" w:hAnsi="Arial" w:cs="Arial"/>
          <w:sz w:val="20"/>
          <w:szCs w:val="20"/>
          <w:lang w:val="en-GB"/>
        </w:rPr>
        <w:t xml:space="preserve">2 gained distinct substitutions, insertions and deletions. Amino acid substitutions exclusively found in BA.1 and BA.2 </w:t>
      </w:r>
      <w:proofErr w:type="gramStart"/>
      <w:r w:rsidRPr="002B5F1F">
        <w:rPr>
          <w:rFonts w:ascii="Arial" w:hAnsi="Arial" w:cs="Arial"/>
          <w:sz w:val="20"/>
          <w:szCs w:val="20"/>
          <w:lang w:val="en-GB"/>
        </w:rPr>
        <w:t>are highlighted</w:t>
      </w:r>
      <w:proofErr w:type="gramEnd"/>
      <w:r w:rsidRPr="002B5F1F">
        <w:rPr>
          <w:rFonts w:ascii="Arial" w:hAnsi="Arial" w:cs="Arial"/>
          <w:sz w:val="20"/>
          <w:szCs w:val="20"/>
          <w:lang w:val="en-GB"/>
        </w:rPr>
        <w:t xml:space="preserve"> in bold. </w:t>
      </w:r>
    </w:p>
    <w:p w:rsidR="00E76B24" w:rsidRPr="002B5F1F" w:rsidRDefault="00E76B24" w:rsidP="00E76B24">
      <w:pPr>
        <w:spacing w:before="81" w:after="41"/>
        <w:ind w:left="172"/>
        <w:rPr>
          <w:b/>
          <w:sz w:val="20"/>
          <w:szCs w:val="20"/>
          <w:lang w:val="en-GB"/>
        </w:rPr>
      </w:pPr>
    </w:p>
    <w:p w:rsidR="00E76B24" w:rsidRPr="002B5F1F" w:rsidRDefault="00E76B24" w:rsidP="00E76B24">
      <w:pPr>
        <w:spacing w:before="81"/>
        <w:ind w:left="172"/>
        <w:rPr>
          <w:rFonts w:ascii="Arial" w:hAnsi="Arial" w:cs="Arial"/>
          <w:sz w:val="20"/>
          <w:szCs w:val="20"/>
          <w:lang w:val="en-GB"/>
        </w:rPr>
      </w:pPr>
      <w:r w:rsidRPr="002B5F1F">
        <w:rPr>
          <w:sz w:val="20"/>
          <w:szCs w:val="20"/>
          <w:lang w:val="en-GB"/>
        </w:rPr>
        <w:t>P</w:t>
      </w:r>
      <w:r w:rsidRPr="002B5F1F">
        <w:rPr>
          <w:rFonts w:ascii="Arial" w:hAnsi="Arial" w:cs="Arial"/>
          <w:sz w:val="20"/>
          <w:szCs w:val="20"/>
          <w:lang w:val="en-GB"/>
        </w:rPr>
        <w:t>arental:</w:t>
      </w:r>
      <w:r w:rsidRPr="002B5F1F">
        <w:rPr>
          <w:rFonts w:ascii="Arial" w:hAnsi="Arial" w:cs="Arial"/>
          <w:sz w:val="20"/>
          <w:szCs w:val="20"/>
          <w:lang w:val="en-GB"/>
        </w:rPr>
        <w:tab/>
      </w:r>
      <w:r w:rsidRPr="002B5F1F">
        <w:rPr>
          <w:rFonts w:ascii="Arial" w:hAnsi="Arial" w:cs="Arial"/>
          <w:sz w:val="20"/>
          <w:szCs w:val="20"/>
          <w:lang w:val="en-GB"/>
        </w:rPr>
        <w:tab/>
        <w:t>B.1</w:t>
      </w:r>
      <w:r w:rsidRPr="002B5F1F">
        <w:rPr>
          <w:rFonts w:ascii="Arial" w:hAnsi="Arial" w:cs="Arial"/>
          <w:sz w:val="20"/>
          <w:szCs w:val="20"/>
          <w:lang w:val="en-GB"/>
        </w:rPr>
        <w:tab/>
      </w:r>
      <w:r w:rsidRPr="002B5F1F">
        <w:rPr>
          <w:rFonts w:ascii="Arial" w:hAnsi="Arial" w:cs="Arial"/>
          <w:sz w:val="20"/>
          <w:szCs w:val="20"/>
          <w:lang w:val="en-GB"/>
        </w:rPr>
        <w:tab/>
        <w:t>D614G</w:t>
      </w:r>
    </w:p>
    <w:p w:rsidR="00E76B24" w:rsidRPr="002B5F1F" w:rsidRDefault="00E76B24" w:rsidP="00E76B24">
      <w:pPr>
        <w:spacing w:before="81"/>
        <w:ind w:left="172"/>
        <w:rPr>
          <w:rFonts w:ascii="Arial" w:hAnsi="Arial" w:cs="Arial"/>
          <w:sz w:val="20"/>
          <w:szCs w:val="20"/>
          <w:lang w:val="en-GB"/>
        </w:rPr>
      </w:pPr>
      <w:r w:rsidRPr="002B5F1F">
        <w:rPr>
          <w:rFonts w:ascii="Arial" w:hAnsi="Arial" w:cs="Arial"/>
          <w:sz w:val="20"/>
          <w:szCs w:val="20"/>
          <w:lang w:val="en-GB"/>
        </w:rPr>
        <w:t>Alpha:</w:t>
      </w:r>
      <w:r w:rsidRPr="002B5F1F">
        <w:rPr>
          <w:rFonts w:ascii="Arial" w:hAnsi="Arial" w:cs="Arial"/>
          <w:sz w:val="20"/>
          <w:szCs w:val="20"/>
          <w:lang w:val="en-GB"/>
        </w:rPr>
        <w:tab/>
      </w:r>
      <w:r w:rsidRPr="002B5F1F">
        <w:rPr>
          <w:rFonts w:ascii="Arial" w:hAnsi="Arial" w:cs="Arial"/>
          <w:sz w:val="20"/>
          <w:szCs w:val="20"/>
          <w:lang w:val="en-GB"/>
        </w:rPr>
        <w:tab/>
        <w:t>B.1.1.7</w:t>
      </w:r>
      <w:r w:rsidRPr="002B5F1F">
        <w:rPr>
          <w:rFonts w:ascii="Arial" w:hAnsi="Arial" w:cs="Arial"/>
          <w:sz w:val="20"/>
          <w:szCs w:val="20"/>
          <w:lang w:val="en-GB"/>
        </w:rPr>
        <w:tab/>
      </w:r>
      <w:r w:rsidRPr="002B5F1F">
        <w:rPr>
          <w:rFonts w:ascii="Arial" w:hAnsi="Arial" w:cs="Arial"/>
          <w:sz w:val="20"/>
          <w:szCs w:val="20"/>
          <w:lang w:val="en-GB"/>
        </w:rPr>
        <w:tab/>
        <w:t>HV69-70del, Y144del, N501Y, A570D, D614G, P681H, T716I, S982A, D1118H</w:t>
      </w:r>
    </w:p>
    <w:p w:rsidR="00E76B24" w:rsidRPr="002B5F1F" w:rsidRDefault="00E76B24" w:rsidP="00E76B24">
      <w:pPr>
        <w:spacing w:before="81"/>
        <w:ind w:left="172"/>
        <w:rPr>
          <w:rFonts w:ascii="Arial" w:hAnsi="Arial" w:cs="Arial"/>
          <w:sz w:val="20"/>
          <w:szCs w:val="20"/>
          <w:lang w:val="en-GB"/>
        </w:rPr>
      </w:pPr>
      <w:r w:rsidRPr="002B5F1F">
        <w:rPr>
          <w:rFonts w:ascii="Arial" w:hAnsi="Arial" w:cs="Arial"/>
          <w:sz w:val="20"/>
          <w:szCs w:val="20"/>
          <w:lang w:val="en-GB"/>
        </w:rPr>
        <w:t>Beta:</w:t>
      </w:r>
      <w:r w:rsidRPr="002B5F1F">
        <w:rPr>
          <w:rFonts w:ascii="Arial" w:hAnsi="Arial" w:cs="Arial"/>
          <w:sz w:val="20"/>
          <w:szCs w:val="20"/>
          <w:lang w:val="en-GB"/>
        </w:rPr>
        <w:tab/>
      </w:r>
      <w:r w:rsidRPr="002B5F1F">
        <w:rPr>
          <w:rFonts w:ascii="Arial" w:hAnsi="Arial" w:cs="Arial"/>
          <w:sz w:val="20"/>
          <w:szCs w:val="20"/>
          <w:lang w:val="en-GB"/>
        </w:rPr>
        <w:tab/>
      </w:r>
      <w:r w:rsidRPr="002B5F1F">
        <w:rPr>
          <w:rFonts w:ascii="Arial" w:hAnsi="Arial" w:cs="Arial"/>
          <w:sz w:val="20"/>
          <w:szCs w:val="20"/>
          <w:lang w:val="en-GB"/>
        </w:rPr>
        <w:tab/>
        <w:t>B.1.351</w:t>
      </w:r>
      <w:r w:rsidRPr="002B5F1F">
        <w:rPr>
          <w:rFonts w:ascii="Arial" w:hAnsi="Arial" w:cs="Arial"/>
          <w:sz w:val="20"/>
          <w:szCs w:val="20"/>
          <w:lang w:val="en-GB"/>
        </w:rPr>
        <w:tab/>
      </w:r>
      <w:r w:rsidRPr="002B5F1F">
        <w:rPr>
          <w:rFonts w:ascii="Arial" w:hAnsi="Arial" w:cs="Arial"/>
          <w:sz w:val="20"/>
          <w:szCs w:val="20"/>
          <w:lang w:val="en-GB"/>
        </w:rPr>
        <w:tab/>
        <w:t>L18F, D80A, D215G, R246I, K417N, E484K, N501Y, D614G, A701V</w:t>
      </w:r>
    </w:p>
    <w:p w:rsidR="00E76B24" w:rsidRPr="009E2E0B" w:rsidRDefault="00E76B24" w:rsidP="00E76B24">
      <w:pPr>
        <w:spacing w:before="81"/>
        <w:ind w:left="172"/>
        <w:rPr>
          <w:rFonts w:ascii="Arial" w:hAnsi="Arial" w:cs="Arial"/>
          <w:sz w:val="20"/>
          <w:szCs w:val="20"/>
        </w:rPr>
      </w:pPr>
      <w:r w:rsidRPr="009E2E0B">
        <w:rPr>
          <w:rFonts w:ascii="Arial" w:hAnsi="Arial" w:cs="Arial"/>
          <w:sz w:val="20"/>
          <w:szCs w:val="20"/>
        </w:rPr>
        <w:t>Gamma:</w:t>
      </w:r>
      <w:r w:rsidRPr="009E2E0B">
        <w:rPr>
          <w:rFonts w:ascii="Arial" w:hAnsi="Arial" w:cs="Arial"/>
          <w:sz w:val="20"/>
          <w:szCs w:val="20"/>
        </w:rPr>
        <w:tab/>
      </w:r>
      <w:r w:rsidRPr="009E2E0B">
        <w:rPr>
          <w:rFonts w:ascii="Arial" w:hAnsi="Arial" w:cs="Arial"/>
          <w:sz w:val="20"/>
          <w:szCs w:val="20"/>
        </w:rPr>
        <w:tab/>
        <w:t>P.1</w:t>
      </w:r>
      <w:r w:rsidRPr="009E2E0B">
        <w:rPr>
          <w:rFonts w:ascii="Arial" w:hAnsi="Arial" w:cs="Arial"/>
          <w:sz w:val="20"/>
          <w:szCs w:val="20"/>
        </w:rPr>
        <w:tab/>
      </w:r>
      <w:r w:rsidRPr="009E2E0B">
        <w:rPr>
          <w:rFonts w:ascii="Arial" w:hAnsi="Arial" w:cs="Arial"/>
          <w:sz w:val="20"/>
          <w:szCs w:val="20"/>
        </w:rPr>
        <w:tab/>
        <w:t>L18F, T20N, P26S, D138Y, R190S, K417T, E484K, N501Y, D614G, H655Y, T10277I</w:t>
      </w:r>
    </w:p>
    <w:p w:rsidR="00E76B24" w:rsidRPr="009E2E0B" w:rsidRDefault="00E76B24" w:rsidP="00E76B24">
      <w:pPr>
        <w:spacing w:before="81"/>
        <w:ind w:left="172"/>
        <w:rPr>
          <w:rFonts w:ascii="Arial" w:hAnsi="Arial" w:cs="Arial"/>
          <w:sz w:val="20"/>
          <w:szCs w:val="20"/>
        </w:rPr>
      </w:pPr>
      <w:r w:rsidRPr="009E2E0B">
        <w:rPr>
          <w:rFonts w:ascii="Arial" w:hAnsi="Arial" w:cs="Arial"/>
          <w:sz w:val="20"/>
          <w:szCs w:val="20"/>
        </w:rPr>
        <w:t>Delta:</w:t>
      </w:r>
      <w:r w:rsidRPr="009E2E0B">
        <w:rPr>
          <w:rFonts w:ascii="Arial" w:hAnsi="Arial" w:cs="Arial"/>
          <w:sz w:val="20"/>
          <w:szCs w:val="20"/>
        </w:rPr>
        <w:tab/>
      </w:r>
      <w:r w:rsidRPr="009E2E0B">
        <w:rPr>
          <w:rFonts w:ascii="Arial" w:hAnsi="Arial" w:cs="Arial"/>
          <w:sz w:val="20"/>
          <w:szCs w:val="20"/>
        </w:rPr>
        <w:tab/>
      </w:r>
      <w:r w:rsidRPr="009E2E0B">
        <w:rPr>
          <w:rFonts w:ascii="Arial" w:hAnsi="Arial" w:cs="Arial"/>
          <w:sz w:val="20"/>
          <w:szCs w:val="20"/>
        </w:rPr>
        <w:tab/>
        <w:t>B.1.617.2</w:t>
      </w:r>
      <w:r w:rsidRPr="009E2E0B">
        <w:rPr>
          <w:rFonts w:ascii="Arial" w:hAnsi="Arial" w:cs="Arial"/>
          <w:sz w:val="20"/>
          <w:szCs w:val="20"/>
        </w:rPr>
        <w:tab/>
        <w:t>T19R, T95I, G142D, E156-, F157-, R158G, L452R, T478K, D614G, P681R, D950N</w:t>
      </w:r>
    </w:p>
    <w:p w:rsidR="00E76B24" w:rsidRPr="009E2E0B" w:rsidRDefault="00E76B24" w:rsidP="00E76B24">
      <w:pPr>
        <w:spacing w:before="81"/>
        <w:ind w:left="1985" w:hanging="1813"/>
        <w:rPr>
          <w:rFonts w:ascii="Arial" w:hAnsi="Arial" w:cs="Arial"/>
          <w:sz w:val="20"/>
          <w:szCs w:val="20"/>
        </w:rPr>
      </w:pPr>
      <w:r w:rsidRPr="009E2E0B">
        <w:rPr>
          <w:rFonts w:ascii="Arial" w:hAnsi="Arial" w:cs="Arial"/>
          <w:sz w:val="20"/>
          <w:szCs w:val="20"/>
        </w:rPr>
        <w:t>Omicron BA.1:</w:t>
      </w:r>
      <w:r w:rsidRPr="009E2E0B">
        <w:rPr>
          <w:rFonts w:ascii="Arial" w:hAnsi="Arial" w:cs="Arial"/>
          <w:sz w:val="20"/>
          <w:szCs w:val="20"/>
        </w:rPr>
        <w:tab/>
      </w:r>
      <w:r w:rsidRPr="009E2E0B">
        <w:rPr>
          <w:rFonts w:ascii="Arial" w:hAnsi="Arial" w:cs="Arial"/>
          <w:sz w:val="20"/>
          <w:szCs w:val="20"/>
        </w:rPr>
        <w:tab/>
        <w:t>B.1.1.529.1</w:t>
      </w:r>
      <w:r w:rsidRPr="009E2E0B">
        <w:rPr>
          <w:rFonts w:ascii="Arial" w:hAnsi="Arial" w:cs="Arial"/>
          <w:sz w:val="20"/>
          <w:szCs w:val="20"/>
        </w:rPr>
        <w:tab/>
      </w:r>
      <w:r w:rsidRPr="009E2E0B">
        <w:rPr>
          <w:rFonts w:ascii="Arial" w:hAnsi="Arial" w:cs="Arial"/>
          <w:b/>
          <w:sz w:val="20"/>
          <w:szCs w:val="20"/>
        </w:rPr>
        <w:t>A67V, HV69-70del,</w:t>
      </w:r>
      <w:r w:rsidRPr="009E2E0B">
        <w:rPr>
          <w:rFonts w:ascii="Arial" w:hAnsi="Arial" w:cs="Arial"/>
          <w:sz w:val="20"/>
          <w:szCs w:val="20"/>
        </w:rPr>
        <w:t xml:space="preserve"> </w:t>
      </w:r>
      <w:r w:rsidRPr="009E2E0B">
        <w:rPr>
          <w:rFonts w:ascii="Arial" w:hAnsi="Arial" w:cs="Arial"/>
          <w:b/>
          <w:sz w:val="20"/>
          <w:szCs w:val="20"/>
        </w:rPr>
        <w:t>T95I</w:t>
      </w:r>
      <w:r w:rsidRPr="009E2E0B">
        <w:rPr>
          <w:rFonts w:ascii="Arial" w:hAnsi="Arial" w:cs="Arial"/>
          <w:sz w:val="20"/>
          <w:szCs w:val="20"/>
        </w:rPr>
        <w:t xml:space="preserve">, </w:t>
      </w:r>
      <w:r w:rsidRPr="009E2E0B">
        <w:rPr>
          <w:rFonts w:ascii="Arial" w:hAnsi="Arial" w:cs="Arial"/>
          <w:b/>
          <w:sz w:val="20"/>
          <w:szCs w:val="20"/>
        </w:rPr>
        <w:t>del143-145</w:t>
      </w:r>
      <w:r w:rsidRPr="009E2E0B">
        <w:rPr>
          <w:rFonts w:ascii="Arial" w:hAnsi="Arial" w:cs="Arial"/>
          <w:sz w:val="20"/>
          <w:szCs w:val="20"/>
        </w:rPr>
        <w:t xml:space="preserve">, Y145D, </w:t>
      </w:r>
      <w:r w:rsidRPr="009E2E0B">
        <w:rPr>
          <w:rFonts w:ascii="Arial" w:hAnsi="Arial" w:cs="Arial"/>
          <w:b/>
          <w:sz w:val="20"/>
          <w:szCs w:val="20"/>
        </w:rPr>
        <w:t>N211I</w:t>
      </w:r>
      <w:r w:rsidRPr="009E2E0B">
        <w:rPr>
          <w:rFonts w:ascii="Arial" w:hAnsi="Arial" w:cs="Arial"/>
          <w:sz w:val="20"/>
          <w:szCs w:val="20"/>
        </w:rPr>
        <w:t xml:space="preserve">, </w:t>
      </w:r>
      <w:r w:rsidRPr="009E2E0B">
        <w:rPr>
          <w:rFonts w:ascii="Arial" w:hAnsi="Arial" w:cs="Arial"/>
          <w:b/>
          <w:sz w:val="20"/>
          <w:szCs w:val="20"/>
        </w:rPr>
        <w:t>L212deI</w:t>
      </w:r>
      <w:r w:rsidRPr="009E2E0B">
        <w:rPr>
          <w:rFonts w:ascii="Arial" w:hAnsi="Arial" w:cs="Arial"/>
          <w:sz w:val="20"/>
          <w:szCs w:val="20"/>
        </w:rPr>
        <w:t xml:space="preserve">, </w:t>
      </w:r>
      <w:r w:rsidRPr="009E2E0B">
        <w:rPr>
          <w:rFonts w:ascii="Arial" w:hAnsi="Arial" w:cs="Arial"/>
          <w:b/>
          <w:sz w:val="20"/>
          <w:szCs w:val="20"/>
        </w:rPr>
        <w:t>ins214EPE</w:t>
      </w:r>
      <w:r w:rsidRPr="009E2E0B">
        <w:rPr>
          <w:rFonts w:ascii="Arial" w:hAnsi="Arial" w:cs="Arial"/>
          <w:sz w:val="20"/>
          <w:szCs w:val="20"/>
        </w:rPr>
        <w:t xml:space="preserve">, G339D, </w:t>
      </w:r>
      <w:r w:rsidRPr="009E2E0B">
        <w:rPr>
          <w:rFonts w:ascii="Arial" w:hAnsi="Arial" w:cs="Arial"/>
          <w:b/>
          <w:sz w:val="20"/>
          <w:szCs w:val="20"/>
        </w:rPr>
        <w:t>S371L</w:t>
      </w:r>
      <w:r w:rsidRPr="009E2E0B">
        <w:rPr>
          <w:rFonts w:ascii="Arial" w:hAnsi="Arial" w:cs="Arial"/>
          <w:sz w:val="20"/>
          <w:szCs w:val="20"/>
        </w:rPr>
        <w:t xml:space="preserve">, S373P, S375F, K417N, </w:t>
      </w:r>
      <w:r w:rsidRPr="009E2E0B">
        <w:rPr>
          <w:rFonts w:ascii="Arial" w:hAnsi="Arial" w:cs="Arial"/>
          <w:sz w:val="20"/>
          <w:szCs w:val="20"/>
        </w:rPr>
        <w:br/>
      </w:r>
      <w:r w:rsidRPr="009E2E0B">
        <w:rPr>
          <w:rFonts w:ascii="Arial" w:hAnsi="Arial" w:cs="Arial"/>
          <w:sz w:val="20"/>
          <w:szCs w:val="20"/>
        </w:rPr>
        <w:tab/>
      </w:r>
      <w:r w:rsidRPr="009E2E0B">
        <w:rPr>
          <w:rFonts w:ascii="Arial" w:hAnsi="Arial" w:cs="Arial"/>
          <w:sz w:val="20"/>
          <w:szCs w:val="20"/>
        </w:rPr>
        <w:tab/>
      </w:r>
      <w:r w:rsidRPr="009E2E0B">
        <w:rPr>
          <w:rFonts w:ascii="Arial" w:hAnsi="Arial" w:cs="Arial"/>
          <w:sz w:val="20"/>
          <w:szCs w:val="20"/>
        </w:rPr>
        <w:tab/>
        <w:t xml:space="preserve">N440K, </w:t>
      </w:r>
      <w:r w:rsidRPr="009E2E0B">
        <w:rPr>
          <w:rFonts w:ascii="Arial" w:hAnsi="Arial" w:cs="Arial"/>
          <w:b/>
          <w:sz w:val="20"/>
          <w:szCs w:val="20"/>
        </w:rPr>
        <w:t>G446S</w:t>
      </w:r>
      <w:r w:rsidRPr="009E2E0B">
        <w:rPr>
          <w:rFonts w:ascii="Arial" w:hAnsi="Arial" w:cs="Arial"/>
          <w:sz w:val="20"/>
          <w:szCs w:val="20"/>
        </w:rPr>
        <w:t xml:space="preserve">, S477N, T478K, E484A, Q493R, </w:t>
      </w:r>
      <w:r w:rsidRPr="009E2E0B">
        <w:rPr>
          <w:rFonts w:ascii="Arial" w:hAnsi="Arial" w:cs="Arial"/>
          <w:b/>
          <w:sz w:val="20"/>
          <w:szCs w:val="20"/>
        </w:rPr>
        <w:t>G496S</w:t>
      </w:r>
      <w:r w:rsidRPr="009E2E0B">
        <w:rPr>
          <w:rFonts w:ascii="Arial" w:hAnsi="Arial" w:cs="Arial"/>
          <w:sz w:val="20"/>
          <w:szCs w:val="20"/>
        </w:rPr>
        <w:t xml:space="preserve">, Q498R, N501Y, Y505H, </w:t>
      </w:r>
      <w:r w:rsidRPr="009E2E0B">
        <w:rPr>
          <w:rFonts w:ascii="Arial" w:hAnsi="Arial" w:cs="Arial"/>
          <w:b/>
          <w:sz w:val="20"/>
          <w:szCs w:val="20"/>
        </w:rPr>
        <w:t>T547K</w:t>
      </w:r>
      <w:r w:rsidRPr="009E2E0B">
        <w:rPr>
          <w:rFonts w:ascii="Arial" w:hAnsi="Arial" w:cs="Arial"/>
          <w:sz w:val="20"/>
          <w:szCs w:val="20"/>
        </w:rPr>
        <w:t xml:space="preserve">, D614G, H655Y, N679K, </w:t>
      </w:r>
      <w:r w:rsidRPr="009E2E0B">
        <w:rPr>
          <w:rFonts w:ascii="Arial" w:hAnsi="Arial" w:cs="Arial"/>
          <w:sz w:val="20"/>
          <w:szCs w:val="20"/>
        </w:rPr>
        <w:br/>
      </w:r>
      <w:r w:rsidRPr="009E2E0B">
        <w:rPr>
          <w:rFonts w:ascii="Arial" w:hAnsi="Arial" w:cs="Arial"/>
          <w:sz w:val="20"/>
          <w:szCs w:val="20"/>
        </w:rPr>
        <w:tab/>
      </w:r>
      <w:r w:rsidRPr="009E2E0B">
        <w:rPr>
          <w:rFonts w:ascii="Arial" w:hAnsi="Arial" w:cs="Arial"/>
          <w:sz w:val="20"/>
          <w:szCs w:val="20"/>
        </w:rPr>
        <w:tab/>
      </w:r>
      <w:r w:rsidRPr="009E2E0B">
        <w:rPr>
          <w:rFonts w:ascii="Arial" w:hAnsi="Arial" w:cs="Arial"/>
          <w:sz w:val="20"/>
          <w:szCs w:val="20"/>
        </w:rPr>
        <w:tab/>
        <w:t xml:space="preserve">P681H, N764K, D796Y, </w:t>
      </w:r>
      <w:r w:rsidRPr="009E2E0B">
        <w:rPr>
          <w:rFonts w:ascii="Arial" w:hAnsi="Arial" w:cs="Arial"/>
          <w:b/>
          <w:sz w:val="20"/>
          <w:szCs w:val="20"/>
        </w:rPr>
        <w:t>N856K</w:t>
      </w:r>
      <w:r w:rsidRPr="009E2E0B">
        <w:rPr>
          <w:rFonts w:ascii="Arial" w:hAnsi="Arial" w:cs="Arial"/>
          <w:sz w:val="20"/>
          <w:szCs w:val="20"/>
        </w:rPr>
        <w:t xml:space="preserve">, Q954H, N969K, </w:t>
      </w:r>
      <w:r w:rsidRPr="009E2E0B">
        <w:rPr>
          <w:rFonts w:ascii="Arial" w:hAnsi="Arial" w:cs="Arial"/>
          <w:b/>
          <w:sz w:val="20"/>
          <w:szCs w:val="20"/>
        </w:rPr>
        <w:t>L981F</w:t>
      </w:r>
    </w:p>
    <w:p w:rsidR="00E76B24" w:rsidRPr="002B5F1F" w:rsidRDefault="00E76B24" w:rsidP="00E76B24">
      <w:pPr>
        <w:spacing w:after="0" w:line="240" w:lineRule="auto"/>
        <w:ind w:left="2137" w:hanging="1995"/>
        <w:rPr>
          <w:rFonts w:ascii="Arial" w:hAnsi="Arial" w:cs="Arial"/>
          <w:sz w:val="20"/>
          <w:szCs w:val="20"/>
          <w:lang w:val="en-GB"/>
        </w:rPr>
      </w:pPr>
      <w:r w:rsidRPr="002B5F1F">
        <w:rPr>
          <w:rFonts w:ascii="Arial" w:hAnsi="Arial" w:cs="Arial"/>
          <w:sz w:val="20"/>
          <w:szCs w:val="20"/>
          <w:lang w:val="en-GB"/>
        </w:rPr>
        <w:t>Omicron BA.2:</w:t>
      </w:r>
      <w:r w:rsidRPr="002B5F1F">
        <w:rPr>
          <w:rFonts w:ascii="Arial" w:hAnsi="Arial" w:cs="Arial"/>
          <w:sz w:val="20"/>
          <w:szCs w:val="20"/>
          <w:lang w:val="en-GB"/>
        </w:rPr>
        <w:tab/>
        <w:t>B.1.1.529.2</w:t>
      </w:r>
      <w:r w:rsidRPr="002B5F1F">
        <w:rPr>
          <w:rFonts w:ascii="Arial" w:hAnsi="Arial" w:cs="Arial"/>
          <w:sz w:val="20"/>
          <w:szCs w:val="20"/>
          <w:lang w:val="en-GB"/>
        </w:rPr>
        <w:tab/>
      </w:r>
      <w:r w:rsidRPr="002B5F1F">
        <w:rPr>
          <w:rFonts w:ascii="Arial" w:hAnsi="Arial" w:cs="Arial"/>
          <w:b/>
          <w:sz w:val="20"/>
          <w:szCs w:val="20"/>
          <w:lang w:val="en-GB"/>
        </w:rPr>
        <w:t>T19I, L24S, PPA25-27del</w:t>
      </w:r>
      <w:r w:rsidRPr="002B5F1F">
        <w:rPr>
          <w:rFonts w:ascii="Arial" w:hAnsi="Arial" w:cs="Arial"/>
          <w:sz w:val="20"/>
          <w:szCs w:val="20"/>
          <w:lang w:val="en-GB"/>
        </w:rPr>
        <w:t xml:space="preserve">, G142D, </w:t>
      </w:r>
      <w:r w:rsidRPr="002B5F1F">
        <w:rPr>
          <w:rFonts w:ascii="Arial" w:hAnsi="Arial" w:cs="Arial"/>
          <w:b/>
          <w:sz w:val="20"/>
          <w:szCs w:val="20"/>
          <w:lang w:val="en-GB"/>
        </w:rPr>
        <w:t>V213G</w:t>
      </w:r>
      <w:r w:rsidRPr="002B5F1F">
        <w:rPr>
          <w:rFonts w:ascii="Arial" w:hAnsi="Arial" w:cs="Arial"/>
          <w:sz w:val="20"/>
          <w:szCs w:val="20"/>
          <w:lang w:val="en-GB"/>
        </w:rPr>
        <w:t xml:space="preserve">, G339D, </w:t>
      </w:r>
      <w:r w:rsidRPr="002B5F1F">
        <w:rPr>
          <w:rFonts w:ascii="Arial" w:hAnsi="Arial" w:cs="Arial"/>
          <w:b/>
          <w:sz w:val="20"/>
          <w:szCs w:val="20"/>
          <w:lang w:val="en-GB"/>
        </w:rPr>
        <w:t>S371F</w:t>
      </w:r>
      <w:r w:rsidRPr="002B5F1F">
        <w:rPr>
          <w:rFonts w:ascii="Arial" w:hAnsi="Arial" w:cs="Arial"/>
          <w:sz w:val="20"/>
          <w:szCs w:val="20"/>
          <w:lang w:val="en-GB"/>
        </w:rPr>
        <w:t xml:space="preserve">, S373P, S375F, </w:t>
      </w:r>
      <w:r w:rsidRPr="002B5F1F">
        <w:rPr>
          <w:rFonts w:ascii="Arial" w:hAnsi="Arial" w:cs="Arial"/>
          <w:b/>
          <w:sz w:val="20"/>
          <w:szCs w:val="20"/>
          <w:lang w:val="en-GB"/>
        </w:rPr>
        <w:t>T376A</w:t>
      </w:r>
      <w:r w:rsidRPr="002B5F1F">
        <w:rPr>
          <w:rFonts w:ascii="Arial" w:hAnsi="Arial" w:cs="Arial"/>
          <w:sz w:val="20"/>
          <w:szCs w:val="20"/>
          <w:lang w:val="en-GB"/>
        </w:rPr>
        <w:t xml:space="preserve">, </w:t>
      </w:r>
      <w:r w:rsidRPr="002B5F1F">
        <w:rPr>
          <w:rFonts w:ascii="Arial" w:hAnsi="Arial" w:cs="Arial"/>
          <w:b/>
          <w:sz w:val="20"/>
          <w:szCs w:val="20"/>
          <w:lang w:val="en-GB"/>
        </w:rPr>
        <w:t>D405N</w:t>
      </w:r>
      <w:r w:rsidRPr="002B5F1F">
        <w:rPr>
          <w:rFonts w:ascii="Arial" w:hAnsi="Arial" w:cs="Arial"/>
          <w:sz w:val="20"/>
          <w:szCs w:val="20"/>
          <w:lang w:val="en-GB"/>
        </w:rPr>
        <w:t xml:space="preserve">, </w:t>
      </w:r>
      <w:r w:rsidRPr="002B5F1F">
        <w:rPr>
          <w:rFonts w:ascii="Arial" w:hAnsi="Arial" w:cs="Arial"/>
          <w:b/>
          <w:sz w:val="20"/>
          <w:szCs w:val="20"/>
          <w:lang w:val="en-GB"/>
        </w:rPr>
        <w:t>R408S</w:t>
      </w:r>
      <w:r w:rsidRPr="002B5F1F">
        <w:rPr>
          <w:rFonts w:ascii="Arial" w:hAnsi="Arial" w:cs="Arial"/>
          <w:sz w:val="20"/>
          <w:szCs w:val="20"/>
          <w:lang w:val="en-GB"/>
        </w:rPr>
        <w:t xml:space="preserve">, (K417N), N440K,              </w:t>
      </w:r>
      <w:r w:rsidRPr="002B5F1F">
        <w:rPr>
          <w:rFonts w:ascii="Arial" w:hAnsi="Arial" w:cs="Arial"/>
          <w:color w:val="FFFFFF" w:themeColor="background1"/>
          <w:sz w:val="20"/>
          <w:szCs w:val="20"/>
          <w:lang w:val="en-GB"/>
        </w:rPr>
        <w:t>_____________</w:t>
      </w:r>
      <w:r w:rsidRPr="002B5F1F">
        <w:rPr>
          <w:rFonts w:ascii="Arial" w:hAnsi="Arial" w:cs="Arial"/>
          <w:sz w:val="20"/>
          <w:szCs w:val="20"/>
          <w:lang w:val="en-GB"/>
        </w:rPr>
        <w:t>S477N, T478K, E484A, Q493R, N501Y, Y505H, D614G, H655Y, N679K, P681H, N764K, D796Y, Q954H, N969K</w:t>
      </w:r>
    </w:p>
    <w:p w:rsidR="00E76B24" w:rsidRPr="002B5F1F" w:rsidRDefault="00E76B24" w:rsidP="00E76B24">
      <w:pPr>
        <w:spacing w:before="81" w:after="0"/>
        <w:rPr>
          <w:rFonts w:ascii="Arial" w:hAnsi="Arial" w:cs="Arial"/>
          <w:sz w:val="20"/>
          <w:szCs w:val="20"/>
          <w:lang w:val="en-GB"/>
        </w:rPr>
      </w:pPr>
    </w:p>
    <w:p w:rsidR="00E76B24" w:rsidRPr="002B5F1F" w:rsidRDefault="00E76B24" w:rsidP="00E76B24">
      <w:pPr>
        <w:spacing w:before="81"/>
        <w:rPr>
          <w:rFonts w:ascii="Arial" w:hAnsi="Arial" w:cs="Arial"/>
          <w:sz w:val="18"/>
          <w:szCs w:val="20"/>
          <w:lang w:val="en-GB"/>
        </w:rPr>
      </w:pPr>
      <w:r w:rsidRPr="002B5F1F">
        <w:rPr>
          <w:rFonts w:ascii="Arial" w:hAnsi="Arial" w:cs="Arial"/>
          <w:b/>
          <w:sz w:val="18"/>
          <w:szCs w:val="20"/>
          <w:lang w:val="en-GB"/>
        </w:rPr>
        <w:t>GISAID</w:t>
      </w:r>
      <w:r>
        <w:rPr>
          <w:rFonts w:ascii="Arial" w:hAnsi="Arial" w:cs="Arial"/>
          <w:b/>
          <w:noProof/>
          <w:sz w:val="18"/>
          <w:szCs w:val="20"/>
          <w:vertAlign w:val="superscript"/>
          <w:lang w:val="en-GB"/>
        </w:rPr>
        <w:fldChar w:fldCharType="begin"/>
      </w:r>
      <w:r>
        <w:rPr>
          <w:rFonts w:ascii="Arial" w:hAnsi="Arial" w:cs="Arial"/>
          <w:b/>
          <w:noProof/>
          <w:sz w:val="18"/>
          <w:szCs w:val="20"/>
          <w:vertAlign w:val="superscript"/>
          <w:lang w:val="en-GB"/>
        </w:rPr>
        <w:instrText xml:space="preserve"> ADDIN EN.CITE &lt;EndNote&gt;&lt;Cite&gt;&lt;Author&gt;Elbe&lt;/Author&gt;&lt;Year&gt;2017&lt;/Year&gt;&lt;RecNum&gt;9044&lt;/RecNum&gt;&lt;DisplayText&gt;&lt;style face="superscript"&gt;1&lt;/style&gt;&lt;/DisplayText&gt;&lt;record&gt;&lt;rec-number&gt;9044&lt;/rec-number&gt;&lt;foreign-keys&gt;&lt;key app="EN" db-id="dfzdfp5vbs9apiefrv0xd2fiax2a2edd0wt9" timestamp="1604662972"&gt;9044&lt;/key&gt;&lt;/foreign-keys&gt;&lt;ref-type name="Journal Article"&gt;17&lt;/ref-type&gt;&lt;contributors&gt;&lt;authors&gt;&lt;author&gt;Elbe, S.&lt;/author&gt;&lt;author&gt;Buckland-Merrett, G.&lt;/author&gt;&lt;/authors&gt;&lt;/contributors&gt;&lt;auth-address&gt;Centre for Global Health Policy, School of Global Studies University of Sussex Brighton BN1 9SN UK.&amp;#xD;Centre for Global Health Policy University of Sussex Brighton BN1 9SN UK.&lt;/auth-address&gt;&lt;titles&gt;&lt;title&gt;Data, disease and diplomacy: GISAID&amp;apos;s innovative contribution to global health&lt;/title&gt;&lt;secondary-title&gt;Glob Chall&lt;/secondary-title&gt;&lt;/titles&gt;&lt;periodical&gt;&lt;full-title&gt;Glob Chall&lt;/full-title&gt;&lt;/periodical&gt;&lt;pages&gt;33-46&lt;/pages&gt;&lt;volume&gt;1&lt;/volume&gt;&lt;number&gt;1&lt;/number&gt;&lt;edition&gt;2017/01/10&lt;/edition&gt;&lt;keywords&gt;&lt;keyword&gt;Gisaid&lt;/keyword&gt;&lt;keyword&gt;data-sharing&lt;/keyword&gt;&lt;keyword&gt;global health&lt;/keyword&gt;&lt;keyword&gt;influenza&lt;/keyword&gt;&lt;keyword&gt;pandemic preparedness&lt;/keyword&gt;&lt;keyword&gt;public-private partnerships&lt;/keyword&gt;&lt;keyword&gt;virus&lt;/keyword&gt;&lt;/keywords&gt;&lt;dates&gt;&lt;year&gt;2017&lt;/year&gt;&lt;pub-dates&gt;&lt;date&gt;Jan&lt;/date&gt;&lt;/pub-dates&gt;&lt;/dates&gt;&lt;isbn&gt;2056-6646 (Electronic)&amp;#xD;2056-6646 (Linking)&lt;/isbn&gt;&lt;accession-num&gt;31565258&lt;/accession-num&gt;&lt;urls&gt;&lt;related-urls&gt;&lt;url&gt;https://www.ncbi.nlm.nih.gov/pubmed/31565258&lt;/url&gt;&lt;/related-urls&gt;&lt;/urls&gt;&lt;custom2&gt;PMC6607375&lt;/custom2&gt;&lt;electronic-resource-num&gt;10.1002/gch2.1018&lt;/electronic-resource-num&gt;&lt;/record&gt;&lt;/Cite&gt;&lt;/EndNote&gt;</w:instrText>
      </w:r>
      <w:r>
        <w:rPr>
          <w:rFonts w:ascii="Arial" w:hAnsi="Arial" w:cs="Arial"/>
          <w:b/>
          <w:noProof/>
          <w:sz w:val="18"/>
          <w:szCs w:val="20"/>
          <w:vertAlign w:val="superscript"/>
          <w:lang w:val="en-GB"/>
        </w:rPr>
        <w:fldChar w:fldCharType="separate"/>
      </w:r>
      <w:r>
        <w:rPr>
          <w:rFonts w:ascii="Arial" w:hAnsi="Arial" w:cs="Arial"/>
          <w:b/>
          <w:noProof/>
          <w:sz w:val="18"/>
          <w:szCs w:val="20"/>
          <w:vertAlign w:val="superscript"/>
          <w:lang w:val="en-GB"/>
        </w:rPr>
        <w:t>1</w:t>
      </w:r>
      <w:r>
        <w:rPr>
          <w:rFonts w:ascii="Arial" w:hAnsi="Arial" w:cs="Arial"/>
          <w:b/>
          <w:noProof/>
          <w:sz w:val="18"/>
          <w:szCs w:val="20"/>
          <w:vertAlign w:val="superscript"/>
          <w:lang w:val="en-GB"/>
        </w:rPr>
        <w:fldChar w:fldCharType="end"/>
      </w:r>
      <w:r w:rsidRPr="002B5F1F">
        <w:rPr>
          <w:rFonts w:ascii="Arial" w:hAnsi="Arial" w:cs="Arial"/>
          <w:b/>
          <w:sz w:val="18"/>
          <w:szCs w:val="20"/>
          <w:lang w:val="en-GB"/>
        </w:rPr>
        <w:t xml:space="preserve"> Lineage Comparison: </w:t>
      </w:r>
      <w:proofErr w:type="spellStart"/>
      <w:r w:rsidRPr="002B5F1F">
        <w:rPr>
          <w:rFonts w:ascii="Arial" w:hAnsi="Arial" w:cs="Arial"/>
          <w:sz w:val="18"/>
          <w:szCs w:val="20"/>
          <w:lang w:val="en-GB"/>
        </w:rPr>
        <w:t>Alaa</w:t>
      </w:r>
      <w:proofErr w:type="spellEnd"/>
      <w:r w:rsidRPr="002B5F1F">
        <w:rPr>
          <w:rFonts w:ascii="Arial" w:hAnsi="Arial" w:cs="Arial"/>
          <w:sz w:val="18"/>
          <w:szCs w:val="20"/>
          <w:lang w:val="en-GB"/>
        </w:rPr>
        <w:t xml:space="preserve"> Abdel Latif, Julia L. Mullen, </w:t>
      </w:r>
      <w:proofErr w:type="spellStart"/>
      <w:r w:rsidRPr="002B5F1F">
        <w:rPr>
          <w:rFonts w:ascii="Arial" w:hAnsi="Arial" w:cs="Arial"/>
          <w:sz w:val="18"/>
          <w:szCs w:val="20"/>
          <w:lang w:val="en-GB"/>
        </w:rPr>
        <w:t>Manar</w:t>
      </w:r>
      <w:proofErr w:type="spellEnd"/>
      <w:r w:rsidRPr="002B5F1F">
        <w:rPr>
          <w:rFonts w:ascii="Arial" w:hAnsi="Arial" w:cs="Arial"/>
          <w:sz w:val="18"/>
          <w:szCs w:val="20"/>
          <w:lang w:val="en-GB"/>
        </w:rPr>
        <w:t xml:space="preserve"> </w:t>
      </w:r>
      <w:proofErr w:type="spellStart"/>
      <w:r w:rsidRPr="002B5F1F">
        <w:rPr>
          <w:rFonts w:ascii="Arial" w:hAnsi="Arial" w:cs="Arial"/>
          <w:sz w:val="18"/>
          <w:szCs w:val="20"/>
          <w:lang w:val="en-GB"/>
        </w:rPr>
        <w:t>Alkuzweny</w:t>
      </w:r>
      <w:proofErr w:type="spellEnd"/>
      <w:r w:rsidRPr="002B5F1F">
        <w:rPr>
          <w:rFonts w:ascii="Arial" w:hAnsi="Arial" w:cs="Arial"/>
          <w:sz w:val="18"/>
          <w:szCs w:val="20"/>
          <w:lang w:val="en-GB"/>
        </w:rPr>
        <w:t xml:space="preserve">, Ginger </w:t>
      </w:r>
      <w:proofErr w:type="spellStart"/>
      <w:r w:rsidRPr="002B5F1F">
        <w:rPr>
          <w:rFonts w:ascii="Arial" w:hAnsi="Arial" w:cs="Arial"/>
          <w:sz w:val="18"/>
          <w:szCs w:val="20"/>
          <w:lang w:val="en-GB"/>
        </w:rPr>
        <w:t>Tsueng</w:t>
      </w:r>
      <w:proofErr w:type="spellEnd"/>
      <w:r w:rsidRPr="002B5F1F">
        <w:rPr>
          <w:rFonts w:ascii="Arial" w:hAnsi="Arial" w:cs="Arial"/>
          <w:sz w:val="18"/>
          <w:szCs w:val="20"/>
          <w:lang w:val="en-GB"/>
        </w:rPr>
        <w:t xml:space="preserve">, Marco Cano, Emily Haag, Jerry Zhou, Mark Zeller, Emory </w:t>
      </w:r>
      <w:proofErr w:type="spellStart"/>
      <w:r w:rsidRPr="002B5F1F">
        <w:rPr>
          <w:rFonts w:ascii="Arial" w:hAnsi="Arial" w:cs="Arial"/>
          <w:sz w:val="18"/>
          <w:szCs w:val="20"/>
          <w:lang w:val="en-GB"/>
        </w:rPr>
        <w:t>Hufbauer</w:t>
      </w:r>
      <w:proofErr w:type="spellEnd"/>
      <w:r w:rsidRPr="002B5F1F">
        <w:rPr>
          <w:rFonts w:ascii="Arial" w:hAnsi="Arial" w:cs="Arial"/>
          <w:sz w:val="18"/>
          <w:szCs w:val="20"/>
          <w:lang w:val="en-GB"/>
        </w:rPr>
        <w:t xml:space="preserve">, Nate Matteson, </w:t>
      </w:r>
      <w:proofErr w:type="spellStart"/>
      <w:r w:rsidRPr="002B5F1F">
        <w:rPr>
          <w:rFonts w:ascii="Arial" w:hAnsi="Arial" w:cs="Arial"/>
          <w:sz w:val="18"/>
          <w:szCs w:val="20"/>
          <w:lang w:val="en-GB"/>
        </w:rPr>
        <w:t>Chunlei</w:t>
      </w:r>
      <w:proofErr w:type="spellEnd"/>
      <w:r w:rsidRPr="002B5F1F">
        <w:rPr>
          <w:rFonts w:ascii="Arial" w:hAnsi="Arial" w:cs="Arial"/>
          <w:sz w:val="18"/>
          <w:szCs w:val="20"/>
          <w:lang w:val="en-GB"/>
        </w:rPr>
        <w:t xml:space="preserve"> Wu, Kristian G. Andersen, Andrew I. Su, </w:t>
      </w:r>
      <w:proofErr w:type="spellStart"/>
      <w:r w:rsidRPr="002B5F1F">
        <w:rPr>
          <w:rFonts w:ascii="Arial" w:hAnsi="Arial" w:cs="Arial"/>
          <w:sz w:val="18"/>
          <w:szCs w:val="20"/>
          <w:lang w:val="en-GB"/>
        </w:rPr>
        <w:t>Karthik</w:t>
      </w:r>
      <w:proofErr w:type="spellEnd"/>
      <w:r w:rsidRPr="002B5F1F">
        <w:rPr>
          <w:rFonts w:ascii="Arial" w:hAnsi="Arial" w:cs="Arial"/>
          <w:sz w:val="18"/>
          <w:szCs w:val="20"/>
          <w:lang w:val="en-GB"/>
        </w:rPr>
        <w:t xml:space="preserve"> </w:t>
      </w:r>
      <w:proofErr w:type="spellStart"/>
      <w:r w:rsidRPr="002B5F1F">
        <w:rPr>
          <w:rFonts w:ascii="Arial" w:hAnsi="Arial" w:cs="Arial"/>
          <w:sz w:val="18"/>
          <w:szCs w:val="20"/>
          <w:lang w:val="en-GB"/>
        </w:rPr>
        <w:t>Gangavarapu</w:t>
      </w:r>
      <w:proofErr w:type="spellEnd"/>
      <w:r w:rsidRPr="002B5F1F">
        <w:rPr>
          <w:rFonts w:ascii="Arial" w:hAnsi="Arial" w:cs="Arial"/>
          <w:sz w:val="18"/>
          <w:szCs w:val="20"/>
          <w:lang w:val="en-GB"/>
        </w:rPr>
        <w:t xml:space="preserve">, Laura D. Hughes, and the </w:t>
      </w:r>
      <w:proofErr w:type="spellStart"/>
      <w:r w:rsidRPr="002B5F1F">
        <w:rPr>
          <w:rFonts w:ascii="Arial" w:hAnsi="Arial" w:cs="Arial"/>
          <w:sz w:val="18"/>
          <w:szCs w:val="20"/>
          <w:lang w:val="en-GB"/>
        </w:rPr>
        <w:t>Center</w:t>
      </w:r>
      <w:proofErr w:type="spellEnd"/>
      <w:r w:rsidRPr="002B5F1F">
        <w:rPr>
          <w:rFonts w:ascii="Arial" w:hAnsi="Arial" w:cs="Arial"/>
          <w:sz w:val="18"/>
          <w:szCs w:val="20"/>
          <w:lang w:val="en-GB"/>
        </w:rPr>
        <w:t xml:space="preserve"> for Viral Systems Biology. Accessed 12 February 2022. </w:t>
      </w:r>
      <w:r w:rsidRPr="002B5F1F">
        <w:rPr>
          <w:rFonts w:ascii="Arial" w:hAnsi="Arial" w:cs="Arial"/>
          <w:b/>
          <w:sz w:val="18"/>
          <w:szCs w:val="20"/>
          <w:lang w:val="en-GB"/>
        </w:rPr>
        <w:t>outbreak.info</w:t>
      </w:r>
      <w:r w:rsidRPr="002B5F1F">
        <w:rPr>
          <w:rFonts w:ascii="Arial" w:hAnsi="Arial" w:cs="Arial"/>
          <w:sz w:val="18"/>
          <w:szCs w:val="20"/>
          <w:lang w:val="en-GB"/>
        </w:rPr>
        <w:t xml:space="preserve"> (available at https://outbreak.info/compare-lineages?pango=Omicron&amp;pango=BA.1&amp;pango=BA.2&amp;pango=Alpha&amp;pango=Beta&amp;pango=Gamma&amp;pango=Delta gene=</w:t>
      </w:r>
      <w:proofErr w:type="spellStart"/>
      <w:r w:rsidRPr="002B5F1F">
        <w:rPr>
          <w:rFonts w:ascii="Arial" w:hAnsi="Arial" w:cs="Arial"/>
          <w:sz w:val="18"/>
          <w:szCs w:val="20"/>
          <w:lang w:val="en-GB"/>
        </w:rPr>
        <w:t>S&amp;threshold</w:t>
      </w:r>
      <w:proofErr w:type="spellEnd"/>
      <w:r w:rsidRPr="002B5F1F">
        <w:rPr>
          <w:rFonts w:ascii="Arial" w:hAnsi="Arial" w:cs="Arial"/>
          <w:sz w:val="18"/>
          <w:szCs w:val="20"/>
          <w:lang w:val="en-GB"/>
        </w:rPr>
        <w:t>=94&amp;nthresh=</w:t>
      </w:r>
      <w:proofErr w:type="gramStart"/>
      <w:r w:rsidRPr="002B5F1F">
        <w:rPr>
          <w:rFonts w:ascii="Arial" w:hAnsi="Arial" w:cs="Arial"/>
          <w:sz w:val="18"/>
          <w:szCs w:val="20"/>
          <w:lang w:val="en-GB"/>
        </w:rPr>
        <w:t>1&amp;</w:t>
      </w:r>
      <w:proofErr w:type="gramEnd"/>
      <w:r w:rsidRPr="002B5F1F">
        <w:rPr>
          <w:rFonts w:ascii="Arial" w:hAnsi="Arial" w:cs="Arial"/>
          <w:sz w:val="18"/>
          <w:szCs w:val="20"/>
          <w:lang w:val="en-GB"/>
        </w:rPr>
        <w:t xml:space="preserve">sub= </w:t>
      </w:r>
      <w:proofErr w:type="spellStart"/>
      <w:r w:rsidRPr="002B5F1F">
        <w:rPr>
          <w:rFonts w:ascii="Arial" w:hAnsi="Arial" w:cs="Arial"/>
          <w:sz w:val="18"/>
          <w:szCs w:val="20"/>
          <w:lang w:val="en-GB"/>
        </w:rPr>
        <w:t>false&amp;dark</w:t>
      </w:r>
      <w:proofErr w:type="spellEnd"/>
      <w:r w:rsidRPr="002B5F1F">
        <w:rPr>
          <w:rFonts w:ascii="Arial" w:hAnsi="Arial" w:cs="Arial"/>
          <w:sz w:val="18"/>
          <w:szCs w:val="20"/>
          <w:lang w:val="en-GB"/>
        </w:rPr>
        <w:t>=false).</w:t>
      </w:r>
    </w:p>
    <w:p w:rsidR="00E76B24" w:rsidRDefault="00E76B24">
      <w:pPr>
        <w:rPr>
          <w:rFonts w:ascii="Arial" w:eastAsiaTheme="majorEastAsia" w:hAnsi="Arial" w:cs="Arial"/>
          <w:b/>
          <w:sz w:val="20"/>
          <w:szCs w:val="26"/>
          <w:lang w:val="en-GB"/>
        </w:rPr>
      </w:pPr>
    </w:p>
    <w:p w:rsidR="00E76B24" w:rsidRPr="00E76B24" w:rsidRDefault="00E76B24" w:rsidP="00E76B24">
      <w:pPr>
        <w:pStyle w:val="EndNoteBibliography"/>
      </w:pPr>
      <w:r>
        <w:rPr>
          <w:lang w:val="en-GB"/>
        </w:rPr>
        <w:fldChar w:fldCharType="begin"/>
      </w:r>
      <w:r>
        <w:rPr>
          <w:lang w:val="en-GB"/>
        </w:rPr>
        <w:instrText xml:space="preserve"> ADDIN EN.REFLIST </w:instrText>
      </w:r>
      <w:r>
        <w:rPr>
          <w:lang w:val="en-GB"/>
        </w:rPr>
        <w:fldChar w:fldCharType="separate"/>
      </w:r>
      <w:r w:rsidRPr="00E76B24">
        <w:t>1.</w:t>
      </w:r>
      <w:r w:rsidRPr="00E76B24">
        <w:tab/>
        <w:t>Elbe S, Buckland-Merrett G. Data, disease and diplomacy: GISAID's innovative contribution to global health. Glob Chall. 2017;1(1):33-46.</w:t>
      </w:r>
    </w:p>
    <w:p w:rsidR="00E76B24" w:rsidRDefault="00E76B24" w:rsidP="00E76B24">
      <w:pPr>
        <w:rPr>
          <w:rFonts w:ascii="Arial" w:eastAsiaTheme="majorEastAsia" w:hAnsi="Arial" w:cs="Arial"/>
          <w:b/>
          <w:sz w:val="20"/>
          <w:szCs w:val="26"/>
          <w:lang w:val="en-GB"/>
        </w:rPr>
      </w:pPr>
      <w:r>
        <w:rPr>
          <w:lang w:val="en-GB"/>
        </w:rPr>
        <w:fldChar w:fldCharType="end"/>
      </w:r>
    </w:p>
    <w:p w:rsidR="00E76B24" w:rsidRDefault="00E76B24">
      <w:pPr>
        <w:rPr>
          <w:rFonts w:ascii="Arial" w:eastAsiaTheme="majorEastAsia" w:hAnsi="Arial" w:cs="Arial"/>
          <w:b/>
          <w:sz w:val="20"/>
          <w:szCs w:val="26"/>
          <w:lang w:val="en-GB"/>
        </w:rPr>
      </w:pPr>
    </w:p>
    <w:p w:rsidR="00E76B24" w:rsidRDefault="00E76B24">
      <w:pPr>
        <w:rPr>
          <w:rFonts w:ascii="Arial" w:eastAsiaTheme="majorEastAsia" w:hAnsi="Arial" w:cs="Arial"/>
          <w:b/>
          <w:sz w:val="20"/>
          <w:szCs w:val="26"/>
          <w:lang w:val="en-GB"/>
        </w:rPr>
        <w:sectPr w:rsidR="00E76B24" w:rsidSect="00ED582E">
          <w:pgSz w:w="16838" w:h="11906" w:orient="landscape"/>
          <w:pgMar w:top="709" w:right="1417" w:bottom="851" w:left="1134" w:header="708" w:footer="708" w:gutter="0"/>
          <w:cols w:space="708"/>
          <w:docGrid w:linePitch="360"/>
        </w:sectPr>
      </w:pPr>
    </w:p>
    <w:p w:rsidR="00E76B24" w:rsidRDefault="00E76B24">
      <w:pPr>
        <w:rPr>
          <w:rFonts w:ascii="Arial" w:eastAsiaTheme="majorEastAsia" w:hAnsi="Arial" w:cs="Arial"/>
          <w:b/>
          <w:sz w:val="20"/>
          <w:szCs w:val="26"/>
          <w:lang w:val="en-GB"/>
        </w:rPr>
      </w:pPr>
    </w:p>
    <w:p w:rsidR="00E76B24" w:rsidRDefault="00E76B24" w:rsidP="00E76B24">
      <w:pPr>
        <w:pStyle w:val="Textkrper"/>
        <w:spacing w:before="65" w:line="292" w:lineRule="auto"/>
        <w:ind w:right="169"/>
        <w:jc w:val="both"/>
        <w:rPr>
          <w:rFonts w:eastAsiaTheme="majorEastAsia"/>
          <w:sz w:val="20"/>
          <w:szCs w:val="26"/>
          <w:lang w:val="en-GB"/>
        </w:rPr>
      </w:pPr>
      <w:r w:rsidRPr="002B5F1F">
        <w:rPr>
          <w:rFonts w:eastAsiaTheme="majorEastAsia"/>
          <w:b/>
          <w:sz w:val="20"/>
          <w:szCs w:val="26"/>
          <w:lang w:val="en-GB"/>
        </w:rPr>
        <w:t>Supplementary Table 2</w:t>
      </w:r>
      <w:r>
        <w:rPr>
          <w:rFonts w:eastAsiaTheme="majorEastAsia"/>
          <w:b/>
          <w:sz w:val="20"/>
          <w:szCs w:val="26"/>
          <w:lang w:val="en-GB"/>
        </w:rPr>
        <w:t xml:space="preserve"> </w:t>
      </w:r>
      <w:r w:rsidRPr="002B5F1F">
        <w:rPr>
          <w:rFonts w:eastAsiaTheme="majorEastAsia"/>
          <w:b/>
          <w:sz w:val="20"/>
          <w:szCs w:val="26"/>
          <w:lang w:val="en-GB"/>
        </w:rPr>
        <w:t xml:space="preserve">- </w:t>
      </w:r>
      <w:r w:rsidR="00100D78">
        <w:rPr>
          <w:rFonts w:eastAsiaTheme="majorEastAsia"/>
          <w:b/>
          <w:sz w:val="20"/>
          <w:szCs w:val="26"/>
          <w:lang w:val="en-GB"/>
        </w:rPr>
        <w:t xml:space="preserve">Additional sequencing primers. </w:t>
      </w:r>
      <w:r w:rsidR="00100D78" w:rsidRPr="00011DB4">
        <w:rPr>
          <w:rFonts w:eastAsiaTheme="majorEastAsia"/>
          <w:sz w:val="20"/>
          <w:szCs w:val="26"/>
          <w:lang w:val="en-GB"/>
        </w:rPr>
        <w:t>Primers used to complement for dropouts while using the ARTIC protocol</w:t>
      </w:r>
      <w:r w:rsidR="00100D78">
        <w:rPr>
          <w:rFonts w:eastAsiaTheme="majorEastAsia"/>
          <w:sz w:val="20"/>
          <w:szCs w:val="26"/>
          <w:lang w:val="en-GB"/>
        </w:rPr>
        <w:t xml:space="preserve"> for SARS-CoV-2 sequencing</w:t>
      </w:r>
    </w:p>
    <w:p w:rsidR="00100D78" w:rsidRPr="002B5F1F" w:rsidRDefault="00100D78" w:rsidP="00E76B24">
      <w:pPr>
        <w:pStyle w:val="Textkrper"/>
        <w:spacing w:before="65" w:line="292" w:lineRule="auto"/>
        <w:ind w:right="169"/>
        <w:jc w:val="both"/>
        <w:rPr>
          <w:rFonts w:eastAsiaTheme="majorEastAsia"/>
          <w:b/>
          <w:szCs w:val="26"/>
          <w:lang w:val="en-GB"/>
        </w:rPr>
      </w:pPr>
    </w:p>
    <w:tbl>
      <w:tblPr>
        <w:tblW w:w="5000" w:type="pct"/>
        <w:tblInd w:w="279" w:type="dxa"/>
        <w:tblLook w:val="04A0" w:firstRow="1" w:lastRow="0" w:firstColumn="1" w:lastColumn="0" w:noHBand="0" w:noVBand="1"/>
      </w:tblPr>
      <w:tblGrid>
        <w:gridCol w:w="1065"/>
        <w:gridCol w:w="792"/>
        <w:gridCol w:w="622"/>
        <w:gridCol w:w="2038"/>
        <w:gridCol w:w="629"/>
        <w:gridCol w:w="655"/>
        <w:gridCol w:w="3261"/>
      </w:tblGrid>
      <w:tr w:rsidR="00E76B24" w:rsidRPr="002B5F1F" w:rsidTr="00C40D42">
        <w:trPr>
          <w:trHeight w:val="29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24" w:rsidRPr="002B5F1F" w:rsidRDefault="00E76B24" w:rsidP="00C40D42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/>
              </w:rPr>
              <w:t>Genome ID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24" w:rsidRPr="002B5F1F" w:rsidRDefault="00E76B24" w:rsidP="00C40D4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/>
              </w:rPr>
              <w:t>Genome position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24" w:rsidRPr="002B5F1F" w:rsidRDefault="00E76B24" w:rsidP="00C40D42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/>
              </w:rPr>
              <w:t>Name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24" w:rsidRPr="002B5F1F" w:rsidRDefault="00E76B24" w:rsidP="00C40D42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/>
              </w:rPr>
              <w:t>Pool #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24" w:rsidRPr="002B5F1F" w:rsidRDefault="00E76B24" w:rsidP="00C40D42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/>
              </w:rPr>
              <w:t>Strand</w:t>
            </w:r>
          </w:p>
        </w:tc>
        <w:tc>
          <w:tcPr>
            <w:tcW w:w="1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24" w:rsidRPr="002B5F1F" w:rsidRDefault="00E76B24" w:rsidP="00C40D42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/>
              </w:rPr>
              <w:t>Sequence</w:t>
            </w:r>
          </w:p>
        </w:tc>
      </w:tr>
      <w:tr w:rsidR="00E76B24" w:rsidRPr="002B5F1F" w:rsidTr="00C40D42">
        <w:trPr>
          <w:trHeight w:val="29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MN908947.3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2780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2813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SARS-CoV-2_10_LEFT_alt1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+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TGAATATCACTTTTGAACTTGATGAAAGGATTG</w:t>
            </w:r>
          </w:p>
        </w:tc>
      </w:tr>
      <w:tr w:rsidR="00E76B24" w:rsidRPr="002B5F1F" w:rsidTr="00C40D42">
        <w:trPr>
          <w:trHeight w:val="29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MN908947.3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3156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3177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SARS-CoV-2_10_RIGHT_alt1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GGTTGAAGAGCAGCAGAAGTG</w:t>
            </w:r>
          </w:p>
        </w:tc>
      </w:tr>
      <w:tr w:rsidR="00E76B24" w:rsidRPr="002B5F1F" w:rsidTr="00C40D42">
        <w:trPr>
          <w:trHeight w:val="29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MN908947.3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7127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7156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SARS-CoV-2_23_RIGHT_alt1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AGAATCTAAACCACTAAGACAAACACTAC</w:t>
            </w:r>
          </w:p>
        </w:tc>
      </w:tr>
      <w:tr w:rsidR="00E76B24" w:rsidRPr="002B5F1F" w:rsidTr="00C40D42">
        <w:trPr>
          <w:trHeight w:val="29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MN908947.3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8367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8392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SARS-CoV-2_27_RIGHT_alt1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AATGTTGTGACTTTTTGCTACCTGC</w:t>
            </w:r>
          </w:p>
        </w:tc>
      </w:tr>
      <w:tr w:rsidR="00E76B24" w:rsidRPr="002B5F1F" w:rsidTr="00C40D42">
        <w:trPr>
          <w:trHeight w:val="29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MN908947.3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22742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22774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SARS-CoV-2_76_LEFT_alt1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+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ATGTCTATGCAGATTCATTTGTAATTAGAGGT</w:t>
            </w:r>
          </w:p>
        </w:tc>
      </w:tr>
      <w:tr w:rsidR="00E76B24" w:rsidRPr="002B5F1F" w:rsidTr="00C40D42">
        <w:trPr>
          <w:trHeight w:val="29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MN908947.3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23120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23141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SARS-CoV-2_76_RIGHT_alt1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GTCCACAAACAGTTGCTGGTG</w:t>
            </w:r>
          </w:p>
        </w:tc>
      </w:tr>
      <w:tr w:rsidR="00E76B24" w:rsidRPr="002B5F1F" w:rsidTr="00C40D42">
        <w:trPr>
          <w:trHeight w:val="29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MN908947.3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23914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23944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SARS-CoV-2_79_RIGHT_alt1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AATTGGTGGTGTTTTGTAAATTTGTTTGAC</w:t>
            </w:r>
          </w:p>
        </w:tc>
      </w:tr>
      <w:tr w:rsidR="00E76B24" w:rsidRPr="002B5F1F" w:rsidTr="00C40D42">
        <w:trPr>
          <w:trHeight w:val="29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MN908947.3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26242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26268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SARS-CoV-2_88_LEFT_alt1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+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TTATGTACTCATTCGTTTCGGAAGAG</w:t>
            </w:r>
          </w:p>
        </w:tc>
      </w:tr>
      <w:tr w:rsidR="00E76B24" w:rsidRPr="002B5F1F" w:rsidTr="00C40D42">
        <w:trPr>
          <w:trHeight w:val="29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MN908947.3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26592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26621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SARS-CoV-2_89_LEFT_alt1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+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TAGGTTTCCTATTCCTTACATGGATTTGT</w:t>
            </w:r>
          </w:p>
        </w:tc>
      </w:tr>
      <w:tr w:rsidR="00E76B24" w:rsidRPr="002B5F1F" w:rsidTr="00C40D42">
        <w:trPr>
          <w:trHeight w:val="29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MN908947.3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26966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26991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SARS-CoV-2_89_RIGHT_alt1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CTAGATGGTGTCCAGCAATACGAAG</w:t>
            </w:r>
          </w:p>
        </w:tc>
      </w:tr>
      <w:tr w:rsidR="00E76B24" w:rsidRPr="002B5F1F" w:rsidTr="00C40D42">
        <w:trPr>
          <w:trHeight w:val="29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MN908947.3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27218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27251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SARS-CoV-2_90_RIGHT_alt1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24" w:rsidRPr="002B5F1F" w:rsidRDefault="00E76B24" w:rsidP="00C40D42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5F1F">
              <w:rPr>
                <w:rFonts w:eastAsia="Times New Roman"/>
                <w:color w:val="000000"/>
                <w:sz w:val="16"/>
                <w:szCs w:val="16"/>
                <w:lang w:val="en-GB"/>
              </w:rPr>
              <w:t>ATTAGTAATATCTCTGCTATAGTAACCTGAAAG</w:t>
            </w:r>
          </w:p>
        </w:tc>
      </w:tr>
    </w:tbl>
    <w:p w:rsidR="00E76B24" w:rsidRPr="002B5F1F" w:rsidRDefault="00E76B24" w:rsidP="00E76B24">
      <w:pPr>
        <w:pStyle w:val="Textkrper"/>
        <w:spacing w:before="65" w:line="292" w:lineRule="auto"/>
        <w:ind w:right="169"/>
        <w:jc w:val="both"/>
        <w:rPr>
          <w:sz w:val="22"/>
          <w:szCs w:val="22"/>
          <w:lang w:val="en-GB"/>
        </w:rPr>
      </w:pPr>
    </w:p>
    <w:p w:rsidR="00E76B24" w:rsidRPr="002B5F1F" w:rsidRDefault="00E76B24" w:rsidP="00E76B24">
      <w:pPr>
        <w:rPr>
          <w:sz w:val="18"/>
          <w:lang w:val="en-GB"/>
        </w:rPr>
      </w:pPr>
    </w:p>
    <w:p w:rsidR="00106895" w:rsidRDefault="00106895" w:rsidP="00106895">
      <w:pPr>
        <w:spacing w:before="81" w:after="41" w:line="360" w:lineRule="auto"/>
        <w:jc w:val="both"/>
        <w:rPr>
          <w:rFonts w:ascii="Arial" w:eastAsiaTheme="majorEastAsia" w:hAnsi="Arial" w:cs="Arial"/>
          <w:b/>
          <w:sz w:val="20"/>
          <w:szCs w:val="20"/>
          <w:lang w:val="en-GB"/>
        </w:rPr>
      </w:pPr>
    </w:p>
    <w:p w:rsidR="00106895" w:rsidRPr="00106895" w:rsidRDefault="00106895" w:rsidP="00106895">
      <w:pPr>
        <w:spacing w:before="81" w:after="41" w:line="360" w:lineRule="auto"/>
        <w:jc w:val="both"/>
        <w:rPr>
          <w:rFonts w:ascii="Arial" w:eastAsiaTheme="majorEastAsia" w:hAnsi="Arial" w:cs="Arial"/>
          <w:sz w:val="20"/>
          <w:szCs w:val="20"/>
          <w:lang w:val="en-GB"/>
        </w:rPr>
      </w:pPr>
      <w:r w:rsidRPr="00A667A7">
        <w:rPr>
          <w:rFonts w:ascii="Arial" w:eastAsiaTheme="majorEastAsia" w:hAnsi="Arial" w:cs="Arial"/>
          <w:b/>
          <w:sz w:val="20"/>
          <w:szCs w:val="20"/>
          <w:lang w:val="en-GB"/>
        </w:rPr>
        <w:t>Supplementary Table 3: Demographic and medical data of serum donors used for this study</w:t>
      </w:r>
      <w:r>
        <w:rPr>
          <w:rFonts w:ascii="Arial" w:eastAsiaTheme="majorEastAsia" w:hAnsi="Arial" w:cs="Arial"/>
          <w:sz w:val="20"/>
          <w:szCs w:val="20"/>
          <w:lang w:val="en-GB"/>
        </w:rPr>
        <w:t xml:space="preserve">. </w:t>
      </w:r>
      <w:r w:rsidRPr="00A667A7">
        <w:rPr>
          <w:rFonts w:ascii="Arial" w:eastAsiaTheme="majorEastAsia" w:hAnsi="Arial" w:cs="Arial"/>
          <w:sz w:val="20"/>
          <w:szCs w:val="20"/>
          <w:lang w:val="en-GB"/>
        </w:rPr>
        <w:t>Demographic and medical data were only available to a limited extend for all groups (age, gender, and IgG</w:t>
      </w:r>
      <w:r>
        <w:rPr>
          <w:rFonts w:ascii="Arial" w:eastAsiaTheme="majorEastAsia" w:hAnsi="Arial" w:cs="Arial"/>
          <w:sz w:val="20"/>
          <w:szCs w:val="20"/>
          <w:lang w:val="en-GB"/>
        </w:rPr>
        <w:t xml:space="preserve"> level</w:t>
      </w:r>
      <w:r w:rsidRPr="00A667A7">
        <w:rPr>
          <w:rFonts w:ascii="Arial" w:eastAsiaTheme="majorEastAsia" w:hAnsi="Arial" w:cs="Arial"/>
          <w:sz w:val="20"/>
          <w:szCs w:val="20"/>
          <w:lang w:val="en-GB"/>
        </w:rPr>
        <w:t>s) while additional data (BMI, comorbidities) was available for certain groups onl</w:t>
      </w:r>
      <w:r>
        <w:rPr>
          <w:rFonts w:ascii="Arial" w:eastAsiaTheme="majorEastAsia" w:hAnsi="Arial" w:cs="Arial"/>
          <w:sz w:val="20"/>
          <w:szCs w:val="20"/>
          <w:lang w:val="en-GB"/>
        </w:rPr>
        <w:t>y.</w:t>
      </w:r>
      <w:r w:rsidRPr="00104F74">
        <w:rPr>
          <w:rFonts w:ascii="Arial" w:eastAsiaTheme="majorEastAsia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en-GB"/>
        </w:rPr>
        <w:t xml:space="preserve">Table </w:t>
      </w:r>
      <w:proofErr w:type="gramStart"/>
      <w:r>
        <w:rPr>
          <w:rFonts w:ascii="Arial" w:eastAsiaTheme="majorEastAsia" w:hAnsi="Arial" w:cs="Arial"/>
          <w:sz w:val="20"/>
          <w:szCs w:val="20"/>
          <w:lang w:val="en-GB"/>
        </w:rPr>
        <w:t>is provided</w:t>
      </w:r>
      <w:proofErr w:type="gramEnd"/>
      <w:r>
        <w:rPr>
          <w:rFonts w:ascii="Arial" w:eastAsiaTheme="majorEastAsia" w:hAnsi="Arial" w:cs="Arial"/>
          <w:sz w:val="20"/>
          <w:szCs w:val="20"/>
          <w:lang w:val="en-GB"/>
        </w:rPr>
        <w:t xml:space="preserve"> in the .</w:t>
      </w:r>
      <w:proofErr w:type="spellStart"/>
      <w:r>
        <w:rPr>
          <w:rFonts w:ascii="Arial" w:eastAsiaTheme="majorEastAsia" w:hAnsi="Arial" w:cs="Arial"/>
          <w:sz w:val="20"/>
          <w:szCs w:val="20"/>
          <w:lang w:val="en-GB"/>
        </w:rPr>
        <w:t>xlsx</w:t>
      </w:r>
      <w:proofErr w:type="spellEnd"/>
      <w:r>
        <w:rPr>
          <w:rFonts w:ascii="Arial" w:eastAsiaTheme="majorEastAsia" w:hAnsi="Arial" w:cs="Arial"/>
          <w:sz w:val="20"/>
          <w:szCs w:val="20"/>
          <w:lang w:val="en-GB"/>
        </w:rPr>
        <w:t xml:space="preserve"> -file format. </w:t>
      </w:r>
    </w:p>
    <w:p w:rsidR="00983DAD" w:rsidRDefault="00983DAD" w:rsidP="00E76B24">
      <w:pPr>
        <w:rPr>
          <w:sz w:val="20"/>
          <w:szCs w:val="20"/>
          <w:lang w:val="en-GB"/>
        </w:rPr>
        <w:sectPr w:rsidR="00983DAD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76B24" w:rsidRDefault="00E76B24" w:rsidP="00E76B24">
      <w:pPr>
        <w:rPr>
          <w:sz w:val="20"/>
          <w:szCs w:val="20"/>
          <w:lang w:val="en-GB"/>
        </w:rPr>
      </w:pPr>
    </w:p>
    <w:p w:rsidR="00983DAD" w:rsidRDefault="00983DAD" w:rsidP="00983DAD">
      <w:pPr>
        <w:spacing w:before="81" w:after="41" w:line="360" w:lineRule="auto"/>
        <w:ind w:left="172"/>
        <w:jc w:val="both"/>
        <w:rPr>
          <w:rFonts w:ascii="Arial" w:eastAsiaTheme="majorEastAsia" w:hAnsi="Arial" w:cs="Arial"/>
          <w:b/>
          <w:sz w:val="20"/>
          <w:szCs w:val="20"/>
          <w:lang w:val="en-GB"/>
        </w:rPr>
      </w:pPr>
      <w:r>
        <w:rPr>
          <w:rFonts w:ascii="Arial" w:eastAsiaTheme="majorEastAsia" w:hAnsi="Arial" w:cs="Arial"/>
          <w:b/>
          <w:sz w:val="20"/>
          <w:szCs w:val="20"/>
          <w:lang w:val="en-GB"/>
        </w:rPr>
        <w:t>Supplementary Table 4</w:t>
      </w:r>
      <w:r w:rsidRPr="00104F74">
        <w:rPr>
          <w:rFonts w:ascii="Arial" w:eastAsiaTheme="majorEastAsia" w:hAnsi="Arial" w:cs="Arial"/>
          <w:b/>
          <w:sz w:val="20"/>
          <w:szCs w:val="20"/>
          <w:lang w:val="en-GB"/>
        </w:rPr>
        <w:t xml:space="preserve">: </w:t>
      </w:r>
      <w:r>
        <w:rPr>
          <w:rFonts w:ascii="Arial" w:eastAsiaTheme="majorEastAsia" w:hAnsi="Arial" w:cs="Arial"/>
          <w:b/>
          <w:sz w:val="20"/>
          <w:szCs w:val="20"/>
          <w:lang w:val="en-GB"/>
        </w:rPr>
        <w:t xml:space="preserve">Determination of differences in neutralisation titres against SARS-CoV-2 variants between </w:t>
      </w:r>
      <w:proofErr w:type="gramStart"/>
      <w:r w:rsidRPr="005A0E7E">
        <w:rPr>
          <w:rFonts w:ascii="Arial" w:eastAsiaTheme="majorEastAsia" w:hAnsi="Arial" w:cs="Arial"/>
          <w:b/>
          <w:sz w:val="20"/>
          <w:szCs w:val="20"/>
          <w:lang w:val="en-GB"/>
        </w:rPr>
        <w:t>BNT162b2</w:t>
      </w:r>
      <w:r>
        <w:rPr>
          <w:rFonts w:ascii="Arial" w:eastAsiaTheme="majorEastAsia" w:hAnsi="Arial" w:cs="Arial"/>
          <w:b/>
          <w:sz w:val="20"/>
          <w:szCs w:val="20"/>
          <w:lang w:val="en-GB"/>
        </w:rPr>
        <w:t>(</w:t>
      </w:r>
      <w:proofErr w:type="gramEnd"/>
      <w:r>
        <w:rPr>
          <w:rFonts w:ascii="Arial" w:eastAsiaTheme="majorEastAsia" w:hAnsi="Arial" w:cs="Arial"/>
          <w:b/>
          <w:sz w:val="20"/>
          <w:szCs w:val="20"/>
          <w:lang w:val="en-GB"/>
        </w:rPr>
        <w:t>BNT)</w:t>
      </w:r>
      <w:r w:rsidRPr="005A0E7E">
        <w:rPr>
          <w:rFonts w:ascii="Arial" w:eastAsiaTheme="majorEastAsia" w:hAnsi="Arial" w:cs="Arial"/>
          <w:b/>
          <w:sz w:val="20"/>
          <w:szCs w:val="20"/>
          <w:lang w:val="en-GB"/>
        </w:rPr>
        <w:t>-vaccinated individuals</w:t>
      </w:r>
      <w:r>
        <w:rPr>
          <w:rFonts w:ascii="Arial" w:eastAsiaTheme="majorEastAsia" w:hAnsi="Arial" w:cs="Arial"/>
          <w:b/>
          <w:sz w:val="20"/>
          <w:szCs w:val="20"/>
          <w:lang w:val="en-GB"/>
        </w:rPr>
        <w:t xml:space="preserve"> including demographic covariates age and gender by multivariate linear regression.</w:t>
      </w:r>
    </w:p>
    <w:tbl>
      <w:tblPr>
        <w:tblStyle w:val="Tabellenraster"/>
        <w:tblW w:w="11801" w:type="dxa"/>
        <w:tblLayout w:type="fixed"/>
        <w:tblLook w:val="04A0" w:firstRow="1" w:lastRow="0" w:firstColumn="1" w:lastColumn="0" w:noHBand="0" w:noVBand="1"/>
      </w:tblPr>
      <w:tblGrid>
        <w:gridCol w:w="1964"/>
        <w:gridCol w:w="3279"/>
        <w:gridCol w:w="3279"/>
        <w:gridCol w:w="3279"/>
      </w:tblGrid>
      <w:tr w:rsidR="00983DAD" w:rsidRPr="00ED582E" w:rsidTr="00881749">
        <w:trPr>
          <w:trHeight w:val="217"/>
        </w:trPr>
        <w:tc>
          <w:tcPr>
            <w:tcW w:w="1964" w:type="dxa"/>
            <w:tcBorders>
              <w:bottom w:val="nil"/>
            </w:tcBorders>
            <w:shd w:val="clear" w:color="auto" w:fill="ACB9CA" w:themeFill="text2" w:themeFillTint="66"/>
            <w:vAlign w:val="bottom"/>
          </w:tcPr>
          <w:p w:rsidR="00983DAD" w:rsidRPr="00104F74" w:rsidRDefault="00983DAD" w:rsidP="00881749">
            <w:pPr>
              <w:spacing w:before="66" w:after="37" w:line="360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GB" w:eastAsia="de-DE"/>
              </w:rPr>
            </w:pPr>
            <w:r w:rsidRPr="006729FE">
              <w:rPr>
                <w:rFonts w:ascii="Arial" w:hAnsi="Arial" w:cs="Arial"/>
                <w:b/>
                <w:sz w:val="18"/>
                <w:szCs w:val="18"/>
                <w:lang w:val="en-GB"/>
              </w:rPr>
              <w:t>Neutralisation</w:t>
            </w:r>
          </w:p>
        </w:tc>
        <w:tc>
          <w:tcPr>
            <w:tcW w:w="3279" w:type="dxa"/>
            <w:tcBorders>
              <w:bottom w:val="nil"/>
            </w:tcBorders>
            <w:shd w:val="clear" w:color="auto" w:fill="ACB9CA" w:themeFill="text2" w:themeFillTint="66"/>
            <w:vAlign w:val="center"/>
          </w:tcPr>
          <w:p w:rsidR="00983DAD" w:rsidRPr="009366CB" w:rsidRDefault="00983DAD" w:rsidP="00881749">
            <w:pPr>
              <w:spacing w:before="66" w:after="37" w:line="360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GB" w:eastAsia="de-DE"/>
              </w:rPr>
            </w:pPr>
            <w:r w:rsidRPr="002A611A">
              <w:rPr>
                <w:rFonts w:ascii="Arial" w:hAnsi="Arial" w:cs="Arial"/>
                <w:b/>
                <w:noProof/>
                <w:sz w:val="18"/>
                <w:szCs w:val="18"/>
                <w:lang w:val="en-GB" w:eastAsia="de-DE"/>
              </w:rPr>
              <w:t>2xBNT</w:t>
            </w:r>
            <w:r w:rsidRPr="002A611A">
              <w:rPr>
                <w:rFonts w:ascii="Arial" w:hAnsi="Arial" w:cs="Arial"/>
                <w:b/>
                <w:sz w:val="18"/>
                <w:szCs w:val="18"/>
                <w:vertAlign w:val="subscript"/>
                <w:lang w:val="en-GB"/>
              </w:rPr>
              <w:t>6m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vs. </w:t>
            </w:r>
            <w:r w:rsidRPr="002A611A">
              <w:rPr>
                <w:rFonts w:ascii="Arial" w:hAnsi="Arial" w:cs="Arial"/>
                <w:b/>
                <w:sz w:val="18"/>
                <w:szCs w:val="18"/>
                <w:lang w:val="en-GB"/>
              </w:rPr>
              <w:t>2xBNT / BNT</w:t>
            </w:r>
            <w:r w:rsidRPr="002A611A">
              <w:rPr>
                <w:rFonts w:ascii="Arial" w:hAnsi="Arial" w:cs="Arial"/>
                <w:b/>
                <w:sz w:val="18"/>
                <w:szCs w:val="18"/>
                <w:vertAlign w:val="subscript"/>
                <w:lang w:val="en-GB"/>
              </w:rPr>
              <w:t>0.5m</w:t>
            </w:r>
          </w:p>
        </w:tc>
        <w:tc>
          <w:tcPr>
            <w:tcW w:w="3279" w:type="dxa"/>
            <w:tcBorders>
              <w:bottom w:val="nil"/>
            </w:tcBorders>
            <w:shd w:val="clear" w:color="auto" w:fill="ACB9CA" w:themeFill="text2" w:themeFillTint="66"/>
            <w:vAlign w:val="center"/>
          </w:tcPr>
          <w:p w:rsidR="00983DAD" w:rsidRPr="002A611A" w:rsidRDefault="00983DAD" w:rsidP="00881749">
            <w:pPr>
              <w:spacing w:before="66" w:after="37" w:line="360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GB" w:eastAsia="de-DE"/>
              </w:rPr>
            </w:pPr>
            <w:r w:rsidRPr="002A611A">
              <w:rPr>
                <w:rFonts w:ascii="Arial" w:hAnsi="Arial" w:cs="Arial"/>
                <w:b/>
                <w:noProof/>
                <w:sz w:val="18"/>
                <w:szCs w:val="18"/>
                <w:lang w:val="en-GB" w:eastAsia="de-DE"/>
              </w:rPr>
              <w:t>2xBNT</w:t>
            </w:r>
            <w:r w:rsidRPr="002A611A">
              <w:rPr>
                <w:rFonts w:ascii="Arial" w:hAnsi="Arial" w:cs="Arial"/>
                <w:b/>
                <w:sz w:val="18"/>
                <w:szCs w:val="18"/>
                <w:vertAlign w:val="subscript"/>
                <w:lang w:val="en-GB"/>
              </w:rPr>
              <w:t>6m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vs. </w:t>
            </w:r>
            <w:r w:rsidRPr="002A611A">
              <w:rPr>
                <w:rFonts w:ascii="Arial" w:hAnsi="Arial" w:cs="Arial"/>
                <w:b/>
                <w:sz w:val="18"/>
                <w:szCs w:val="18"/>
                <w:lang w:val="en-GB"/>
              </w:rPr>
              <w:t>2xBNT / BNT</w:t>
            </w:r>
            <w:r w:rsidRPr="002A611A">
              <w:rPr>
                <w:rFonts w:ascii="Arial" w:hAnsi="Arial" w:cs="Arial"/>
                <w:b/>
                <w:sz w:val="18"/>
                <w:szCs w:val="18"/>
                <w:vertAlign w:val="subscript"/>
                <w:lang w:val="en-GB"/>
              </w:rPr>
              <w:t>3m</w:t>
            </w:r>
          </w:p>
        </w:tc>
        <w:tc>
          <w:tcPr>
            <w:tcW w:w="3279" w:type="dxa"/>
            <w:tcBorders>
              <w:bottom w:val="nil"/>
              <w:right w:val="single" w:sz="8" w:space="0" w:color="auto"/>
            </w:tcBorders>
            <w:shd w:val="clear" w:color="auto" w:fill="ACB9CA" w:themeFill="text2" w:themeFillTint="66"/>
            <w:vAlign w:val="center"/>
          </w:tcPr>
          <w:p w:rsidR="00983DAD" w:rsidRPr="002A611A" w:rsidRDefault="00983DAD" w:rsidP="00881749">
            <w:pPr>
              <w:spacing w:before="66" w:after="37" w:line="360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GB" w:eastAsia="de-DE"/>
              </w:rPr>
            </w:pPr>
            <w:r w:rsidRPr="002A611A">
              <w:rPr>
                <w:rFonts w:ascii="Arial" w:hAnsi="Arial" w:cs="Arial"/>
                <w:b/>
                <w:sz w:val="18"/>
                <w:szCs w:val="18"/>
                <w:lang w:val="en-GB"/>
              </w:rPr>
              <w:t>2xBNT / BNT</w:t>
            </w:r>
            <w:r w:rsidRPr="002A611A">
              <w:rPr>
                <w:rFonts w:ascii="Arial" w:hAnsi="Arial" w:cs="Arial"/>
                <w:b/>
                <w:sz w:val="18"/>
                <w:szCs w:val="18"/>
                <w:vertAlign w:val="subscript"/>
                <w:lang w:val="en-GB"/>
              </w:rPr>
              <w:t>0.5m</w:t>
            </w:r>
            <w:r w:rsidRPr="002A611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vs. </w:t>
            </w:r>
            <w:r w:rsidRPr="002A611A">
              <w:rPr>
                <w:rFonts w:ascii="Arial" w:hAnsi="Arial" w:cs="Arial"/>
                <w:b/>
                <w:sz w:val="18"/>
                <w:szCs w:val="18"/>
                <w:lang w:val="en-GB"/>
              </w:rPr>
              <w:t>2xBNT / BNT</w:t>
            </w:r>
            <w:r w:rsidRPr="002A611A">
              <w:rPr>
                <w:rFonts w:ascii="Arial" w:hAnsi="Arial" w:cs="Arial"/>
                <w:b/>
                <w:sz w:val="18"/>
                <w:szCs w:val="18"/>
                <w:vertAlign w:val="subscript"/>
                <w:lang w:val="en-GB"/>
              </w:rPr>
              <w:t>3m</w:t>
            </w:r>
          </w:p>
        </w:tc>
      </w:tr>
      <w:tr w:rsidR="00983DAD" w:rsidRPr="00104F74" w:rsidTr="00881749">
        <w:trPr>
          <w:trHeight w:val="494"/>
        </w:trPr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983DAD" w:rsidRPr="00141B83" w:rsidRDefault="00983DAD" w:rsidP="00881749">
            <w:pPr>
              <w:spacing w:line="360" w:lineRule="auto"/>
              <w:jc w:val="center"/>
              <w:rPr>
                <w:rFonts w:ascii="Arial" w:hAnsi="Arial" w:cs="Arial"/>
                <w:noProof/>
                <w:sz w:val="18"/>
                <w:szCs w:val="18"/>
                <w:highlight w:val="red"/>
                <w:vertAlign w:val="superscript"/>
                <w:lang w:val="en-GB" w:eastAsia="de-DE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de-DE"/>
              </w:rPr>
              <w:t>Delta</w:t>
            </w:r>
          </w:p>
        </w:tc>
        <w:tc>
          <w:tcPr>
            <w:tcW w:w="327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83DAD" w:rsidRPr="00810452" w:rsidRDefault="00983DAD" w:rsidP="00881749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p&lt;0.001</w:t>
            </w:r>
          </w:p>
        </w:tc>
        <w:tc>
          <w:tcPr>
            <w:tcW w:w="327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83DAD" w:rsidRPr="00810452" w:rsidRDefault="00983DAD" w:rsidP="00881749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p&lt;</w:t>
            </w:r>
            <w:r w:rsidRPr="00810452">
              <w:rPr>
                <w:rFonts w:ascii="Arial" w:hAnsi="Arial" w:cs="Arial"/>
                <w:sz w:val="18"/>
              </w:rPr>
              <w:t>0.0</w:t>
            </w:r>
            <w:r>
              <w:rPr>
                <w:rFonts w:ascii="Arial" w:hAnsi="Arial" w:cs="Arial"/>
                <w:sz w:val="18"/>
              </w:rPr>
              <w:t>01</w:t>
            </w:r>
          </w:p>
        </w:tc>
        <w:tc>
          <w:tcPr>
            <w:tcW w:w="327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83DAD" w:rsidRPr="00810452" w:rsidRDefault="00983DAD" w:rsidP="00881749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p&lt;0.001</w:t>
            </w:r>
          </w:p>
        </w:tc>
      </w:tr>
      <w:tr w:rsidR="00983DAD" w:rsidRPr="00104F74" w:rsidTr="00881749">
        <w:trPr>
          <w:trHeight w:val="494"/>
        </w:trPr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983DAD" w:rsidRPr="00141B83" w:rsidRDefault="00983DAD" w:rsidP="0088174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highlight w:val="red"/>
                <w:vertAlign w:val="superscript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BA.1</w:t>
            </w:r>
          </w:p>
        </w:tc>
        <w:tc>
          <w:tcPr>
            <w:tcW w:w="327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83DAD" w:rsidRPr="00810452" w:rsidRDefault="00983DAD" w:rsidP="00881749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p&lt;0.001</w:t>
            </w:r>
          </w:p>
        </w:tc>
        <w:tc>
          <w:tcPr>
            <w:tcW w:w="327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83DAD" w:rsidRPr="00810452" w:rsidRDefault="00983DAD" w:rsidP="00881749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810452">
              <w:rPr>
                <w:rFonts w:ascii="Arial" w:hAnsi="Arial" w:cs="Arial"/>
                <w:sz w:val="18"/>
              </w:rPr>
              <w:t>p=0.</w:t>
            </w:r>
            <w:r>
              <w:rPr>
                <w:rFonts w:ascii="Arial" w:hAnsi="Arial" w:cs="Arial"/>
                <w:sz w:val="18"/>
              </w:rPr>
              <w:t>038</w:t>
            </w:r>
          </w:p>
        </w:tc>
        <w:tc>
          <w:tcPr>
            <w:tcW w:w="327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83DAD" w:rsidRPr="00810452" w:rsidRDefault="00983DAD" w:rsidP="00881749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p&lt;0.001</w:t>
            </w:r>
          </w:p>
        </w:tc>
      </w:tr>
      <w:tr w:rsidR="00983DAD" w:rsidRPr="00104F74" w:rsidTr="00881749">
        <w:trPr>
          <w:trHeight w:val="494"/>
        </w:trPr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983DAD" w:rsidRPr="00141B83" w:rsidRDefault="00983DAD" w:rsidP="0088174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BA.2</w:t>
            </w:r>
          </w:p>
        </w:tc>
        <w:tc>
          <w:tcPr>
            <w:tcW w:w="327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DAD" w:rsidRPr="00810452" w:rsidRDefault="00983DAD" w:rsidP="00881749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810452">
              <w:rPr>
                <w:rFonts w:ascii="Arial" w:hAnsi="Arial" w:cs="Arial"/>
                <w:sz w:val="18"/>
              </w:rPr>
              <w:t>p</w:t>
            </w:r>
            <w:r>
              <w:rPr>
                <w:rFonts w:ascii="Arial" w:hAnsi="Arial" w:cs="Arial"/>
                <w:sz w:val="18"/>
              </w:rPr>
              <w:t>&lt;0.001</w:t>
            </w:r>
          </w:p>
        </w:tc>
        <w:tc>
          <w:tcPr>
            <w:tcW w:w="327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DAD" w:rsidRPr="00810452" w:rsidRDefault="00983DAD" w:rsidP="00881749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810452">
              <w:rPr>
                <w:rFonts w:ascii="Arial" w:hAnsi="Arial" w:cs="Arial"/>
                <w:sz w:val="18"/>
              </w:rPr>
              <w:t>p=0.</w:t>
            </w:r>
            <w:r>
              <w:rPr>
                <w:rFonts w:ascii="Arial" w:hAnsi="Arial" w:cs="Arial"/>
                <w:sz w:val="18"/>
              </w:rPr>
              <w:t>003</w:t>
            </w:r>
          </w:p>
        </w:tc>
        <w:tc>
          <w:tcPr>
            <w:tcW w:w="327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DAD" w:rsidRPr="00810452" w:rsidRDefault="00983DAD" w:rsidP="00881749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p&lt;0.001</w:t>
            </w:r>
          </w:p>
        </w:tc>
      </w:tr>
    </w:tbl>
    <w:p w:rsidR="00983DAD" w:rsidRDefault="00983DAD" w:rsidP="00983DAD">
      <w:pPr>
        <w:pStyle w:val="Aufzhlungszeichen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  <w:sz w:val="18"/>
          <w:lang w:val="en-US"/>
        </w:rPr>
      </w:pPr>
    </w:p>
    <w:p w:rsidR="007256F7" w:rsidRDefault="007256F7" w:rsidP="007256F7">
      <w:pPr>
        <w:pStyle w:val="Aufzhlungszeichen"/>
        <w:numPr>
          <w:ilvl w:val="0"/>
          <w:numId w:val="0"/>
        </w:numPr>
        <w:spacing w:line="360" w:lineRule="auto"/>
        <w:rPr>
          <w:rFonts w:ascii="Arial" w:hAnsi="Arial" w:cs="Arial"/>
          <w:sz w:val="18"/>
          <w:lang w:val="en-US"/>
        </w:rPr>
      </w:pPr>
    </w:p>
    <w:sectPr w:rsidR="007256F7" w:rsidSect="007256F7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BD4AFF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eBioM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fzdfp5vbs9apiefrv0xd2fiax2a2edd0wt9&quot;&gt;MaWi_Library_IMV&lt;record-ids&gt;&lt;item&gt;9044&lt;/item&gt;&lt;/record-ids&gt;&lt;/item&gt;&lt;/Libraries&gt;"/>
  </w:docVars>
  <w:rsids>
    <w:rsidRoot w:val="00E76B24"/>
    <w:rsid w:val="000844C4"/>
    <w:rsid w:val="00100D78"/>
    <w:rsid w:val="00106895"/>
    <w:rsid w:val="001F2A2C"/>
    <w:rsid w:val="00204954"/>
    <w:rsid w:val="0037691A"/>
    <w:rsid w:val="00650592"/>
    <w:rsid w:val="007256F7"/>
    <w:rsid w:val="00760757"/>
    <w:rsid w:val="008037AF"/>
    <w:rsid w:val="00983DAD"/>
    <w:rsid w:val="009A261D"/>
    <w:rsid w:val="00AD5CBD"/>
    <w:rsid w:val="00B748BC"/>
    <w:rsid w:val="00D77E43"/>
    <w:rsid w:val="00E76B24"/>
    <w:rsid w:val="00ED582E"/>
    <w:rsid w:val="00F91FEC"/>
    <w:rsid w:val="00FE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4D8A"/>
  <w15:chartTrackingRefBased/>
  <w15:docId w15:val="{C139BCDA-1F48-4A51-9377-3285E508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6B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E76B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76B24"/>
    <w:rPr>
      <w:rFonts w:ascii="Arial" w:eastAsia="Arial" w:hAnsi="Arial" w:cs="Arial"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E76B24"/>
    <w:rPr>
      <w:color w:val="0000FF"/>
      <w:u w:val="single"/>
    </w:rPr>
  </w:style>
  <w:style w:type="paragraph" w:customStyle="1" w:styleId="EndNoteBibliographyTitle">
    <w:name w:val="EndNote Bibliography Title"/>
    <w:basedOn w:val="Standard"/>
    <w:link w:val="EndNoteBibliographyTitleZchn"/>
    <w:rsid w:val="00E76B24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E76B24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E76B24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E76B24"/>
    <w:rPr>
      <w:rFonts w:ascii="Calibri" w:hAnsi="Calibri" w:cs="Calibri"/>
      <w:noProof/>
      <w:lang w:val="en-US"/>
    </w:rPr>
  </w:style>
  <w:style w:type="table" w:styleId="Tabellenraster">
    <w:name w:val="Table Grid"/>
    <w:basedOn w:val="NormaleTabelle"/>
    <w:uiPriority w:val="39"/>
    <w:rsid w:val="00E76B2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E76B24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EAAC3-57D3-45F7-A3C3-F71EE71E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1028</Words>
  <Characters>6477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Widera</dc:creator>
  <cp:keywords/>
  <dc:description/>
  <cp:lastModifiedBy>Marek Widera</cp:lastModifiedBy>
  <cp:revision>7</cp:revision>
  <dcterms:created xsi:type="dcterms:W3CDTF">2022-06-23T07:44:00Z</dcterms:created>
  <dcterms:modified xsi:type="dcterms:W3CDTF">2022-06-23T09:52:00Z</dcterms:modified>
</cp:coreProperties>
</file>