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9B91B" w14:textId="30F5F634" w:rsidR="00242934" w:rsidRPr="002B782F" w:rsidRDefault="00242934" w:rsidP="002B782F">
      <w:pPr>
        <w:rPr>
          <w:b/>
        </w:rPr>
      </w:pPr>
      <w:bookmarkStart w:id="0" w:name="_GoBack"/>
      <w:bookmarkEnd w:id="0"/>
      <w:r w:rsidRPr="002B782F">
        <w:rPr>
          <w:b/>
        </w:rPr>
        <w:t>Supplementary Material to</w:t>
      </w:r>
    </w:p>
    <w:p w14:paraId="624C2C26" w14:textId="77777777" w:rsidR="00242934" w:rsidRDefault="00242934" w:rsidP="00242934">
      <w:pPr>
        <w:pStyle w:val="MStitle"/>
      </w:pPr>
    </w:p>
    <w:p w14:paraId="37234130" w14:textId="60E19F4B" w:rsidR="00242934" w:rsidRDefault="0061008E" w:rsidP="00242934">
      <w:pPr>
        <w:pStyle w:val="MStitle"/>
      </w:pPr>
      <w:r>
        <w:t>Miocene h</w:t>
      </w:r>
      <w:r w:rsidR="00242934">
        <w:t xml:space="preserve">igh elevation </w:t>
      </w:r>
      <w:r>
        <w:t>in the</w:t>
      </w:r>
      <w:r w:rsidR="00242934">
        <w:t xml:space="preserve"> Central Alps</w:t>
      </w:r>
    </w:p>
    <w:p w14:paraId="5E889671" w14:textId="77777777" w:rsidR="00242934" w:rsidRPr="00B410A5" w:rsidRDefault="00242934" w:rsidP="00242934">
      <w:pPr>
        <w:pStyle w:val="Authors"/>
      </w:pPr>
      <w:r>
        <w:t>Emilija Krsnik</w:t>
      </w:r>
      <w:r w:rsidRPr="00C26311">
        <w:rPr>
          <w:vertAlign w:val="superscript"/>
        </w:rPr>
        <w:t>1</w:t>
      </w:r>
      <w:r>
        <w:rPr>
          <w:vertAlign w:val="superscript"/>
        </w:rPr>
        <w:t>,2</w:t>
      </w:r>
      <w:r w:rsidRPr="00C26311">
        <w:t xml:space="preserve">, </w:t>
      </w:r>
      <w:r>
        <w:t>Katharina Methner</w:t>
      </w:r>
      <w:r w:rsidRPr="00C26311">
        <w:rPr>
          <w:vertAlign w:val="superscript"/>
        </w:rPr>
        <w:t>1</w:t>
      </w:r>
      <w:r>
        <w:rPr>
          <w:vertAlign w:val="superscript"/>
        </w:rPr>
        <w:t>,5</w:t>
      </w:r>
      <w:r w:rsidRPr="00C26311">
        <w:t xml:space="preserve">, </w:t>
      </w:r>
      <w:r>
        <w:t>Marion Campani</w:t>
      </w:r>
      <w:r>
        <w:rPr>
          <w:vertAlign w:val="superscript"/>
        </w:rPr>
        <w:t>1</w:t>
      </w:r>
      <w:r>
        <w:t>, Svetlana Botsyun</w:t>
      </w:r>
      <w:r w:rsidRPr="00635DDE">
        <w:rPr>
          <w:vertAlign w:val="superscript"/>
        </w:rPr>
        <w:t>3</w:t>
      </w:r>
      <w:r>
        <w:t>, Sebastian G. Mutz</w:t>
      </w:r>
      <w:r w:rsidRPr="00635DDE">
        <w:rPr>
          <w:vertAlign w:val="superscript"/>
        </w:rPr>
        <w:t>3</w:t>
      </w:r>
      <w:r>
        <w:t>, Todd A. Ehlers</w:t>
      </w:r>
      <w:r w:rsidRPr="00635DDE">
        <w:rPr>
          <w:vertAlign w:val="superscript"/>
        </w:rPr>
        <w:t>3</w:t>
      </w:r>
      <w:r>
        <w:t>, Oliver Kempf</w:t>
      </w:r>
      <w:r w:rsidRPr="00635DDE">
        <w:rPr>
          <w:vertAlign w:val="superscript"/>
        </w:rPr>
        <w:t>4</w:t>
      </w:r>
      <w:r>
        <w:t>, Jens Fiebig</w:t>
      </w:r>
      <w:r w:rsidRPr="00635DDE">
        <w:rPr>
          <w:vertAlign w:val="superscript"/>
        </w:rPr>
        <w:t>2</w:t>
      </w:r>
      <w:r>
        <w:t>, Fritz Schlunegger</w:t>
      </w:r>
      <w:r w:rsidRPr="00085C52">
        <w:rPr>
          <w:vertAlign w:val="superscript"/>
        </w:rPr>
        <w:t>6</w:t>
      </w:r>
      <w:r>
        <w:t>, Andreas Mulch</w:t>
      </w:r>
      <w:r w:rsidRPr="00085C52">
        <w:rPr>
          <w:vertAlign w:val="superscript"/>
        </w:rPr>
        <w:t>1,2</w:t>
      </w:r>
    </w:p>
    <w:p w14:paraId="39005C3F" w14:textId="0E670991" w:rsidR="00242934" w:rsidRDefault="00242934" w:rsidP="00242934">
      <w:pPr>
        <w:pStyle w:val="Affiliation"/>
        <w:rPr>
          <w:rFonts w:cstheme="minorHAnsi"/>
        </w:rPr>
      </w:pPr>
      <w:r>
        <w:rPr>
          <w:rFonts w:cstheme="minorHAnsi"/>
          <w:vertAlign w:val="superscript"/>
        </w:rPr>
        <w:t>1</w:t>
      </w:r>
      <w:r w:rsidRPr="002575CE">
        <w:rPr>
          <w:rFonts w:cstheme="minorHAnsi"/>
        </w:rPr>
        <w:t>Senckenberg Biodiversity and Climate Research Centre (SBiK-F)</w:t>
      </w:r>
      <w:r>
        <w:rPr>
          <w:rFonts w:cstheme="minorHAnsi"/>
        </w:rPr>
        <w:t>,</w:t>
      </w:r>
      <w:r w:rsidRPr="002575CE">
        <w:rPr>
          <w:rFonts w:cstheme="minorHAnsi"/>
        </w:rPr>
        <w:t xml:space="preserve"> </w:t>
      </w:r>
      <w:r w:rsidRPr="00915457">
        <w:rPr>
          <w:rFonts w:cstheme="minorHAnsi"/>
          <w:lang w:val="en-US"/>
        </w:rPr>
        <w:t>Senckenberganlage 25</w:t>
      </w:r>
      <w:r>
        <w:rPr>
          <w:rFonts w:cstheme="minorHAnsi"/>
          <w:lang w:val="en-US"/>
        </w:rPr>
        <w:t xml:space="preserve">, </w:t>
      </w:r>
      <w:r w:rsidRPr="002575CE">
        <w:rPr>
          <w:rFonts w:cstheme="minorHAnsi"/>
        </w:rPr>
        <w:t>Frankfurt (Main), 60325</w:t>
      </w:r>
      <w:r>
        <w:rPr>
          <w:rFonts w:cstheme="minorHAnsi"/>
        </w:rPr>
        <w:t xml:space="preserve">, </w:t>
      </w:r>
      <w:r w:rsidRPr="002575CE">
        <w:rPr>
          <w:rFonts w:cstheme="minorHAnsi"/>
        </w:rPr>
        <w:t>Germany</w:t>
      </w:r>
    </w:p>
    <w:p w14:paraId="5DDFA5A4" w14:textId="1C3098B1" w:rsidR="00242934" w:rsidRDefault="00242934" w:rsidP="00242934">
      <w:pPr>
        <w:spacing w:line="240" w:lineRule="auto"/>
        <w:contextualSpacing/>
        <w:rPr>
          <w:rFonts w:cstheme="minorHAnsi"/>
        </w:rPr>
      </w:pPr>
      <w:r>
        <w:rPr>
          <w:rFonts w:cstheme="minorHAnsi"/>
          <w:vertAlign w:val="superscript"/>
        </w:rPr>
        <w:t>2</w:t>
      </w:r>
      <w:r w:rsidRPr="002575CE">
        <w:rPr>
          <w:rFonts w:cstheme="minorHAnsi"/>
        </w:rPr>
        <w:t>Institute of Geosciences, Goethe University Frankfurt</w:t>
      </w:r>
      <w:r>
        <w:rPr>
          <w:rFonts w:cstheme="minorHAnsi"/>
        </w:rPr>
        <w:t>,</w:t>
      </w:r>
      <w:r w:rsidRPr="002575CE">
        <w:rPr>
          <w:rFonts w:cstheme="minorHAnsi"/>
        </w:rPr>
        <w:t xml:space="preserve"> </w:t>
      </w:r>
      <w:r w:rsidRPr="00915457">
        <w:rPr>
          <w:rFonts w:cstheme="minorHAnsi"/>
          <w:lang w:val="en-US"/>
        </w:rPr>
        <w:t>Altenhöferallee 1</w:t>
      </w:r>
      <w:r>
        <w:rPr>
          <w:rFonts w:cstheme="minorHAnsi"/>
          <w:lang w:val="en-US"/>
        </w:rPr>
        <w:t xml:space="preserve">, </w:t>
      </w:r>
      <w:r w:rsidRPr="002575CE">
        <w:rPr>
          <w:rFonts w:cstheme="minorHAnsi"/>
        </w:rPr>
        <w:t>Frankfurt (Main), 60438</w:t>
      </w:r>
      <w:r>
        <w:rPr>
          <w:rFonts w:cstheme="minorHAnsi"/>
        </w:rPr>
        <w:t xml:space="preserve">, </w:t>
      </w:r>
      <w:r w:rsidRPr="002575CE">
        <w:rPr>
          <w:rFonts w:cstheme="minorHAnsi"/>
        </w:rPr>
        <w:t>Germany</w:t>
      </w:r>
    </w:p>
    <w:p w14:paraId="67E26CBA" w14:textId="77777777" w:rsidR="00242934" w:rsidRPr="00E44381" w:rsidRDefault="00242934" w:rsidP="00242934">
      <w:pPr>
        <w:spacing w:line="240" w:lineRule="auto"/>
        <w:contextualSpacing/>
        <w:rPr>
          <w:rFonts w:cstheme="minorHAnsi"/>
          <w:lang w:val="de-DE"/>
        </w:rPr>
      </w:pPr>
      <w:r>
        <w:rPr>
          <w:rFonts w:cstheme="minorHAnsi"/>
          <w:vertAlign w:val="superscript"/>
        </w:rPr>
        <w:t>3</w:t>
      </w:r>
      <w:r w:rsidRPr="002575CE">
        <w:rPr>
          <w:rFonts w:cstheme="minorHAnsi"/>
        </w:rPr>
        <w:t xml:space="preserve">Department of Geosciences, University of Tübingen, </w:t>
      </w:r>
      <w:r w:rsidRPr="00955443">
        <w:t xml:space="preserve">Schnarrenbergstr. </w:t>
      </w:r>
      <w:r w:rsidRPr="00E44381">
        <w:rPr>
          <w:lang w:val="de-DE"/>
        </w:rPr>
        <w:t>94-96, 72076 Tübingen</w:t>
      </w:r>
      <w:r w:rsidRPr="00E44381">
        <w:rPr>
          <w:rFonts w:cstheme="minorHAnsi"/>
          <w:lang w:val="de-DE"/>
        </w:rPr>
        <w:t>, Germany</w:t>
      </w:r>
    </w:p>
    <w:p w14:paraId="747207D7" w14:textId="34BC2BE1" w:rsidR="00242934" w:rsidRPr="00242934" w:rsidRDefault="00242934" w:rsidP="00242934">
      <w:pPr>
        <w:spacing w:line="240" w:lineRule="auto"/>
        <w:contextualSpacing/>
        <w:rPr>
          <w:rFonts w:cstheme="minorHAnsi"/>
          <w:lang w:val="de-DE"/>
        </w:rPr>
      </w:pPr>
      <w:r w:rsidRPr="00242934">
        <w:rPr>
          <w:rFonts w:cstheme="minorHAnsi"/>
          <w:vertAlign w:val="superscript"/>
          <w:lang w:val="de-DE"/>
        </w:rPr>
        <w:t>4</w:t>
      </w:r>
      <w:r w:rsidRPr="00242934">
        <w:rPr>
          <w:rFonts w:cstheme="minorHAnsi"/>
          <w:lang w:val="de-DE"/>
        </w:rPr>
        <w:t>Federal Office of Topography swisstopo, Geologische Landesaufnahme, Seftigenstr. 264, Wabern, 3084, Switzerland</w:t>
      </w:r>
    </w:p>
    <w:p w14:paraId="55A3AF00" w14:textId="77777777" w:rsidR="00242934" w:rsidRPr="00A855A4" w:rsidRDefault="00242934" w:rsidP="00242934">
      <w:pPr>
        <w:spacing w:line="240" w:lineRule="auto"/>
        <w:contextualSpacing/>
        <w:rPr>
          <w:rFonts w:cstheme="minorHAnsi"/>
        </w:rPr>
      </w:pPr>
      <w:r>
        <w:rPr>
          <w:rFonts w:cstheme="minorHAnsi"/>
          <w:vertAlign w:val="superscript"/>
        </w:rPr>
        <w:t>5</w:t>
      </w:r>
      <w:r w:rsidRPr="00A855A4">
        <w:rPr>
          <w:rFonts w:cstheme="minorHAnsi"/>
        </w:rPr>
        <w:t>Department of Geological Sciences, Stanford University, CA 94305, USA</w:t>
      </w:r>
    </w:p>
    <w:p w14:paraId="037D826C" w14:textId="08A1249D" w:rsidR="00242934" w:rsidRPr="00A855A4" w:rsidRDefault="00242934" w:rsidP="00242934">
      <w:pPr>
        <w:rPr>
          <w:rFonts w:cstheme="minorHAnsi"/>
        </w:rPr>
      </w:pPr>
      <w:r>
        <w:rPr>
          <w:rFonts w:cstheme="minorHAnsi"/>
          <w:vertAlign w:val="superscript"/>
        </w:rPr>
        <w:t>6</w:t>
      </w:r>
      <w:r w:rsidRPr="00A855A4">
        <w:rPr>
          <w:rFonts w:cstheme="minorHAnsi"/>
        </w:rPr>
        <w:t>Institute of Geologica</w:t>
      </w:r>
      <w:r>
        <w:rPr>
          <w:rFonts w:cstheme="minorHAnsi"/>
        </w:rPr>
        <w:t>l Sciences, University of Bern,</w:t>
      </w:r>
      <w:r w:rsidRPr="00955443">
        <w:rPr>
          <w:rStyle w:val="lrzxr"/>
        </w:rPr>
        <w:t xml:space="preserve"> </w:t>
      </w:r>
      <w:r w:rsidRPr="00915457">
        <w:rPr>
          <w:rStyle w:val="lrzxr"/>
          <w:lang w:val="en-US"/>
        </w:rPr>
        <w:t>Baltzerstrasse 3</w:t>
      </w:r>
      <w:r>
        <w:rPr>
          <w:rStyle w:val="lrzxr"/>
          <w:lang w:val="en-US"/>
        </w:rPr>
        <w:t xml:space="preserve">, </w:t>
      </w:r>
      <w:r w:rsidRPr="00955443">
        <w:rPr>
          <w:rStyle w:val="lrzxr"/>
        </w:rPr>
        <w:t>Bern</w:t>
      </w:r>
      <w:r w:rsidRPr="00A855A4">
        <w:rPr>
          <w:rFonts w:cstheme="minorHAnsi"/>
        </w:rPr>
        <w:t xml:space="preserve">, </w:t>
      </w:r>
      <w:r w:rsidRPr="00955443">
        <w:rPr>
          <w:rStyle w:val="lrzxr"/>
        </w:rPr>
        <w:t>3012</w:t>
      </w:r>
      <w:r>
        <w:rPr>
          <w:rStyle w:val="lrzxr"/>
        </w:rPr>
        <w:t xml:space="preserve">, </w:t>
      </w:r>
      <w:r w:rsidRPr="00A855A4">
        <w:rPr>
          <w:rFonts w:cstheme="minorHAnsi"/>
        </w:rPr>
        <w:t>Switzerland</w:t>
      </w:r>
    </w:p>
    <w:p w14:paraId="6EB62333" w14:textId="77777777" w:rsidR="002B782F" w:rsidRDefault="002B782F" w:rsidP="002B782F">
      <w:pPr>
        <w:rPr>
          <w:i/>
        </w:rPr>
      </w:pPr>
    </w:p>
    <w:p w14:paraId="39736CB7" w14:textId="77777777" w:rsidR="002B782F" w:rsidRPr="002B782F" w:rsidRDefault="00242934" w:rsidP="002B782F">
      <w:pPr>
        <w:rPr>
          <w:i/>
        </w:rPr>
      </w:pPr>
      <w:r w:rsidRPr="002B782F">
        <w:rPr>
          <w:i/>
        </w:rPr>
        <w:t xml:space="preserve">Correspondence to: </w:t>
      </w:r>
    </w:p>
    <w:p w14:paraId="3108DD2A" w14:textId="1C1E8BC3" w:rsidR="002B782F" w:rsidRPr="002B782F" w:rsidRDefault="00242934" w:rsidP="002B782F">
      <w:pPr>
        <w:spacing w:line="240" w:lineRule="auto"/>
        <w:rPr>
          <w:rFonts w:asciiTheme="minorHAnsi" w:hAnsiTheme="minorHAnsi" w:cstheme="minorHAnsi"/>
          <w:szCs w:val="20"/>
        </w:rPr>
      </w:pPr>
      <w:r w:rsidRPr="002B782F">
        <w:rPr>
          <w:rFonts w:asciiTheme="minorHAnsi" w:hAnsiTheme="minorHAnsi" w:cstheme="minorHAnsi"/>
          <w:szCs w:val="20"/>
        </w:rPr>
        <w:t xml:space="preserve">Emilija Krsnik </w:t>
      </w:r>
    </w:p>
    <w:p w14:paraId="705E3BDF" w14:textId="77777777" w:rsidR="002B782F" w:rsidRPr="002B782F" w:rsidRDefault="002B782F" w:rsidP="002B782F">
      <w:pPr>
        <w:spacing w:line="240" w:lineRule="auto"/>
        <w:rPr>
          <w:rFonts w:asciiTheme="minorHAnsi" w:hAnsiTheme="minorHAnsi" w:cstheme="minorHAnsi"/>
          <w:szCs w:val="20"/>
        </w:rPr>
      </w:pPr>
      <w:r w:rsidRPr="002B782F">
        <w:rPr>
          <w:rFonts w:asciiTheme="minorHAnsi" w:hAnsiTheme="minorHAnsi" w:cstheme="minorHAnsi"/>
          <w:szCs w:val="20"/>
        </w:rPr>
        <w:t>Senckenberg Biodiversity and Climate Research Centre (BiK-F), Senckenberganlage 25,</w:t>
      </w:r>
    </w:p>
    <w:p w14:paraId="6A2BBE43" w14:textId="77777777" w:rsidR="002B782F" w:rsidRPr="002B782F" w:rsidRDefault="002B782F" w:rsidP="002B782F">
      <w:pPr>
        <w:spacing w:line="240" w:lineRule="auto"/>
        <w:rPr>
          <w:rFonts w:asciiTheme="minorHAnsi" w:hAnsiTheme="minorHAnsi" w:cstheme="minorHAnsi"/>
          <w:szCs w:val="20"/>
          <w:lang w:val="de-DE"/>
        </w:rPr>
      </w:pPr>
      <w:r w:rsidRPr="002B782F">
        <w:rPr>
          <w:rFonts w:asciiTheme="minorHAnsi" w:hAnsiTheme="minorHAnsi" w:cstheme="minorHAnsi"/>
          <w:szCs w:val="20"/>
          <w:lang w:val="de-DE"/>
        </w:rPr>
        <w:t>60325 Frankfurt/Main</w:t>
      </w:r>
    </w:p>
    <w:p w14:paraId="2B2F120B" w14:textId="77777777" w:rsidR="002B782F" w:rsidRPr="002B782F" w:rsidRDefault="002B782F" w:rsidP="002B782F">
      <w:pPr>
        <w:spacing w:line="240" w:lineRule="auto"/>
        <w:rPr>
          <w:rFonts w:asciiTheme="minorHAnsi" w:hAnsiTheme="minorHAnsi" w:cstheme="minorHAnsi"/>
          <w:szCs w:val="20"/>
          <w:lang w:val="de-DE"/>
        </w:rPr>
      </w:pPr>
      <w:r w:rsidRPr="002B782F">
        <w:rPr>
          <w:rFonts w:asciiTheme="minorHAnsi" w:hAnsiTheme="minorHAnsi" w:cstheme="minorHAnsi"/>
          <w:szCs w:val="20"/>
          <w:lang w:val="de-DE"/>
        </w:rPr>
        <w:t>0049 69 7542 1815</w:t>
      </w:r>
    </w:p>
    <w:p w14:paraId="47D3F395" w14:textId="77777777" w:rsidR="002B782F" w:rsidRPr="002B782F" w:rsidRDefault="00647D92" w:rsidP="002B782F">
      <w:pPr>
        <w:spacing w:line="240" w:lineRule="auto"/>
        <w:rPr>
          <w:rFonts w:asciiTheme="minorHAnsi" w:hAnsiTheme="minorHAnsi" w:cstheme="minorHAnsi"/>
          <w:szCs w:val="20"/>
          <w:lang w:val="de-DE"/>
        </w:rPr>
      </w:pPr>
      <w:hyperlink r:id="rId8" w:history="1">
        <w:r w:rsidR="002B782F" w:rsidRPr="002B782F">
          <w:rPr>
            <w:rStyle w:val="Hyperlink"/>
            <w:rFonts w:asciiTheme="minorHAnsi" w:hAnsiTheme="minorHAnsi" w:cstheme="minorHAnsi"/>
            <w:color w:val="auto"/>
            <w:szCs w:val="20"/>
            <w:u w:val="none"/>
            <w:lang w:val="de-DE"/>
          </w:rPr>
          <w:t>emilija.krsnik@senckenberg.de</w:t>
        </w:r>
      </w:hyperlink>
    </w:p>
    <w:p w14:paraId="01012089" w14:textId="00C05752" w:rsidR="00242934" w:rsidRPr="00E44381" w:rsidRDefault="00242934" w:rsidP="002B782F">
      <w:pPr>
        <w:pStyle w:val="Correspondence"/>
        <w:rPr>
          <w:lang w:val="de-DE"/>
        </w:rPr>
      </w:pPr>
    </w:p>
    <w:p w14:paraId="41868303" w14:textId="332C387B" w:rsidR="00C82F79" w:rsidRPr="00C629C5" w:rsidRDefault="002B782F" w:rsidP="00C82F79">
      <w:pPr>
        <w:pStyle w:val="berschrift1"/>
        <w:rPr>
          <w:lang w:val="de-DE"/>
        </w:rPr>
      </w:pPr>
      <w:r w:rsidRPr="00C629C5">
        <w:rPr>
          <w:lang w:val="de-DE"/>
        </w:rPr>
        <w:t>Content</w:t>
      </w:r>
    </w:p>
    <w:p w14:paraId="6DFD2A45" w14:textId="5F39DB5A" w:rsidR="002B782F" w:rsidRPr="00F0048A" w:rsidRDefault="002B782F" w:rsidP="002B782F">
      <w:pPr>
        <w:pStyle w:val="Listenabsatz"/>
        <w:numPr>
          <w:ilvl w:val="0"/>
          <w:numId w:val="5"/>
        </w:numPr>
      </w:pPr>
      <w:r w:rsidRPr="00F0048A">
        <w:t xml:space="preserve">Text </w:t>
      </w:r>
      <w:r w:rsidR="0048155E">
        <w:t>S1</w:t>
      </w:r>
      <w:r w:rsidRPr="00F0048A">
        <w:t xml:space="preserve"> (Age constraints)</w:t>
      </w:r>
    </w:p>
    <w:p w14:paraId="244B9380" w14:textId="77777777" w:rsidR="002B782F" w:rsidRPr="00F0048A" w:rsidRDefault="002B782F" w:rsidP="002B782F">
      <w:pPr>
        <w:pStyle w:val="Listenabsatz"/>
        <w:numPr>
          <w:ilvl w:val="0"/>
          <w:numId w:val="5"/>
        </w:numPr>
      </w:pPr>
      <w:r w:rsidRPr="00F0048A">
        <w:t>Text SI2 (Analytical procedures)</w:t>
      </w:r>
    </w:p>
    <w:p w14:paraId="026667DA" w14:textId="0180F529" w:rsidR="002B782F" w:rsidRDefault="002B782F" w:rsidP="002B782F">
      <w:pPr>
        <w:pStyle w:val="Listenabsatz"/>
        <w:numPr>
          <w:ilvl w:val="0"/>
          <w:numId w:val="5"/>
        </w:numPr>
      </w:pPr>
      <w:r w:rsidRPr="00F0048A">
        <w:t xml:space="preserve">Text </w:t>
      </w:r>
      <w:r w:rsidR="0048155E">
        <w:t>S3</w:t>
      </w:r>
      <w:r w:rsidRPr="00F0048A">
        <w:t xml:space="preserve"> (Paleoelevation reconstruction)</w:t>
      </w:r>
    </w:p>
    <w:p w14:paraId="660304AE" w14:textId="3AAABBD2" w:rsidR="002F3A4A" w:rsidRPr="00F0048A" w:rsidRDefault="002F3A4A" w:rsidP="002B782F">
      <w:pPr>
        <w:pStyle w:val="Listenabsatz"/>
        <w:numPr>
          <w:ilvl w:val="0"/>
          <w:numId w:val="5"/>
        </w:numPr>
      </w:pPr>
      <w:r>
        <w:t xml:space="preserve">Text </w:t>
      </w:r>
      <w:r w:rsidR="0048155E">
        <w:t>S4</w:t>
      </w:r>
      <w:r>
        <w:t xml:space="preserve"> (Diagenetic </w:t>
      </w:r>
      <w:r w:rsidR="00847C76">
        <w:t>implications</w:t>
      </w:r>
      <w:r>
        <w:t>)</w:t>
      </w:r>
    </w:p>
    <w:p w14:paraId="2DAABB36" w14:textId="51946A26" w:rsidR="002B782F" w:rsidRDefault="0048155E" w:rsidP="002B782F">
      <w:pPr>
        <w:pStyle w:val="Listenabsatz"/>
        <w:numPr>
          <w:ilvl w:val="0"/>
          <w:numId w:val="5"/>
        </w:numPr>
      </w:pPr>
      <w:r>
        <w:t>S5</w:t>
      </w:r>
      <w:r w:rsidR="002F3A4A" w:rsidRPr="00F0048A">
        <w:t xml:space="preserve"> </w:t>
      </w:r>
      <w:r w:rsidR="002B782F" w:rsidRPr="00F0048A">
        <w:t xml:space="preserve">Figures (Fig. </w:t>
      </w:r>
      <w:r>
        <w:t>S1</w:t>
      </w:r>
      <w:r w:rsidR="002B782F" w:rsidRPr="00F0048A">
        <w:t>–</w:t>
      </w:r>
      <w:r>
        <w:t>S3</w:t>
      </w:r>
      <w:r w:rsidR="002B782F" w:rsidRPr="00F0048A">
        <w:t>)</w:t>
      </w:r>
    </w:p>
    <w:p w14:paraId="4D964045" w14:textId="583B3ADD" w:rsidR="00573F0C" w:rsidRPr="00F0048A" w:rsidRDefault="0048155E" w:rsidP="002B782F">
      <w:pPr>
        <w:pStyle w:val="Listenabsatz"/>
        <w:numPr>
          <w:ilvl w:val="0"/>
          <w:numId w:val="5"/>
        </w:numPr>
      </w:pPr>
      <w:r>
        <w:t>S6</w:t>
      </w:r>
      <w:r w:rsidR="002F3A4A">
        <w:t xml:space="preserve"> </w:t>
      </w:r>
      <w:r w:rsidR="00573F0C">
        <w:t>Table1</w:t>
      </w:r>
    </w:p>
    <w:p w14:paraId="09DCD61F" w14:textId="11C065A9" w:rsidR="002B782F" w:rsidRPr="002B782F" w:rsidRDefault="0048155E" w:rsidP="002B782F">
      <w:pPr>
        <w:pStyle w:val="Listenabsatz"/>
        <w:numPr>
          <w:ilvl w:val="0"/>
          <w:numId w:val="5"/>
        </w:numPr>
        <w:rPr>
          <w:rFonts w:ascii="Calibri" w:hAnsi="Calibri"/>
        </w:rPr>
      </w:pPr>
      <w:r>
        <w:rPr>
          <w:rFonts w:cstheme="minorHAnsi"/>
        </w:rPr>
        <w:t>S7</w:t>
      </w:r>
      <w:r w:rsidR="002F3A4A">
        <w:rPr>
          <w:rFonts w:cstheme="minorHAnsi"/>
        </w:rPr>
        <w:t xml:space="preserve"> </w:t>
      </w:r>
      <w:r w:rsidR="001C79CF">
        <w:rPr>
          <w:rFonts w:cstheme="minorHAnsi"/>
        </w:rPr>
        <w:t>Data tables (Table T</w:t>
      </w:r>
      <w:r w:rsidR="002B782F" w:rsidRPr="002B782F">
        <w:rPr>
          <w:rFonts w:cstheme="minorHAnsi"/>
        </w:rPr>
        <w:t>1–</w:t>
      </w:r>
      <w:r w:rsidR="001C79CF">
        <w:rPr>
          <w:rFonts w:cstheme="minorHAnsi"/>
        </w:rPr>
        <w:t>T</w:t>
      </w:r>
      <w:r w:rsidR="002B782F" w:rsidRPr="002B782F">
        <w:rPr>
          <w:rFonts w:cstheme="minorHAnsi"/>
        </w:rPr>
        <w:t>5, tables can be found in a separate EXCEL file)</w:t>
      </w:r>
    </w:p>
    <w:p w14:paraId="780F2306" w14:textId="77777777" w:rsidR="002B782F" w:rsidRPr="00F0048A" w:rsidRDefault="002B782F" w:rsidP="002B782F">
      <w:pPr>
        <w:pStyle w:val="KeinLeerraum"/>
        <w:spacing w:line="276" w:lineRule="auto"/>
        <w:jc w:val="both"/>
      </w:pPr>
    </w:p>
    <w:p w14:paraId="77BF8D1F" w14:textId="6B18D8E6" w:rsidR="002B782F" w:rsidRPr="002B782F" w:rsidRDefault="002B782F" w:rsidP="002B782F">
      <w:r w:rsidRPr="002B782F">
        <w:t>This supplementary information provides details on calculation of sample ages (</w:t>
      </w:r>
      <w:r w:rsidR="0048155E">
        <w:t>S1</w:t>
      </w:r>
      <w:r w:rsidRPr="002B782F">
        <w:t>), analytical procedures (</w:t>
      </w:r>
      <w:r w:rsidR="0048155E">
        <w:t>S2</w:t>
      </w:r>
      <w:r w:rsidRPr="002B782F">
        <w:t>), paleoelevation reconstruction (</w:t>
      </w:r>
      <w:r w:rsidR="0048155E">
        <w:t>S3</w:t>
      </w:r>
      <w:r w:rsidRPr="002B782F">
        <w:t>), listed stable (δ</w:t>
      </w:r>
      <w:r w:rsidRPr="002B782F">
        <w:rPr>
          <w:vertAlign w:val="superscript"/>
        </w:rPr>
        <w:t>13</w:t>
      </w:r>
      <w:r w:rsidRPr="002B782F">
        <w:t>C, and δ</w:t>
      </w:r>
      <w:r w:rsidRPr="002B782F">
        <w:rPr>
          <w:vertAlign w:val="superscript"/>
        </w:rPr>
        <w:t>18</w:t>
      </w:r>
      <w:r w:rsidRPr="002B782F">
        <w:t xml:space="preserve">O; Table </w:t>
      </w:r>
      <w:r w:rsidR="001C79CF">
        <w:t>T</w:t>
      </w:r>
      <w:r w:rsidR="001C79CF" w:rsidRPr="002B782F">
        <w:t>1</w:t>
      </w:r>
      <w:r w:rsidRPr="002B782F">
        <w:t>) and clumped isotope data (Δ</w:t>
      </w:r>
      <w:r w:rsidRPr="002B782F">
        <w:rPr>
          <w:vertAlign w:val="subscript"/>
        </w:rPr>
        <w:t>47</w:t>
      </w:r>
      <w:r w:rsidRPr="002B782F">
        <w:t xml:space="preserve">; Tables </w:t>
      </w:r>
      <w:r w:rsidR="001C79CF">
        <w:t>T2</w:t>
      </w:r>
      <w:r w:rsidRPr="002B782F">
        <w:t>–</w:t>
      </w:r>
      <w:r w:rsidR="001C79CF">
        <w:t>T</w:t>
      </w:r>
      <w:r w:rsidR="001C79CF" w:rsidRPr="002B782F">
        <w:t>4</w:t>
      </w:r>
      <w:r w:rsidRPr="002B782F">
        <w:t xml:space="preserve">), and paleoelevation </w:t>
      </w:r>
      <w:r w:rsidRPr="002B782F">
        <w:rPr>
          <w:color w:val="000000" w:themeColor="text1"/>
        </w:rPr>
        <w:t xml:space="preserve">calculation for alternative scenarios with </w:t>
      </w:r>
      <w:r w:rsidRPr="002B782F">
        <w:t xml:space="preserve">different oxygen isotope lapse rates </w:t>
      </w:r>
      <w:r w:rsidRPr="002B782F">
        <w:rPr>
          <w:color w:val="000000" w:themeColor="text1"/>
        </w:rPr>
        <w:t xml:space="preserve">and near sea level </w:t>
      </w:r>
      <w:r w:rsidR="00E66E56">
        <w:rPr>
          <w:color w:val="000000" w:themeColor="text1"/>
        </w:rPr>
        <w:t xml:space="preserve">reference baselines (Table </w:t>
      </w:r>
      <w:r w:rsidR="001C79CF">
        <w:rPr>
          <w:color w:val="000000" w:themeColor="text1"/>
        </w:rPr>
        <w:t>T5</w:t>
      </w:r>
      <w:r w:rsidRPr="002B782F">
        <w:rPr>
          <w:color w:val="000000" w:themeColor="text1"/>
        </w:rPr>
        <w:t>). It further comprises</w:t>
      </w:r>
      <w:r w:rsidRPr="002B782F">
        <w:t xml:space="preserve"> </w:t>
      </w:r>
      <w:r w:rsidR="00E66E56">
        <w:t>Table1 (</w:t>
      </w:r>
      <w:r w:rsidR="0048155E">
        <w:t>S5</w:t>
      </w:r>
      <w:r w:rsidR="00E66E56">
        <w:t xml:space="preserve">) listing data used in this study and </w:t>
      </w:r>
      <w:r w:rsidRPr="002B782F">
        <w:t xml:space="preserve">three </w:t>
      </w:r>
      <w:r w:rsidRPr="002B782F">
        <w:rPr>
          <w:color w:val="000000" w:themeColor="text1"/>
        </w:rPr>
        <w:t xml:space="preserve">additional figures showing pedogenic carbonate </w:t>
      </w:r>
      <w:r w:rsidRPr="002B782F">
        <w:t>δ</w:t>
      </w:r>
      <w:r w:rsidRPr="002B782F">
        <w:rPr>
          <w:vertAlign w:val="superscript"/>
        </w:rPr>
        <w:t>13</w:t>
      </w:r>
      <w:r w:rsidRPr="002B782F">
        <w:t>C</w:t>
      </w:r>
      <w:r w:rsidRPr="002B782F">
        <w:rPr>
          <w:color w:val="000000" w:themeColor="text1"/>
        </w:rPr>
        <w:t xml:space="preserve"> values for each section (Fig. </w:t>
      </w:r>
      <w:r w:rsidR="0048155E">
        <w:rPr>
          <w:color w:val="000000" w:themeColor="text1"/>
        </w:rPr>
        <w:t>S1</w:t>
      </w:r>
      <w:r w:rsidRPr="002B782F">
        <w:rPr>
          <w:color w:val="000000" w:themeColor="text1"/>
        </w:rPr>
        <w:t xml:space="preserve">), </w:t>
      </w:r>
      <w:r w:rsidR="00CD67D7">
        <w:rPr>
          <w:color w:val="000000" w:themeColor="text1"/>
        </w:rPr>
        <w:t xml:space="preserve">pedogenic carbonate </w:t>
      </w:r>
      <w:r w:rsidRPr="002B782F">
        <w:rPr>
          <w:color w:val="000000" w:themeColor="text1"/>
        </w:rPr>
        <w:t>δ</w:t>
      </w:r>
      <w:r w:rsidRPr="002B782F">
        <w:rPr>
          <w:color w:val="000000" w:themeColor="text1"/>
          <w:vertAlign w:val="superscript"/>
        </w:rPr>
        <w:t>18</w:t>
      </w:r>
      <w:r w:rsidRPr="002B782F">
        <w:rPr>
          <w:color w:val="000000" w:themeColor="text1"/>
        </w:rPr>
        <w:t xml:space="preserve">O and </w:t>
      </w:r>
      <w:r w:rsidRPr="002B782F">
        <w:t>δ</w:t>
      </w:r>
      <w:r w:rsidRPr="002B782F">
        <w:rPr>
          <w:vertAlign w:val="superscript"/>
        </w:rPr>
        <w:t>13</w:t>
      </w:r>
      <w:r w:rsidRPr="002B782F">
        <w:t>C</w:t>
      </w:r>
      <w:r w:rsidRPr="002B782F">
        <w:rPr>
          <w:color w:val="000000" w:themeColor="text1"/>
        </w:rPr>
        <w:t xml:space="preserve"> values as function of time for each section (Fig. </w:t>
      </w:r>
      <w:r w:rsidR="0048155E">
        <w:rPr>
          <w:color w:val="000000" w:themeColor="text1"/>
        </w:rPr>
        <w:t>S2</w:t>
      </w:r>
      <w:r w:rsidRPr="002B782F">
        <w:rPr>
          <w:color w:val="000000" w:themeColor="text1"/>
        </w:rPr>
        <w:t xml:space="preserve">) and </w:t>
      </w:r>
      <w:r w:rsidRPr="002B782F">
        <w:rPr>
          <w:color w:val="000000" w:themeColor="text1"/>
        </w:rPr>
        <w:lastRenderedPageBreak/>
        <w:t>the δ</w:t>
      </w:r>
      <w:r w:rsidRPr="002B782F">
        <w:rPr>
          <w:color w:val="000000" w:themeColor="text1"/>
          <w:vertAlign w:val="superscript"/>
        </w:rPr>
        <w:t>18</w:t>
      </w:r>
      <w:r w:rsidRPr="002B782F">
        <w:rPr>
          <w:color w:val="000000" w:themeColor="text1"/>
        </w:rPr>
        <w:t>O/ </w:t>
      </w:r>
      <w:r w:rsidRPr="002B782F">
        <w:t>δ</w:t>
      </w:r>
      <w:r w:rsidRPr="002B782F">
        <w:rPr>
          <w:vertAlign w:val="superscript"/>
        </w:rPr>
        <w:t>13</w:t>
      </w:r>
      <w:r w:rsidRPr="002B782F">
        <w:t xml:space="preserve">C relationship for the Aabach section (Fig. </w:t>
      </w:r>
      <w:r w:rsidR="0048155E">
        <w:t>S3</w:t>
      </w:r>
      <w:r w:rsidRPr="002B782F">
        <w:t>)</w:t>
      </w:r>
      <w:r w:rsidRPr="002B782F">
        <w:rPr>
          <w:color w:val="000000" w:themeColor="text1"/>
        </w:rPr>
        <w:t>.</w:t>
      </w:r>
      <w:r w:rsidRPr="002B782F">
        <w:t xml:space="preserve"> Data tables contain sample and age information, analytical results of oxygen and carbon stable isotope analysis for carbonate nodules, and calculated oxygen isotope data for meteoric water (Table </w:t>
      </w:r>
      <w:r w:rsidR="001C79CF">
        <w:t>T</w:t>
      </w:r>
      <w:r w:rsidRPr="002B782F">
        <w:t>1).</w:t>
      </w:r>
    </w:p>
    <w:p w14:paraId="67EE6421" w14:textId="08447594" w:rsidR="00B4015F" w:rsidRDefault="0048155E" w:rsidP="002B782F">
      <w:pPr>
        <w:pStyle w:val="berschrift1"/>
      </w:pPr>
      <w:r>
        <w:t>S1</w:t>
      </w:r>
      <w:r w:rsidR="002B782F">
        <w:t xml:space="preserve"> </w:t>
      </w:r>
      <w:r w:rsidR="002B782F" w:rsidRPr="00F0048A">
        <w:rPr>
          <w:lang w:val="en-US"/>
        </w:rPr>
        <w:t>Age constraints for Fontannen, Jona, and Aabach sections</w:t>
      </w:r>
    </w:p>
    <w:p w14:paraId="68B9E2BF" w14:textId="2EF74EE6" w:rsidR="002B782F" w:rsidRPr="006A3844" w:rsidRDefault="002B782F" w:rsidP="002B782F">
      <w:pPr>
        <w:rPr>
          <w:lang w:val="en-US"/>
        </w:rPr>
      </w:pPr>
      <w:r w:rsidRPr="00F0048A">
        <w:rPr>
          <w:lang w:val="en-US"/>
        </w:rPr>
        <w:t xml:space="preserve">Pedogenic carbonate nodules from all three Swiss Molasse Basin sections were collected along magnetostratigraphically-dated sections and each sample was assigned an exact position within the local </w:t>
      </w:r>
      <w:r w:rsidRPr="006A3844">
        <w:rPr>
          <w:lang w:val="en-US"/>
        </w:rPr>
        <w:t xml:space="preserve">paleomagnetic stratigraphy. Age constraints for the Fontannen section follow the age model published in </w:t>
      </w:r>
      <w:r w:rsidR="00474BEE">
        <w:rPr>
          <w:lang w:val="en-US"/>
        </w:rPr>
        <w:fldChar w:fldCharType="begin" w:fldLock="1"/>
      </w:r>
      <w:r w:rsidR="0035446C">
        <w:rPr>
          <w:lang w:val="en-US"/>
        </w:rPr>
        <w:instrText>ADDIN CSL_CITATION {"citationItems":[{"id":"ITEM-1","itemData":{"DOI":"10.1038/s41598-020-64743-5","ISSN":"20452322","PMID":"32409728","abstract":"Reconstructing long-term continental temperature change provides the required counterpart to age equivalent marine records and can reveal how terrestrial and marine temperatures were related during times of extreme climate change such as the Miocene Climatic Optimum (MCO) and the following Middle Miocene Climatic Transition (MMCT). Carbonate clumped isotope temperatures (T(Δ47)) from 17.5 to 14.0 Ma Central European paleosols (Molasse Basin, Switzerland) display a temperature pattern during the MCO that is similar to coeval marine temperature records. Maximum temperatures in the long-term soil T(Δ47) record (at 16.5 and 14.9 Ma) lag maximum ocean bottom water temperatures, lead global ice volume, and mark the initiation of minimum global ice volume phases. The suggested onset of the MMCT, deduced by a marked and rapid decline in Molasse Basin soil temperatures is coeval with cooling reported in high-latitudinal marine records. This is best explained by a change in the seasonal timing of soil carbonate formation that was likely driven by a modification of rainfall seasonality and thus by a major reorganization of mid-latitude atmospheric circulation across Central Europe. In particular, our data suggest a strong climate coupling between the North Atlantic and Central Europe already in the middle Miocene.","author":[{"dropping-particle":"","family":"Methner","given":"Katharina","non-dropping-particle":"","parse-names":false,"suffix":""},{"dropping-particle":"","family":"Campani","given":"Marion","non-dropping-particle":"","parse-names":false,"suffix":""},{"dropping-particle":"","family":"Fiebig","given":"Jens","non-dropping-particle":"","parse-names":false,"suffix":""},{"dropping-particle":"","family":"Löffler","given":"Niklas","non-dropping-particle":"","parse-names":false,"suffix":""},{"dropping-particle":"","family":"Kempf","given":"Oliver","non-dropping-particle":"","parse-names":false,"suffix":""},{"dropping-particle":"","family":"Mulch","given":"Andreas","non-dropping-particle":"","parse-names":false,"suffix":""}],"container-title":"Scientific Reports","id":"ITEM-1","issue":"1","issued":{"date-parts":[["2020"]]},"page":"1-10","title":"Middle Miocene long-term continental temperature change in and out of pace with marine climate records","type":"article-journal","volume":"10"},"uris":["http://www.mendeley.com/documents/?uuid=8af53f1a-5f78-4f0c-bdec-75ae5a9a8ea0"]}],"mendeley":{"formattedCitation":"(Methner et al., 2020)","plainTextFormattedCitation":"(Methner et al., 2020)","previouslyFormattedCitation":"(Methner et al., 2020)"},"properties":{"noteIndex":0},"schema":"https://github.com/citation-style-language/schema/raw/master/csl-citation.json"}</w:instrText>
      </w:r>
      <w:r w:rsidR="00474BEE">
        <w:rPr>
          <w:lang w:val="en-US"/>
        </w:rPr>
        <w:fldChar w:fldCharType="separate"/>
      </w:r>
      <w:r w:rsidR="00474BEE" w:rsidRPr="00474BEE">
        <w:rPr>
          <w:noProof/>
          <w:lang w:val="en-US"/>
        </w:rPr>
        <w:t>(Methner et al., 2020)</w:t>
      </w:r>
      <w:r w:rsidR="00474BEE">
        <w:rPr>
          <w:lang w:val="en-US"/>
        </w:rPr>
        <w:fldChar w:fldCharType="end"/>
      </w:r>
      <w:r w:rsidRPr="006A3844">
        <w:rPr>
          <w:lang w:val="en-US"/>
        </w:rPr>
        <w:t xml:space="preserve"> and details on the calculation can be found therein.</w:t>
      </w:r>
    </w:p>
    <w:p w14:paraId="3E3C9E51" w14:textId="39B69D77" w:rsidR="002B782F" w:rsidRPr="006A3844" w:rsidRDefault="002B782F" w:rsidP="002B782F">
      <w:r w:rsidRPr="006A3844">
        <w:rPr>
          <w:lang w:val="en-US"/>
        </w:rPr>
        <w:t xml:space="preserve">Chronostratigraphic framework for both, the Jona and Aabach sections has been established based on combined magnetostratigraphy </w:t>
      </w:r>
      <w:r w:rsidR="0035446C">
        <w:rPr>
          <w:lang w:val="en-US"/>
        </w:rPr>
        <w:fldChar w:fldCharType="begin" w:fldLock="1"/>
      </w:r>
      <w:r w:rsidR="002F3A4A">
        <w:rPr>
          <w:lang w:val="en-US"/>
        </w:rPr>
        <w:instrText>ADDIN CSL_CITATION {"citationItems":[{"id":"ITEM-1","itemData":{"DOI":"10.1127/0077-7749/2009/0010","ISSN":"0077-7749","author":[{"dropping-particle":"","family":"Kälin","given":"Daniel","non-dropping-particle":"","parse-names":false,"suffix":""},{"dropping-particle":"","family":"Kempf","given":"Oliver","non-dropping-particle":"","parse-names":false,"suffix":""}],"container-title":"Neues Jahrbuch für Geologie und Paläontologie - Abhandlungen","id":"ITEM-1","issue":"1","issued":{"date-parts":[["2009","11"]]},"language":"en","page":"177-235","title":"High-resolution stratigraphy from the continental record of the Middle Miocene Northern Alpine Foreland Basin of Switzerland","type":"article-journal","volume":"254"},"uris":["http://www.mendeley.com/documents/?uuid=2f455c49-ce71-4230-9f21-82bf218ced78"]},{"id":"ITEM-2","itemData":{"author":[{"dropping-particle":"","family":"Kempf","given":"Oliver","non-dropping-particle":"","parse-names":false,"suffix":""},{"dropping-particle":"","family":"Bolliger","given":"Thomas","non-dropping-particle":"","parse-names":false,"suffix":""},{"dropping-particle":"","family":"Kalin","given":"Daniel","non-dropping-particle":"","parse-names":false,"suffix":""},{"dropping-particle":"","family":"Engesser","given":"Burkart","non-dropping-particle":"","parse-names":false,"suffix":""},{"dropping-particle":"","family":"Matter","given":"Albert","non-dropping-particle":"","parse-names":false,"suffix":""},{"dropping-particle":"","family":"Moyen","given":"Inferieur A","non-dropping-particle":"","parse-names":false,"suffix":""},{"dropping-particle":"","family":"Avant","given":"D E L","non-dropping-particle":"","parse-names":false,"suffix":""}],"id":"ITEM-2","issued":{"date-parts":[["1997"]]},"page":"547-561","title":"New Magnetostratigraphic Calibration of Early to Middle Miocene Mammal Biozones of the North Alpine Foreland Basin","type":"article-journal"},"uris":["http://www.mendeley.com/documents/?uuid=bb9391d7-d89b-451c-81a8-774a77d940e5"]},{"id":"ITEM-3","itemData":{"DOI":"10.5169/seals-168650","ISSN":"00129402","abstract":"Four magnetostratigraphic sections provide detailed insight into the depositional history of the Upper Freshwater Molasse (OSM) of eastern Switzerland between 17-13 Ma (Middle Miocene). The individual magnetostratigraphic sections are constrained by biostratigraphic data as well as radiometric ages of bentonites. A comparison of distal and proximal sections shows that sedimentation over the investigated time period is relatively uniform with an average rate of 0.25 m</w:instrText>
      </w:r>
      <w:r w:rsidR="002F3A4A" w:rsidRPr="0048155E">
        <w:rPr>
          <w:lang w:val="de-DE"/>
        </w:rPr>
        <w:instrText>m/a. Before 15 Ma, however, the average sedimentation rates are significantly lower in both settings: &lt;0.1 mm/a in the distal area (ca. 16.5-15 Ma) and 0.15 mm/a in the proximal area (ca. 16-15 Ma). Our data suggest strongly varying sedimentation rates and erosional phases particularly in the distal area. The stratigrap</w:instrText>
      </w:r>
      <w:r w:rsidR="002F3A4A" w:rsidRPr="00C629C5">
        <w:rPr>
          <w:lang w:val="de-DE"/>
        </w:rPr>
        <w:instrText>hic evolution of the eastern Swiss OSM is thus linked to a thrusting event at 15 Ma, following a phase of relative tectonic quiescence.","author":[{"dropping-particle":"","family":"Kempf","given":"Oliver","non-dropping-particle":"","parse-names":false,"suffix":""},{"dropping-particle":"","family":"Matter","given":"Albert","non-dropping-particle":"","parse-names":false,"suffix":""}],"container-title":"Eclogae Geologicae Helvetiae","id":"ITEM-3","issue":"1","issued":{"date-parts":[["1999"]]},"page":"97-103","title":"Magnetostratigraphy and depositional history of the Upper Freshwater Molasse (OSM) of eastern Switzerland","type":"article-journal","volume":"92"},"uris":["http://www.mendeley.com/documents/?uuid=e2937111-55a5-4324-81e9-2806edd35221"]}],"mendeley":{"formattedCitation":"(Kälin and Kempf, 2009; Kempf et al., 1997; Kempf and Matter, 1999)","plainTextFormattedCitation":"(Kälin and Kempf, 2009; Kempf et al., 1997; Kempf and Matter, 1999)","previouslyFormattedCitation":"(Kälin and Kempf, 2009; Kempf et al., 1997; Kempf and Matter, 1999)"},"properties":{"noteIndex":0},"schema":"https://github.com/citation-style-language/schema/raw/master/csl-citation.json"}</w:instrText>
      </w:r>
      <w:r w:rsidR="0035446C">
        <w:rPr>
          <w:lang w:val="en-US"/>
        </w:rPr>
        <w:fldChar w:fldCharType="separate"/>
      </w:r>
      <w:r w:rsidR="0035446C" w:rsidRPr="0035446C">
        <w:rPr>
          <w:noProof/>
          <w:lang w:val="de-DE"/>
        </w:rPr>
        <w:t>(Kälin and Kempf, 2009; Kempf et al., 1997; Kempf and Matter, 1999)</w:t>
      </w:r>
      <w:r w:rsidR="0035446C">
        <w:rPr>
          <w:lang w:val="en-US"/>
        </w:rPr>
        <w:fldChar w:fldCharType="end"/>
      </w:r>
      <w:r w:rsidR="0035446C" w:rsidRPr="0035446C">
        <w:rPr>
          <w:lang w:val="de-DE"/>
        </w:rPr>
        <w:t>,</w:t>
      </w:r>
      <w:r w:rsidRPr="0035446C">
        <w:rPr>
          <w:lang w:val="de-DE"/>
        </w:rPr>
        <w:t xml:space="preserve"> biostratigraphy </w:t>
      </w:r>
      <w:r w:rsidR="0035446C">
        <w:fldChar w:fldCharType="begin" w:fldLock="1"/>
      </w:r>
      <w:r w:rsidR="0035446C">
        <w:rPr>
          <w:lang w:val="de-DE"/>
        </w:rPr>
        <w:instrText>ADDIN CSL_CITATION {"citationItems":[{"id":"ITEM-1","itemData":{"author":[{"dropping-particle":"","family":"Bolliger","given":"Thomas","non-dropping-particle":"","parse-names":false,"suffix":""}],"container-title":"Documenta naturae 75.","id":"ITEM-1","issued":{"date-parts":[["1992"]]},"page":"1-296","title":"Kleinsäugerstratigraphie in der Miozänen Hörnlischüttung (Ostschweiz).","type":"article-journal"},"uris":["http://www.mendeley.com/documents/?uuid=4c15f98e-7008-4dce-8143-1c5c12f6b2c1"]},{"id":"ITEM-2","itemData":{"abstract":"From Tägernaustrasse Carnivora indet. From Trub-Sältenach Carnivora indet. From Bierkeller Carnivora indet. From La Chaux 7 Mustelidae indet.","author":[{"dropping-particle":"","family":"Kälin","given":"D","non-dropping-particle":"","parse-names":false,"suffix":""}],"container-title":"In: Aguilar, J.-P., Legendre, S., Michaux, J. (Eds.), Actes du Congre`s BiochroM’97. Me´m. Trav. E.P.H.E. Montpellier 21 BiochroM'97","id":"ITEM-2","issue":"January 1997","issued":{"date-parts":[["1997"]]},"page":"515-535","title":"The Mammal zonation of the Upper Marine Molasse of Switzerland reconsidered. A local biozonation of MN 2-MN 5","type":"article-journal","volume":"21"},"uris":["http://www.mendeley.com/documents/?uuid=673138fa-af8e-4762-9ee3-497cdf8ec644"]}],"mendeley":{"formattedCitation":"(Bolliger, 1992; Kälin, 1997)","plainTextFormattedCitation":"(Bolliger, 1992; Kälin, 1997)","previouslyFormattedCitation":"(Bolliger, 1992; Kälin, 1997)"},"properties":{"noteIndex":0},"schema":"https://github.com/citation-style-language/schema/raw/master/csl-citation.json"}</w:instrText>
      </w:r>
      <w:r w:rsidR="0035446C">
        <w:fldChar w:fldCharType="separate"/>
      </w:r>
      <w:r w:rsidR="0035446C" w:rsidRPr="00D7470F">
        <w:rPr>
          <w:noProof/>
          <w:lang w:val="de-DE"/>
        </w:rPr>
        <w:t>(Bolliger, 1992; Kälin, 1997)</w:t>
      </w:r>
      <w:r w:rsidR="0035446C">
        <w:fldChar w:fldCharType="end"/>
      </w:r>
      <w:r w:rsidR="0035446C" w:rsidRPr="00D7470F">
        <w:rPr>
          <w:lang w:val="de-DE"/>
        </w:rPr>
        <w:t>,</w:t>
      </w:r>
      <w:r w:rsidRPr="00D7470F">
        <w:rPr>
          <w:lang w:val="de-DE"/>
        </w:rPr>
        <w:t xml:space="preserve"> and radiometric dating of volcanic ashes </w:t>
      </w:r>
      <w:r w:rsidR="0035446C">
        <w:fldChar w:fldCharType="begin" w:fldLock="1"/>
      </w:r>
      <w:r w:rsidR="00DB4B44" w:rsidRPr="00D7470F">
        <w:rPr>
          <w:lang w:val="de-DE"/>
        </w:rPr>
        <w:instrText>ADDIN CSL_CITATION {"citationItems":[{"id":"ITEM-1","itemData":{"author":[{"dropping-particle":"","family":"Gubler","given":"T","non-dropping-particle":"","parse-names":false,"suffix":""},{"dropping-particle":"","family":"Meier","given":"M.","non-dropping-particle":"","parse-names":false,"suffix":""},{"dropping-particle":"","family":"Oberli","given":"F","non-dropping-particle":"","parse-names":false,"suffix":""}],"container-title":"Jahresversammlung der Schweizerischen Akademie der Naturwissenschaften","id":"ITEM-1","issue":"172","issued":{"date-parts":[["1992"]]},"page":"12–13","title":"Bentonites as time markers for sedimentation of the Upper Freshwater Molasse: geological observations corroborated by high-resolution single-Zircon U-Pb ages.","type":"article-journal"},"uris":["http://www.mendeley.com/documents/?uuid=5465ab91-89ea-4cf2-bc50-2850b2f93e7f"]},{"id":"ITEM-2","itemData":{"DOI":"https://doi.org/10.1016/j.gca.2017.09.036","ISSN":"0016-7037","abstract":"40Ar/39Ar dating of specimens of moldavite, the formation of which is linked to the Ries impact in southern Germany, with a latest-generation ARGUS VI multi-collector mass spectrometer yielded three fully concordant plateau ages with a weighted mean age of 14.808±0.021 Ma (±0.038 Ma including all external uncertainties; 2</w:instrText>
      </w:r>
      <w:r w:rsidR="00DB4B44">
        <w:instrText>σ</w:instrText>
      </w:r>
      <w:r w:rsidR="00DB4B44" w:rsidRPr="00D7470F">
        <w:rPr>
          <w:lang w:val="de-DE"/>
        </w:rPr>
        <w:instrText>; MSWD=0.40, P=0.67). This new best-estimate age for the Nördlinger Ries is in general agreement with previous 40Ar/39Ar res</w:instrText>
      </w:r>
      <w:r w:rsidR="00DB4B44">
        <w:instrText xml:space="preserve">ults for moldavites, but constitutes a significantly improved precision with respect to the formation age of the distal Ries-produced tektites. Separates of impact glass from proximal Ries ejecta (suevite glass from three different surface outcrops) and partially melted feldspar particles from impact melt rock of the SUBO 18 Enkingen drill core failed to produce meaningful ages. These glasses show evidence for excess 40Ar introduction, which may have been incurred during interaction with hydrothermal fluids. Only partially reset 40Ar/39Ar ages could be determined for the feldspathic melt separates from the Enkingen core. The new 40Ar/39Ar results for the Ries impact structure constrain the duration of crater cooling, during the prevailing hydrothermal activity, to locally at least </w:instrText>
      </w:r>
      <w:r w:rsidR="00DB4B44">
        <w:rPr>
          <w:rFonts w:ascii="Cambria Math" w:hAnsi="Cambria Math" w:cs="Cambria Math"/>
        </w:rPr>
        <w:instrText>∼</w:instrText>
      </w:r>
      <w:r w:rsidR="00DB4B44">
        <w:instrText>60 kyr. With respect to the dating of terrestrial impact events, this paper briefly discusses a number of potential issues and effects that may be the cause for seemingly precise, but on a kyr-scale inaccurate, impact ages.","author":[{"dropping-particle":"","family":"Schmieder","given":"Martin","non-dropping-particle":"","parse-names":false,"suffix":""},{"dropping-particle":"","family":"Kennedy","given":"Trudi","non-dropping-particle":"","parse-names":false,"suffix":""},{"dropping-particle":"","family":"Jourdan","given":"Fred","non-dropping-particle":"","parse-names":false,"suffix":""},{"dropping-particle":"","family":"Buchner","given":"Elmar","non-dropping-particle":"","parse-names":false,"suffix":""},{"dropping-particle":"","family":"Reimold","given":"Wolf Uwe","non-dropping-particle":"","parse-names":false,"suffix":""}],"container-title":"Geochimica et Cosmochimica Acta","id":"ITEM-2","issued":{"date-parts":[["2018"]]},"page":"146-157","title":"A high-precision 40Ar/39Ar age for the Nördlinger Ries impact crater, Germany, and implications for the accurate dating of terrestrial impact events","type":"article-journal","volume":"220"},"uris":["http://www.mendeley.com/documents/?uuid=fbfe444e-5430-4675-9876-448d56790742"]}],"mendeley":{"formattedCitation":"(Gubler et al., 1992; Schmieder et al., 2018)","plainTextFormattedCitation":"(Gubler et al., 1992; Schmieder et al., 2018)","previouslyFormattedCitation":"(Gubler et al., 1992; Schmieder et al., 2018)"},"properties":{"noteIndex":0},"schema":"https://github.com/citation-style-language/schema/raw/master/csl-citation.json"}</w:instrText>
      </w:r>
      <w:r w:rsidR="0035446C">
        <w:fldChar w:fldCharType="separate"/>
      </w:r>
      <w:r w:rsidR="00DB4B44" w:rsidRPr="00DB4B44">
        <w:rPr>
          <w:noProof/>
        </w:rPr>
        <w:t>(Gubler et al., 1992; Schmieder et al., 2018)</w:t>
      </w:r>
      <w:r w:rsidR="0035446C">
        <w:fldChar w:fldCharType="end"/>
      </w:r>
      <w:r w:rsidR="0035446C">
        <w:t>.</w:t>
      </w:r>
    </w:p>
    <w:p w14:paraId="3692569A" w14:textId="582EF8B9" w:rsidR="002B782F" w:rsidRPr="00F0048A" w:rsidRDefault="002B782F" w:rsidP="002B782F">
      <w:pPr>
        <w:rPr>
          <w:lang w:val="en-US"/>
        </w:rPr>
      </w:pPr>
      <w:r w:rsidRPr="006A3844">
        <w:rPr>
          <w:lang w:val="en-US"/>
        </w:rPr>
        <w:t xml:space="preserve">The Jona section spans an age interval of ca. 16.5 to 13.5 Ma </w:t>
      </w:r>
      <w:r w:rsidR="00DB4B44">
        <w:rPr>
          <w:lang w:val="en-US"/>
        </w:rPr>
        <w:fldChar w:fldCharType="begin" w:fldLock="1"/>
      </w:r>
      <w:r w:rsidR="002F3A4A">
        <w:rPr>
          <w:lang w:val="en-US"/>
        </w:rPr>
        <w:instrText>ADDIN CSL_CITATION {"citationItems":[{"id":"ITEM-1","itemData":{"author":[{"dropping-particle":"","family":"Kempf","given":"Oliver","non-dropping-particle":"","parse-names":false,"suffix":""},{"dropping-particle":"","family":"Bolliger","given":"Thomas","non-dropping-particle":"","parse-names":false,"suffix":""},{"dropping-particle":"","family":"Kalin","given":"Daniel","non-dropping-particle":"","parse-names":false,"suffix":""},{"dropping-particle":"","family":"Engesser","given":"Burkart","non-dropping-particle":"","parse-names":false,"suffix":""},{"dropping-particle":"","family":"Matter","given":"Albert","non-dropping-particle":"","parse-names":false,"suffix":""},{"dropping-particle":"","family":"Moyen","given":"Inferieur A","non-dropping-particle":"","parse-names":false,"suffix":""},{"dropping-particle":"","family":"Avant","given":"D E L","non-dropping-particle":"","parse-names":false,"suffix":""}],"id":"ITEM-1","issued":{"date-parts":[["1997"]]},"page":"547-561","title":"New Magnetostratigraphic Calibration of Early to Middle Miocene Mammal Biozones of the North Alpine Foreland Basin","type":"article-journal"},"uris":["http://www.mendeley.com/documents/?uuid=bb9391d7-d89b-451c-81a8-774a77d940e5"]}],"mendeley":{"formattedCitation":"(Kempf et al., 1997)","plainTextFormattedCitation":"(Kempf et al., 1997)","previouslyFormattedCitation":"(Kempf et al., 1997)"},"properties":{"noteIndex":0},"schema":"https://github.com/citation-style-language/schema/raw/master/csl-citation.json"}</w:instrText>
      </w:r>
      <w:r w:rsidR="00DB4B44">
        <w:rPr>
          <w:lang w:val="en-US"/>
        </w:rPr>
        <w:fldChar w:fldCharType="separate"/>
      </w:r>
      <w:r w:rsidR="00DB4B44" w:rsidRPr="00DB4B44">
        <w:rPr>
          <w:noProof/>
          <w:lang w:val="en-US"/>
        </w:rPr>
        <w:t>(Kempf et al., 1997)</w:t>
      </w:r>
      <w:r w:rsidR="00DB4B44">
        <w:rPr>
          <w:lang w:val="en-US"/>
        </w:rPr>
        <w:fldChar w:fldCharType="end"/>
      </w:r>
      <w:r w:rsidRPr="006A3844">
        <w:rPr>
          <w:lang w:val="en-US"/>
        </w:rPr>
        <w:t xml:space="preserve"> and is dated by the projected Küsnacht bentonite (14.91 ± 0.09 Ma) and seven mammal sites comprising faunal zones MN 4b, MN 5, and MN 6. Furthermore, the Hüllistein conglomerate serves as an important stratigraphic marker bed (at 16 Ma; Kempf et al., 1997</w:t>
      </w:r>
      <w:r w:rsidRPr="006A3844">
        <w:rPr>
          <w:lang w:val="en-US"/>
        </w:rPr>
        <w:fldChar w:fldCharType="begin" w:fldLock="1"/>
      </w:r>
      <w:r w:rsidR="002F3A4A">
        <w:rPr>
          <w:lang w:val="en-US"/>
        </w:rPr>
        <w:instrText>ADDIN CSL_CITATION {"citationItems":[{"id":"ITEM-1","itemData":{"author":[{"dropping-particle":"","family":"Kempf","given":"Oliver","non-dropping-particle":"","parse-names":false,"suffix":""},{"dropping-particle":"","family":"Bolliger","given":"Thomas","non-dropping-particle":"","parse-names":false,"suffix":""},{"dropping-particle":"","family":"Kalin","given":"Daniel","non-dropping-particle":"","parse-names":false,"suffix":""},{"dropping-particle":"","family":"Engesser","given":"Burkart","non-dropping-particle":"","parse-names":false,"suffix":""},{"dropping-particle":"","family":"Matter","given":"Albert","non-dropping-particle":"","parse-names":false,"suffix":""},{"dropping-particle":"","family":"Moyen","given":"Inferieur A","non-dropping-particle":"","parse-names":false,"suffix":""},{"dropping-particle":"","family":"Avant","given":"D E L","non-dropping-particle":"","parse-names":false,"suffix":""}],"id":"ITEM-1","issued":{"date-parts":[["1997"]]},"page":"547-561","title":"New Magnetostratigraphic Calibration of Early to Middle Miocene Mammal Biozones of the North Alpine Foreland Basin","type":"article-journal"},"uris":["http://www.mendeley.com/documents/?uuid=bb9391d7-d89b-451c-81a8-774a77d940e5"]}],"mendeley":{"formattedCitation":"(Kempf et al., 1997)","manualFormatting":")","plainTextFormattedCitation":"(Kempf et al., 1997)","previouslyFormattedCitation":"(Kempf et al., 1997)"},"properties":{"noteIndex":0},"schema":"https://github.com/citation-style-language/schema/raw/master/csl-citation.json"}</w:instrText>
      </w:r>
      <w:r w:rsidRPr="006A3844">
        <w:rPr>
          <w:lang w:val="en-US"/>
        </w:rPr>
        <w:fldChar w:fldCharType="separate"/>
      </w:r>
      <w:r w:rsidRPr="006A3844">
        <w:rPr>
          <w:noProof/>
          <w:lang w:val="en-US"/>
        </w:rPr>
        <w:t>)</w:t>
      </w:r>
      <w:r w:rsidRPr="006A3844">
        <w:rPr>
          <w:lang w:val="en-US"/>
        </w:rPr>
        <w:fldChar w:fldCharType="end"/>
      </w:r>
      <w:r w:rsidRPr="006A3844">
        <w:rPr>
          <w:lang w:val="en-US"/>
        </w:rPr>
        <w:t xml:space="preserve"> and allows a lateral correlation with the Meilen limestone in the Aabach section 20 km further to the west (Kempf &amp; Matter, 1999). We used the paleomagnetic section of </w:t>
      </w:r>
      <w:r w:rsidR="00DB4B44">
        <w:rPr>
          <w:lang w:val="en-US"/>
        </w:rPr>
        <w:fldChar w:fldCharType="begin" w:fldLock="1"/>
      </w:r>
      <w:r w:rsidR="002F3A4A">
        <w:rPr>
          <w:lang w:val="en-US"/>
        </w:rPr>
        <w:instrText>ADDIN CSL_CITATION {"citationItems":[{"id":"ITEM-1","itemData":{"author":[{"dropping-particle":"","family":"Kempf","given":"Oliver","non-dropping-particle":"","parse-names":false,"suffix":""},{"dropping-particle":"","family":"Bolliger","given":"Thomas","non-dropping-particle":"","parse-names":false,"suffix":""},{"dropping-particle":"","family":"Kalin","given":"Daniel","non-dropping-particle":"","parse-names":false,"suffix":""},{"dropping-particle":"","family":"Engesser","given":"Burkart","non-dropping-particle":"","parse-names":false,"suffix":""},{"dropping-particle":"","family":"Matter","given":"Albert","non-dropping-particle":"","parse-names":false,"suffix":""},{"dropping-particle":"","family":"Moyen","given":"Inferieur A","non-dropping-particle":"","parse-names":false,"suffix":""},{"dropping-particle":"","family":"Avant","given":"D E L","non-dropping-particle":"","parse-names":false,"suffix":""}],"id":"ITEM-1","issued":{"date-parts":[["1997"]]},"page":"547-561","title":"New Magnetostratigraphic Calibration of Early to Middle Miocene Mammal Biozones of the North Alpine Foreland Basin","type":"article-journal"},"uris":["http://www.mendeley.com/documents/?uuid=bb9391d7-d89b-451c-81a8-774a77d940e5"]}],"mendeley":{"formattedCitation":"(Kempf et al., 1997)","plainTextFormattedCitation":"(Kempf et al., 1997)","previouslyFormattedCitation":"(Kempf et al., 1997)"},"properties":{"noteIndex":0},"schema":"https://github.com/citation-style-language/schema/raw/master/csl-citation.json"}</w:instrText>
      </w:r>
      <w:r w:rsidR="00DB4B44">
        <w:rPr>
          <w:lang w:val="en-US"/>
        </w:rPr>
        <w:fldChar w:fldCharType="separate"/>
      </w:r>
      <w:r w:rsidR="00DB4B44" w:rsidRPr="00DB4B44">
        <w:rPr>
          <w:noProof/>
          <w:lang w:val="en-US"/>
        </w:rPr>
        <w:t>(Kempf et al., 1997)</w:t>
      </w:r>
      <w:r w:rsidR="00DB4B44">
        <w:rPr>
          <w:lang w:val="en-US"/>
        </w:rPr>
        <w:fldChar w:fldCharType="end"/>
      </w:r>
      <w:r w:rsidRPr="006A3844">
        <w:rPr>
          <w:lang w:val="en-US"/>
        </w:rPr>
        <w:t xml:space="preserve"> to construct the age model of the sampled section. We sampled ca. 650 m of the section covering the uppermost part of Chron C5Cr to the lowermost part of Chron C5ABr, spanning a time interval of 16.773 Ma to 13.711 Ma (chron ages from the Astronomically Tuned Neogene Time Scale (ATNTS2012; </w:t>
      </w:r>
      <w:r w:rsidR="00DB4B44">
        <w:rPr>
          <w:lang w:val="en-US"/>
        </w:rPr>
        <w:fldChar w:fldCharType="begin" w:fldLock="1"/>
      </w:r>
      <w:r w:rsidR="00DB4B44">
        <w:rPr>
          <w:lang w:val="en-US"/>
        </w:rPr>
        <w:instrText>ADDIN CSL_CITATION {"citationItems":[{"id":"ITEM-1","itemData":{"DOI":"10.1016/B978-0-444-59425-9.00029-9","ISBN":"9780444594259","ISSN":"0444594256","abstract":"An Astronomically Tuned Neogene Time Scale (ATNTS2012) is presented, as an update of ATNTS2004 in GTS2004. The new scale is not fundamentally different from its predecessor and the numerical ages are identical or almost so. Astronomical tuning has in principle the potential of generating a stable Neogene time scale as a function of the accuracy of the La2004 astronomical solution used for both scales. Minor problems remain in the tuning of the Lower Miocene. In GTS2012 we will summarize what has been modified or added since the publication of ATNTS2004 for incorpo-ration in its successor, ATNTS2012. Mammal biostratig-raphy and its chronology are elaborated, and the regional Neogene stages of the Paratethys and New Zealand are briefy discussed. To keep changes to ATNTS2004 trans-parent we maintain its subdivision into headings as much as possible.","author":[{"dropping-particle":"","family":"Hilgen","given":"Frederik J.","non-dropping-particle":"","parse-names":false,"suffix":""},{"dropping-particle":"","family":"Lourens","given":"Lucas J.","non-dropping-particle":"","parse-names":false,"suffix":""},{"dropping-particle":"","family":"Dam","given":"Jan A.","non-dropping-particle":"Van","parse-names":false,"suffix":""},{"dropping-particle":"","family":"Beu","given":"Alan G.","non-dropping-particle":"","parse-names":false,"suffix":""},{"dropping-particle":"","family":"Boyes","given":"Andrew F.","non-dropping-particle":"","parse-names":false,"suffix":""},{"dropping-particle":"","family":"Cooper","given":"Roger A.","non-dropping-particle":"","parse-names":false,"suffix":""},{"dropping-particle":"","family":"Krijgsman","given":"Wout","non-dropping-particle":"","parse-names":false,"suffix":""},{"dropping-particle":"","family":"Ogg","given":"James G.","non-dropping-particle":"","parse-names":false,"suffix":""},{"dropping-particle":"","family":"Piller","given":"Werner E.","non-dropping-particle":"","parse-names":false,"suffix":""},{"dropping-particle":"","family":"Wilson","given":"Douglas S.","non-dropping-particle":"","parse-names":false,"suffix":""}],"container-title":"The Geologic Time Scale 2012","id":"ITEM-1","issued":{"date-parts":[["2012"]]},"number-of-pages":"923-978","title":"The Neogene Period","type":"book","volume":"1-2"},"uris":["http://www.mendeley.com/documents/?uuid=60648d9a-125d-4a5d-9a7c-d9f4c41dd19c"]}],"mendeley":{"formattedCitation":"(Hilgen et al., 2012)","manualFormatting":"Hilgen et al., 2012)","plainTextFormattedCitation":"(Hilgen et al., 2012)","previouslyFormattedCitation":"(Hilgen et al., 2012)"},"properties":{"noteIndex":0},"schema":"https://github.com/citation-style-language/schema/raw/master/csl-citation.json"}</w:instrText>
      </w:r>
      <w:r w:rsidR="00DB4B44">
        <w:rPr>
          <w:lang w:val="en-US"/>
        </w:rPr>
        <w:fldChar w:fldCharType="separate"/>
      </w:r>
      <w:r w:rsidR="00DB4B44" w:rsidRPr="00DB4B44">
        <w:rPr>
          <w:noProof/>
          <w:lang w:val="en-US"/>
        </w:rPr>
        <w:t>Hilgen et al., 2012)</w:t>
      </w:r>
      <w:r w:rsidR="00DB4B44">
        <w:rPr>
          <w:lang w:val="en-US"/>
        </w:rPr>
        <w:fldChar w:fldCharType="end"/>
      </w:r>
      <w:r w:rsidR="00DB4B44">
        <w:rPr>
          <w:lang w:val="en-US"/>
        </w:rPr>
        <w:t>.</w:t>
      </w:r>
    </w:p>
    <w:p w14:paraId="27112F3C" w14:textId="2B440FD7" w:rsidR="002B782F" w:rsidRPr="00F0048A" w:rsidRDefault="002B782F" w:rsidP="002B782F">
      <w:pPr>
        <w:rPr>
          <w:lang w:val="en-US"/>
        </w:rPr>
      </w:pPr>
      <w:r w:rsidRPr="00F0048A">
        <w:rPr>
          <w:lang w:val="en-US"/>
        </w:rPr>
        <w:t xml:space="preserve">Paleomagnetostratigraphy and age assignments for the Aabach section are presented in </w:t>
      </w:r>
      <w:r>
        <w:rPr>
          <w:lang w:val="en-US"/>
        </w:rPr>
        <w:t>Kempf &amp; Matter (1999)</w:t>
      </w:r>
      <w:r w:rsidRPr="0086346B">
        <w:rPr>
          <w:lang w:val="en-US"/>
        </w:rPr>
        <w:t>.</w:t>
      </w:r>
      <w:r w:rsidRPr="00F0048A">
        <w:rPr>
          <w:lang w:val="en-US"/>
        </w:rPr>
        <w:t xml:space="preserve"> Absolute age constraints are given by two </w:t>
      </w:r>
      <w:r>
        <w:rPr>
          <w:lang w:val="en-US"/>
        </w:rPr>
        <w:t xml:space="preserve">projected </w:t>
      </w:r>
      <w:r w:rsidRPr="00F0048A">
        <w:rPr>
          <w:lang w:val="en-US"/>
        </w:rPr>
        <w:t xml:space="preserve">volcanic ash layers (the Küsnacht and the Urdorf bentonites) which are dated to 14.91 ± 0.09 Ma and 15.27 ± 0.12 Ma, respectively </w:t>
      </w:r>
      <w:r>
        <w:rPr>
          <w:lang w:val="en-US"/>
        </w:rPr>
        <w:t xml:space="preserve">(Gubler et al., 1992). </w:t>
      </w:r>
      <w:r w:rsidRPr="00F0048A">
        <w:rPr>
          <w:lang w:val="en-US"/>
        </w:rPr>
        <w:t>Biostratigraphic constraints include five mammal sites (all in mammal faunal zone MN 5;</w:t>
      </w:r>
      <w:r>
        <w:rPr>
          <w:lang w:val="en-US"/>
        </w:rPr>
        <w:t xml:space="preserve"> Kälin &amp; Kempf, 2009)</w:t>
      </w:r>
      <w:r w:rsidRPr="00F0048A">
        <w:rPr>
          <w:lang w:val="en-US"/>
        </w:rPr>
        <w:t>. We sampled 352 m of the section covering the base of Chron C5Cr to the top of Chron C5Bn.1r, which transfers into a time interval of 17.222 Ma to 14.870 Ma (according to ATNTS2012</w:t>
      </w:r>
      <w:r w:rsidRPr="0086346B">
        <w:rPr>
          <w:lang w:val="en-US"/>
        </w:rPr>
        <w:t xml:space="preserve">; </w:t>
      </w:r>
      <w:r w:rsidRPr="0086346B">
        <w:rPr>
          <w:noProof/>
          <w:lang w:val="en-US"/>
        </w:rPr>
        <w:t>Hilgen et al., 2012).</w:t>
      </w:r>
      <w:r w:rsidRPr="00F0048A">
        <w:rPr>
          <w:noProof/>
          <w:lang w:val="en-US"/>
        </w:rPr>
        <w:t xml:space="preserve"> Uncertainties are introduced by two confirmed hiatuses at </w:t>
      </w:r>
      <w:r w:rsidRPr="00F0048A">
        <w:rPr>
          <w:lang w:val="en-US"/>
        </w:rPr>
        <w:t>~172 m and ~280 m of section with unknown durations. We defined the time of ending of the hiatuses to be at the beginning of the subsequent confirmed chron. We therefore indicate that the section sequence was interrupted from 16.472–15.974 Ma, and 15.160–15.0321 Ma by hiatus 1</w:t>
      </w:r>
      <w:r>
        <w:rPr>
          <w:lang w:val="en-US"/>
        </w:rPr>
        <w:t xml:space="preserve"> and </w:t>
      </w:r>
      <w:r w:rsidRPr="00F0048A">
        <w:rPr>
          <w:lang w:val="en-US"/>
        </w:rPr>
        <w:t>hiatus 2</w:t>
      </w:r>
      <w:r>
        <w:rPr>
          <w:lang w:val="en-US"/>
        </w:rPr>
        <w:t>,</w:t>
      </w:r>
      <w:r w:rsidRPr="000D4C87">
        <w:rPr>
          <w:lang w:val="en-US"/>
        </w:rPr>
        <w:t xml:space="preserve"> </w:t>
      </w:r>
      <w:r w:rsidRPr="00F0048A">
        <w:rPr>
          <w:lang w:val="en-US"/>
        </w:rPr>
        <w:t>respectively.</w:t>
      </w:r>
      <w:r>
        <w:rPr>
          <w:lang w:val="en-US"/>
        </w:rPr>
        <w:t xml:space="preserve"> </w:t>
      </w:r>
      <w:r w:rsidRPr="00F0048A">
        <w:rPr>
          <w:lang w:val="en-US"/>
        </w:rPr>
        <w:t>A third, yet unconfirmed hiatus is assumed at ~180 m of section and was therefore not considered in our age model.</w:t>
      </w:r>
    </w:p>
    <w:p w14:paraId="594DC9BE" w14:textId="77777777" w:rsidR="002B782F" w:rsidRDefault="002B782F" w:rsidP="002B782F">
      <w:pPr>
        <w:rPr>
          <w:lang w:val="en-US"/>
        </w:rPr>
      </w:pPr>
      <w:r w:rsidRPr="00F0048A">
        <w:rPr>
          <w:lang w:val="en-US"/>
        </w:rPr>
        <w:t>Sample age error results from uncertainties of sample placement within the stratigraphic section. We assumed a maximum uncertainty of ± </w:t>
      </w:r>
      <w:r>
        <w:rPr>
          <w:lang w:val="en-US"/>
        </w:rPr>
        <w:t>15</w:t>
      </w:r>
      <w:r w:rsidRPr="00F0048A">
        <w:rPr>
          <w:lang w:val="en-US"/>
        </w:rPr>
        <w:t xml:space="preserve"> m</w:t>
      </w:r>
      <w:r>
        <w:rPr>
          <w:lang w:val="en-US"/>
        </w:rPr>
        <w:t>. B</w:t>
      </w:r>
      <w:r w:rsidRPr="00F0048A">
        <w:rPr>
          <w:lang w:val="en-US"/>
        </w:rPr>
        <w:t>ased on the interval with the</w:t>
      </w:r>
      <w:r>
        <w:rPr>
          <w:lang w:val="en-US"/>
        </w:rPr>
        <w:t xml:space="preserve"> lowest sedimentation rate (</w:t>
      </w:r>
      <w:r w:rsidRPr="00547414">
        <w:rPr>
          <w:lang w:val="en-US"/>
        </w:rPr>
        <w:t>Fontannen = 0.20</w:t>
      </w:r>
      <w:r>
        <w:rPr>
          <w:lang w:val="en-US"/>
        </w:rPr>
        <w:t xml:space="preserve"> mm/ a</w:t>
      </w:r>
      <w:r w:rsidRPr="00547414">
        <w:rPr>
          <w:lang w:val="en-US"/>
        </w:rPr>
        <w:t>; Jona = 0.10 mm/ a, and Aabach = 0.12 mm/ a) and assuming a constant sedimentation rate this transfers into a maximum error for the Fontannen section of ± 80 kyr, for the Jona section of ± 150 kyr, and for the Aabach section of ± 120 kyr.</w:t>
      </w:r>
      <w:r w:rsidRPr="00F0048A">
        <w:rPr>
          <w:lang w:val="en-US"/>
        </w:rPr>
        <w:t xml:space="preserve"> </w:t>
      </w:r>
    </w:p>
    <w:p w14:paraId="448F4297" w14:textId="77777777" w:rsidR="00573F0C" w:rsidRPr="00573F0C" w:rsidRDefault="00573F0C" w:rsidP="002B782F"/>
    <w:p w14:paraId="4DCDF6C5" w14:textId="26978ADD" w:rsidR="00C82F79" w:rsidRDefault="0048155E" w:rsidP="002B782F">
      <w:pPr>
        <w:pStyle w:val="berschrift1"/>
      </w:pPr>
      <w:r>
        <w:lastRenderedPageBreak/>
        <w:t>S2</w:t>
      </w:r>
      <w:r w:rsidR="002B782F">
        <w:t xml:space="preserve"> Analytical procedures</w:t>
      </w:r>
    </w:p>
    <w:p w14:paraId="72D8117C" w14:textId="4D9EDCA1" w:rsidR="008E3110" w:rsidRDefault="002B782F" w:rsidP="002B782F">
      <w:pPr>
        <w:pStyle w:val="berschrift2"/>
      </w:pPr>
      <w:r>
        <w:t xml:space="preserve">2.1 </w:t>
      </w:r>
      <w:r w:rsidRPr="00F0048A">
        <w:rPr>
          <w:lang w:val="en-US"/>
        </w:rPr>
        <w:t>Stable (δ</w:t>
      </w:r>
      <w:r w:rsidRPr="00F0048A">
        <w:rPr>
          <w:vertAlign w:val="superscript"/>
          <w:lang w:val="en-US"/>
        </w:rPr>
        <w:t>13</w:t>
      </w:r>
      <w:r w:rsidRPr="00F0048A">
        <w:rPr>
          <w:lang w:val="en-US"/>
        </w:rPr>
        <w:t>C, δ</w:t>
      </w:r>
      <w:r w:rsidRPr="00F0048A">
        <w:rPr>
          <w:vertAlign w:val="superscript"/>
          <w:lang w:val="en-US"/>
        </w:rPr>
        <w:t>18</w:t>
      </w:r>
      <w:r w:rsidR="005174E0">
        <w:rPr>
          <w:lang w:val="en-US"/>
        </w:rPr>
        <w:t>O) isotope analyse</w:t>
      </w:r>
      <w:r w:rsidRPr="00F0048A">
        <w:rPr>
          <w:lang w:val="en-US"/>
        </w:rPr>
        <w:t>s</w:t>
      </w:r>
    </w:p>
    <w:p w14:paraId="5F2CC14D" w14:textId="09DE8EBE" w:rsidR="00C26311" w:rsidRDefault="002B782F" w:rsidP="002B782F">
      <w:r w:rsidRPr="00F0048A">
        <w:t>H</w:t>
      </w:r>
      <w:r>
        <w:t xml:space="preserve">igh time </w:t>
      </w:r>
      <w:r w:rsidRPr="00F0048A">
        <w:t>resolution oxygen and carbon stable isotope (</w:t>
      </w:r>
      <w:r w:rsidRPr="00F0048A">
        <w:rPr>
          <w:rFonts w:cs="Calibri"/>
        </w:rPr>
        <w:t>δ</w:t>
      </w:r>
      <w:r w:rsidRPr="00F0048A">
        <w:rPr>
          <w:vertAlign w:val="superscript"/>
        </w:rPr>
        <w:t>13</w:t>
      </w:r>
      <w:r w:rsidRPr="00F0048A">
        <w:t xml:space="preserve">C, </w:t>
      </w:r>
      <w:r w:rsidRPr="00F0048A">
        <w:rPr>
          <w:rFonts w:cs="Calibri"/>
        </w:rPr>
        <w:t>δ</w:t>
      </w:r>
      <w:r w:rsidRPr="00F0048A">
        <w:rPr>
          <w:vertAlign w:val="superscript"/>
        </w:rPr>
        <w:t>18</w:t>
      </w:r>
      <w:r w:rsidRPr="00F0048A">
        <w:t>O</w:t>
      </w:r>
      <w:r w:rsidRPr="00F0048A">
        <w:rPr>
          <w:vertAlign w:val="subscript"/>
        </w:rPr>
        <w:t>c</w:t>
      </w:r>
      <w:r w:rsidRPr="00F0048A">
        <w:t>) analysis on carbonates</w:t>
      </w:r>
      <w:r w:rsidR="00DB4B44">
        <w:t xml:space="preserve"> from the Fontannen section (MC-</w:t>
      </w:r>
      <w:r w:rsidRPr="00F0048A">
        <w:t xml:space="preserve">-) was carried out at Leibniz University Hannover, Germany, and data was </w:t>
      </w:r>
      <w:r w:rsidRPr="006A3844">
        <w:t xml:space="preserve">presented in </w:t>
      </w:r>
      <w:r w:rsidR="00DB4B44">
        <w:fldChar w:fldCharType="begin" w:fldLock="1"/>
      </w:r>
      <w:r w:rsidR="00DB4B44">
        <w:instrText>ADDIN CSL_CITATION {"citationItems":[{"id":"ITEM-1","itemData":{"DOI":"10.1016/j.epsl.2012.05.017","ISSN":"0012821X","abstract":"Reconstructing surface elevation, surface uplift, and relief histories is fundamental to understanding the growth of mountain ranges, to explore their topographic limits, and relate these to the interplay between geodynamic and Earth surface processes. Here, we aim to quantify Miocene paleoelevation of the Central European Alps through stable isotope paleoaltimetry. The novelty of our approach, which renders our analysis less sensitive to past climate change, is that stable isotope proxies of identical age are analyzed from both the high internal parts of the Alpine orogen and the adjacent foreland basin. Whereas the foreland basin was at or near sea level and traces the combined effects of upstream changes in rainfall amount and composition, the high Alpine site additionally records the effect of elevation on stable isotopes in precipitation. We compare hydrogen isotopic ratios (δD) in mica and chlorite that interacted with meteoric water along the Simplon detachment, a major normal fault that developed at high elevations, with meteoric water compositions deduced from carbonate-bearing paleosols of the North-Alpine foreland basin.δD values of muscovite (-126‰) and chlorite (-135‰) from the brittle hanging wall and of recrystallized muscovite (-108‰) and biotite (-140‰) from adjacent footwall mylonites provide unequivocal evidence for localized syntectonic meteoric water interaction along the Simplon detachment. Detailed 40Ar/39Ar and fission track geochronology constrains the timing of isotopic exchange to ca. 14.5Ma, when the footwall mylonites passed through the ductile to brittle transition. Age-equivalent oxygen isotope ratios (δ18O) measured within pedogenic carbonate from North-Alpine foreland paleosols that developed near Miocene sea level serve as our low-elevation point of reference δ18O values in these paleosols, dated with ca. 100ka precision, vary between +19 and +25‰ (SMOW) with average values of +20‰ at ca. 14.5Ma. Using the relative differences between meteoric water compositions in the foreland basin and the high Alpine Simplon detachment, our isotope data are consistent with a mid-Miocene minimum average elevation difference of 2350 (+700/-500) m for the Simplon region. Our results indicate that Miocene Alpine elevations were at least comparable to those of today and are likely to have acted as an important barrier to Atlantic-derived moisture transport into central Europe and Eurasia since that time. © 2012 Elsevier B.V.","author":[{"dropping-particle":"","family":"Campani","given":"M.","non-dropping-particle":"","parse-names":false,"suffix":""},{"dropping-particle":"","family":"Mulch","given":"A.","non-dropping-particle":"","parse-names":false,"suffix":""},{"dropping-particle":"","family":"Kempf","given":"O.","non-dropping-particle":"","parse-names":false,"suffix":""},{"dropping-particle":"","family":"Schlunegger","given":"F.","non-dropping-particle":"","parse-names":false,"suffix":""},{"dropping-particle":"","family":"Mancktelow","given":"N.","non-dropping-particle":"","parse-names":false,"suffix":""}],"container-title":"Earth and Planetary Science Letters","id":"ITEM-1","issued":{"date-parts":[["2012"]]},"page":"174-185","publisher":"Elsevier","title":"Miocene paleotopography of the Central Alps","type":"article-journal","volume":"337-338"},"uris":["http://www.mendeley.com/documents/?uuid=35d70ed7-0ec8-442e-bbce-541ff435ebe4"]}],"mendeley":{"formattedCitation":"(Campani et al., 2012)","plainTextFormattedCitation":"(Campani et al., 2012)","previouslyFormattedCitation":"(Campani et al., 2012)"},"properties":{"noteIndex":0},"schema":"https://github.com/citation-style-language/schema/raw/master/csl-citation.json"}</w:instrText>
      </w:r>
      <w:r w:rsidR="00DB4B44">
        <w:fldChar w:fldCharType="separate"/>
      </w:r>
      <w:r w:rsidR="00DB4B44" w:rsidRPr="00DB4B44">
        <w:rPr>
          <w:noProof/>
        </w:rPr>
        <w:t>(Campani et al., 2012)</w:t>
      </w:r>
      <w:r w:rsidR="00DB4B44">
        <w:fldChar w:fldCharType="end"/>
      </w:r>
      <w:r w:rsidR="00DB4B44">
        <w:t>.</w:t>
      </w:r>
      <w:r w:rsidRPr="00F0048A">
        <w:t xml:space="preserve"> </w:t>
      </w:r>
      <w:r>
        <w:t xml:space="preserve">Details on analytical setup and error calculation can be found therein. </w:t>
      </w:r>
      <w:r w:rsidRPr="00F0048A">
        <w:t xml:space="preserve">We complemented the stable isotope record from </w:t>
      </w:r>
      <w:r w:rsidR="00DB4B44">
        <w:fldChar w:fldCharType="begin" w:fldLock="1"/>
      </w:r>
      <w:r w:rsidR="00F41D59">
        <w:instrText>ADDIN CSL_CITATION {"citationItems":[{"id":"ITEM-1","itemData":{"DOI":"10.1016/j.epsl.2012.05.017","ISSN":"0012821X","abstract":"Reconstructing surface elevation, surface uplift, and relief histories is fundamental to understanding the growth of mountain ranges, to explore their topographic limits, and relate these to the interplay between geodynamic and Earth surface processes. Here, we aim to quantify Miocene paleoelevation of the Central European Alps through stable isotope paleoaltimetry. The novelty of our approach, which renders our analysis less sensitive to past climate change, is that stable isotope proxies of identical age are analyzed from both the high internal parts of the Alpine orogen and the adjacent foreland basin. Whereas the foreland basin was at or near sea level and traces the combined effects of upstream changes in rainfall amount and composition, the high Alpine site additionally records the effect of elevation on stable isotopes in precipitation. We compare hydrogen isotopic ratios (δD) in mica and chlorite that interacted with meteoric water along the Simplon detachment, a major normal fault that developed at high elevations, with meteoric water compositions deduced from carbonate-bearing paleosols of the North-Alpine foreland basin.δD values of muscovite (-126‰) and chlorite (-135‰) from the brittle hanging wall and of recrystallized muscovite (-108‰) and biotite (-140‰) from adjacent footwall mylonites provide unequivocal evidence for localized syntectonic meteoric water interaction along the Simplon detachment. Detailed 40Ar/39Ar and fission track geochronology constrains the timing of isotopic exchange to ca. 14.5Ma, when the footwall mylonites passed through the ductile to brittle transition. Age-equivalent oxygen isotope ratios (δ18O) measured within pedogenic carbonate from North-Alpine foreland paleosols that developed near Miocene sea level serve as our low-elevation point of reference δ18O values in these paleosols, dated with ca. 100ka precision, vary between +19 and +25‰ (SMOW) with average values of +20‰ at ca. 14.5Ma. Using the relative differences between meteoric water compositions in the foreland basin and the high Alpine Simplon detachment, our isotope data are consistent with a mid-Miocene minimum average elevation difference of 2350 (+700/-500) m for the Simplon region. Our results indicate that Miocene Alpine elevations were at least comparable to those of today and are likely to have acted as an important barrier to Atlantic-derived moisture transport into central Europe and Eurasia since that time. © 2012 Elsevier B.V.","author":[{"dropping-particle":"","family":"Campani","given":"M.","non-dropping-particle":"","parse-names":false,"suffix":""},{"dropping-particle":"","family":"Mulch","given":"A.","non-dropping-particle":"","parse-names":false,"suffix":""},{"dropping-particle":"","family":"Kempf","given":"O.","non-dropping-particle":"","parse-names":false,"suffix":""},{"dropping-particle":"","family":"Schlunegger","given":"F.","non-dropping-particle":"","parse-names":false,"suffix":""},{"dropping-particle":"","family":"Mancktelow","given":"N.","non-dropping-particle":"","parse-names":false,"suffix":""}],"container-title":"Earth and Planetary Science Letters","id":"ITEM-1","issued":{"date-parts":[["2012"]]},"page":"174-185","publisher":"Elsevier","title":"Miocene paleotopography of the Central Alps","type":"article-journal","volume":"337-338"},"uris":["http://www.mendeley.com/documents/?uuid=35d70ed7-0ec8-442e-bbce-541ff435ebe4"]}],"mendeley":{"formattedCitation":"(Campani et al., 2012)","plainTextFormattedCitation":"(Campani et al., 2012)","previouslyFormattedCitation":"(Campani et al., 2012)"},"properties":{"noteIndex":0},"schema":"https://github.com/citation-style-language/schema/raw/master/csl-citation.json"}</w:instrText>
      </w:r>
      <w:r w:rsidR="00DB4B44">
        <w:fldChar w:fldCharType="separate"/>
      </w:r>
      <w:r w:rsidR="00DB4B44" w:rsidRPr="00DB4B44">
        <w:rPr>
          <w:noProof/>
        </w:rPr>
        <w:t>(Campani et al., 2012)</w:t>
      </w:r>
      <w:r w:rsidR="00DB4B44">
        <w:fldChar w:fldCharType="end"/>
      </w:r>
      <w:r w:rsidRPr="00F0048A">
        <w:t xml:space="preserve"> with additional 16 samples which were col</w:t>
      </w:r>
      <w:r>
        <w:t>lected and analysed in 2017 (</w:t>
      </w:r>
      <w:r w:rsidR="00DB4B44">
        <w:t xml:space="preserve">Table </w:t>
      </w:r>
      <w:r w:rsidR="0048155E">
        <w:t>S1</w:t>
      </w:r>
      <w:r w:rsidR="00DB4B44">
        <w:t>; 17 EK</w:t>
      </w:r>
      <w:r w:rsidRPr="00F0048A">
        <w:t xml:space="preserve">--). </w:t>
      </w:r>
      <w:r w:rsidRPr="00F0048A">
        <w:rPr>
          <w:rFonts w:cs="Calibri"/>
        </w:rPr>
        <w:t>δ</w:t>
      </w:r>
      <w:r w:rsidRPr="00F0048A">
        <w:rPr>
          <w:vertAlign w:val="superscript"/>
        </w:rPr>
        <w:t>13</w:t>
      </w:r>
      <w:r w:rsidRPr="00F0048A">
        <w:t xml:space="preserve">C and </w:t>
      </w:r>
      <w:r w:rsidRPr="00F0048A">
        <w:rPr>
          <w:rFonts w:cs="Calibri"/>
        </w:rPr>
        <w:t>δ</w:t>
      </w:r>
      <w:r w:rsidRPr="00F0048A">
        <w:rPr>
          <w:vertAlign w:val="superscript"/>
        </w:rPr>
        <w:t>18</w:t>
      </w:r>
      <w:r w:rsidRPr="00F0048A">
        <w:t>O</w:t>
      </w:r>
      <w:r w:rsidRPr="00F0048A">
        <w:rPr>
          <w:vertAlign w:val="subscript"/>
        </w:rPr>
        <w:t>c</w:t>
      </w:r>
      <w:r w:rsidRPr="00F0048A">
        <w:t xml:space="preserve"> analysis of pedogenic carbonates from </w:t>
      </w:r>
      <w:r>
        <w:t xml:space="preserve">the </w:t>
      </w:r>
      <w:r w:rsidRPr="00F0048A">
        <w:t xml:space="preserve">Jona and Aabach sections was performed at the </w:t>
      </w:r>
      <w:r>
        <w:rPr>
          <w:rFonts w:eastAsiaTheme="minorEastAsia" w:cstheme="minorHAnsi"/>
        </w:rPr>
        <w:t>Joint Goethe University–</w:t>
      </w:r>
      <w:r w:rsidR="001E3EE2">
        <w:rPr>
          <w:rFonts w:eastAsiaTheme="minorEastAsia" w:cstheme="minorHAnsi"/>
        </w:rPr>
        <w:t xml:space="preserve">Senckenberg </w:t>
      </w:r>
      <w:r w:rsidRPr="00F0048A">
        <w:rPr>
          <w:rFonts w:eastAsiaTheme="minorEastAsia" w:cstheme="minorHAnsi"/>
        </w:rPr>
        <w:t>BiK-F Stable Isotope Facility Frankfurt</w:t>
      </w:r>
      <w:r w:rsidRPr="00F0048A">
        <w:t xml:space="preserve">, Germany. Carbonate nodules were drilled with a low-speed micro drill. 0.1 mg to 2.5 </w:t>
      </w:r>
      <w:r w:rsidRPr="00F0048A">
        <w:rPr>
          <w:rFonts w:cs="Calibri"/>
        </w:rPr>
        <w:t>m</w:t>
      </w:r>
      <w:r w:rsidRPr="00F0048A">
        <w:t>g of sample powder was digested with orthophosphoric acid at 72°C. After a reaction time of 90 min the evolved CO</w:t>
      </w:r>
      <w:r w:rsidRPr="00F0048A">
        <w:rPr>
          <w:vertAlign w:val="subscript"/>
        </w:rPr>
        <w:t>2</w:t>
      </w:r>
      <w:r w:rsidRPr="00F0048A">
        <w:t xml:space="preserve"> gas was extracted by the Thermo Scientific GasBench II inlet system and isotope ratios were measured with a Thermo Scientific MAT 253 mass spectrometer. International and in-house standard materials (Carrara, NBS-18, and Merck) were measured </w:t>
      </w:r>
      <w:r>
        <w:t>along</w:t>
      </w:r>
      <w:r w:rsidRPr="00F0048A">
        <w:t xml:space="preserve"> with the samples. The isotopic results were reported in standard delta notation relative to VSMOW (</w:t>
      </w:r>
      <w:r w:rsidRPr="00F0048A">
        <w:rPr>
          <w:rFonts w:cs="Calibri"/>
        </w:rPr>
        <w:t>δ</w:t>
      </w:r>
      <w:r w:rsidRPr="00F0048A">
        <w:rPr>
          <w:vertAlign w:val="superscript"/>
        </w:rPr>
        <w:t>18</w:t>
      </w:r>
      <w:r w:rsidRPr="00F0048A">
        <w:t>O) and VPD</w:t>
      </w:r>
      <w:r>
        <w:t>B</w:t>
      </w:r>
      <w:r w:rsidRPr="00F0048A">
        <w:t xml:space="preserve"> (</w:t>
      </w:r>
      <w:r w:rsidRPr="00F0048A">
        <w:rPr>
          <w:rFonts w:cs="Calibri"/>
        </w:rPr>
        <w:t>δ</w:t>
      </w:r>
      <w:r w:rsidRPr="00F0048A">
        <w:rPr>
          <w:vertAlign w:val="superscript"/>
        </w:rPr>
        <w:t>13</w:t>
      </w:r>
      <w:r w:rsidRPr="00F0048A">
        <w:t>C). Two standard errors (2</w:t>
      </w:r>
      <w:r w:rsidRPr="00F0048A">
        <w:rPr>
          <w:rFonts w:cs="Calibri"/>
        </w:rPr>
        <w:t>σ</w:t>
      </w:r>
      <w:r w:rsidRPr="00F0048A">
        <w:rPr>
          <w:vertAlign w:val="subscript"/>
        </w:rPr>
        <w:t>n</w:t>
      </w:r>
      <w:r w:rsidRPr="00F0048A">
        <w:t xml:space="preserve">) were calculated for </w:t>
      </w:r>
      <w:r>
        <w:t xml:space="preserve">each section </w:t>
      </w:r>
      <w:r w:rsidRPr="00F0048A">
        <w:t>based on the Carrara standard</w:t>
      </w:r>
      <w:r>
        <w:t xml:space="preserve"> (n</w:t>
      </w:r>
      <w:r w:rsidRPr="003F394F">
        <w:rPr>
          <w:vertAlign w:val="subscript"/>
        </w:rPr>
        <w:t>Fontannen</w:t>
      </w:r>
      <w:r>
        <w:rPr>
          <w:vertAlign w:val="subscript"/>
        </w:rPr>
        <w:t xml:space="preserve"> </w:t>
      </w:r>
      <w:r>
        <w:t>= 22; n</w:t>
      </w:r>
      <w:r w:rsidRPr="003F394F">
        <w:rPr>
          <w:vertAlign w:val="subscript"/>
        </w:rPr>
        <w:t>Jona</w:t>
      </w:r>
      <w:r>
        <w:rPr>
          <w:vertAlign w:val="subscript"/>
        </w:rPr>
        <w:t xml:space="preserve"> </w:t>
      </w:r>
      <w:r>
        <w:t>= 84; n</w:t>
      </w:r>
      <w:r w:rsidRPr="003F394F">
        <w:rPr>
          <w:vertAlign w:val="subscript"/>
        </w:rPr>
        <w:t>Aabach</w:t>
      </w:r>
      <w:r>
        <w:rPr>
          <w:vertAlign w:val="subscript"/>
        </w:rPr>
        <w:t xml:space="preserve"> </w:t>
      </w:r>
      <w:r>
        <w:t>= 56)</w:t>
      </w:r>
      <w:r w:rsidRPr="00F0048A">
        <w:t xml:space="preserve"> and vary between 0.01 and 0.0</w:t>
      </w:r>
      <w:r>
        <w:t>3</w:t>
      </w:r>
      <w:r>
        <w:rPr>
          <w:rFonts w:cs="Calibri"/>
        </w:rPr>
        <w:t>‰</w:t>
      </w:r>
      <w:r>
        <w:t xml:space="preserve"> for </w:t>
      </w:r>
      <w:r>
        <w:rPr>
          <w:rFonts w:cs="Calibri"/>
        </w:rPr>
        <w:t>δ</w:t>
      </w:r>
      <w:r w:rsidRPr="003F394F">
        <w:rPr>
          <w:vertAlign w:val="superscript"/>
        </w:rPr>
        <w:t>18</w:t>
      </w:r>
      <w:r>
        <w:t>O and between 0.01 and 0.02</w:t>
      </w:r>
      <w:r w:rsidRPr="00F0048A">
        <w:rPr>
          <w:rFonts w:cs="Calibri"/>
        </w:rPr>
        <w:t>‰</w:t>
      </w:r>
      <w:r>
        <w:t xml:space="preserve"> for </w:t>
      </w:r>
      <w:r>
        <w:rPr>
          <w:rFonts w:cs="Calibri"/>
        </w:rPr>
        <w:t>δ</w:t>
      </w:r>
      <w:r w:rsidRPr="003F394F">
        <w:rPr>
          <w:vertAlign w:val="superscript"/>
        </w:rPr>
        <w:t>13</w:t>
      </w:r>
      <w:r>
        <w:t>C</w:t>
      </w:r>
      <w:r w:rsidRPr="00F0048A">
        <w:t xml:space="preserve"> (Table </w:t>
      </w:r>
      <w:r w:rsidR="0048155E">
        <w:t>S1</w:t>
      </w:r>
      <w:r w:rsidRPr="00F0048A">
        <w:t>).</w:t>
      </w:r>
    </w:p>
    <w:p w14:paraId="4D58EC21" w14:textId="77777777" w:rsidR="002B782F" w:rsidRPr="002B782F" w:rsidRDefault="002B782F" w:rsidP="002B782F">
      <w:pPr>
        <w:pStyle w:val="berschrift2"/>
      </w:pPr>
      <w:r w:rsidRPr="002B782F">
        <w:t>2.2 Carbonate clumped isotope (Δ47) analyses</w:t>
      </w:r>
    </w:p>
    <w:p w14:paraId="67678CC5" w14:textId="2D6072AE" w:rsidR="002B782F" w:rsidRPr="00F0048A" w:rsidRDefault="002B782F" w:rsidP="002B782F">
      <w:pPr>
        <w:rPr>
          <w:rFonts w:cs="Calibri"/>
        </w:rPr>
      </w:pPr>
      <w:r w:rsidRPr="00F0048A">
        <w:t xml:space="preserve">Carbonate clumped isotope analysis measures the extent to which the rare isotopes </w:t>
      </w:r>
      <w:r w:rsidRPr="00F0048A">
        <w:rPr>
          <w:vertAlign w:val="superscript"/>
        </w:rPr>
        <w:t>13</w:t>
      </w:r>
      <w:r w:rsidRPr="00F0048A">
        <w:t xml:space="preserve">C and </w:t>
      </w:r>
      <w:r w:rsidRPr="00F0048A">
        <w:rPr>
          <w:vertAlign w:val="superscript"/>
        </w:rPr>
        <w:t>18</w:t>
      </w:r>
      <w:r w:rsidRPr="00F0048A">
        <w:t xml:space="preserve">O are bound to one another within the carbonate mineral lattice forming the </w:t>
      </w:r>
      <w:r w:rsidRPr="00F0048A">
        <w:rPr>
          <w:vertAlign w:val="superscript"/>
        </w:rPr>
        <w:t>13</w:t>
      </w:r>
      <w:r w:rsidRPr="00F0048A">
        <w:t>C</w:t>
      </w:r>
      <w:r w:rsidRPr="00F0048A">
        <w:rPr>
          <w:vertAlign w:val="superscript"/>
        </w:rPr>
        <w:t>18</w:t>
      </w:r>
      <w:r w:rsidRPr="00F0048A">
        <w:t>O</w:t>
      </w:r>
      <w:r w:rsidRPr="00F0048A">
        <w:rPr>
          <w:vertAlign w:val="superscript"/>
        </w:rPr>
        <w:t>16</w:t>
      </w:r>
      <w:r w:rsidRPr="00F0048A">
        <w:t>O</w:t>
      </w:r>
      <w:r w:rsidRPr="00F0048A">
        <w:rPr>
          <w:vertAlign w:val="subscript"/>
        </w:rPr>
        <w:t>2</w:t>
      </w:r>
      <w:r w:rsidRPr="00F0048A">
        <w:rPr>
          <w:vertAlign w:val="superscript"/>
        </w:rPr>
        <w:t>-2</w:t>
      </w:r>
      <w:r w:rsidRPr="00F0048A">
        <w:t xml:space="preserve"> ion group. Proportions of the </w:t>
      </w:r>
      <w:r w:rsidRPr="00F0048A">
        <w:rPr>
          <w:vertAlign w:val="superscript"/>
        </w:rPr>
        <w:t>13</w:t>
      </w:r>
      <w:r w:rsidRPr="00F0048A">
        <w:t>C–</w:t>
      </w:r>
      <w:r w:rsidRPr="00F0048A">
        <w:rPr>
          <w:vertAlign w:val="superscript"/>
        </w:rPr>
        <w:t>18</w:t>
      </w:r>
      <w:r w:rsidRPr="00F0048A">
        <w:t xml:space="preserve">O bonds (clumping) are sensitive to the carbonate formation temperature and are independent of the isotopic composition of the meteoric fluid from which the carbonate </w:t>
      </w:r>
      <w:r w:rsidRPr="006A3844">
        <w:t xml:space="preserve">grew </w:t>
      </w:r>
      <w:r w:rsidR="00F41D59">
        <w:fldChar w:fldCharType="begin" w:fldLock="1"/>
      </w:r>
      <w:r w:rsidR="00413430">
        <w:instrText>ADDIN CSL_CITATION {"citationItems":[{"id":"ITEM-1","itemData":{"DOI":"10.1016/j.quascirev.2011.09.001","ISSN":"02773791","abstract":"Carbonate clumped isotope thermometry is a relatively new paleotemperature proxy based on measurements of the degree of ordering of 13C and 18O into bonds with each other (making the 13C18O16O2-2 ion group) in lattices of carbonate minerals. This technique has several unusual properties that complement existing methods of paleoclimate reconstruction. Most importantly, it is based on a homogeneous isotope exchange equilibrium and thus constrains temperature independent of the isotopic composition of waters from which carbonates grew. This method also appears to be generally insensitive to 'vital effects' that compromise many other paleothermometers based on the chemical properties of biominerals or organic matter, at least for those organisms that have been subjected to systematic study to-date (corals and foraminifera); however, discrepancies among some calibrations, particularly at low temperatures, may point toward the existence of vital effects in mollusks and other organisms. This review discusses the principles and calibrations of the technique, its uses in combination with conventional stable isotope measurements to constrain the δ18O of past waters, preservation of paleotemperatures in ancient materials, as well as current problems in our understanding of calibrations and interlaboratory data comparisons. © 2011 Elsevier Ltd.","author":[{"dropping-particle":"","family":"Eiler","given":"John M.","non-dropping-particle":"","parse-names":false,"suffix":""}],"container-title":"Quaternary Science Reviews","id":"ITEM-1","issue":"25-26","issued":{"date-parts":[["2011"]]},"page":"3575-3588","publisher":"Elsevier Ltd","title":"Paleoclimate reconstruction using carbonate clumped isotope thermometry","type":"article-journal","volume":"30"},"uris":["http://www.mendeley.com/documents/?uuid=971fca40-eea2-4e9c-9f3f-37061876478d"]}],"mendeley":{"formattedCitation":"(Eiler, 2011)","manualFormatting":"(Eiler, 2011","plainTextFormattedCitation":"(Eiler, 2011)","previouslyFormattedCitation":"(Eiler, 2011)"},"properties":{"noteIndex":0},"schema":"https://github.com/citation-style-language/schema/raw/master/csl-citation.json"}</w:instrText>
      </w:r>
      <w:r w:rsidR="00F41D59">
        <w:fldChar w:fldCharType="separate"/>
      </w:r>
      <w:r w:rsidR="00F41D59" w:rsidRPr="00F41D59">
        <w:rPr>
          <w:noProof/>
        </w:rPr>
        <w:t>(Eiler, 2011</w:t>
      </w:r>
      <w:r w:rsidR="00F41D59">
        <w:fldChar w:fldCharType="end"/>
      </w:r>
      <w:r w:rsidRPr="006A3844">
        <w:t xml:space="preserve">; and ref. therein). Clumped isotope values are reported as the variable </w:t>
      </w:r>
      <w:r w:rsidR="00F41D59">
        <w:t>“</w:t>
      </w:r>
      <w:r w:rsidRPr="006A3844">
        <w:rPr>
          <w:rFonts w:cs="Calibri"/>
        </w:rPr>
        <w:t>Δ</w:t>
      </w:r>
      <w:r w:rsidRPr="006A3844">
        <w:rPr>
          <w:vertAlign w:val="subscript"/>
        </w:rPr>
        <w:t>47</w:t>
      </w:r>
      <w:r w:rsidR="00F41D59" w:rsidRPr="00F41D59">
        <w:t>”</w:t>
      </w:r>
      <w:r w:rsidRPr="00F41D59">
        <w:rPr>
          <w:b/>
        </w:rPr>
        <w:t xml:space="preserve"> </w:t>
      </w:r>
      <w:r w:rsidRPr="006A3844">
        <w:rPr>
          <w:rFonts w:cs="Calibri"/>
        </w:rPr>
        <w:t>which is the</w:t>
      </w:r>
      <w:r w:rsidRPr="00F0048A">
        <w:rPr>
          <w:rFonts w:cs="Calibri"/>
        </w:rPr>
        <w:t xml:space="preserve"> difference, in per mil, between the measured abundance of </w:t>
      </w:r>
      <w:r>
        <w:rPr>
          <w:rFonts w:cs="Calibri"/>
        </w:rPr>
        <w:t>the CO</w:t>
      </w:r>
      <w:r w:rsidRPr="00A527C7">
        <w:rPr>
          <w:rFonts w:cs="Calibri"/>
          <w:vertAlign w:val="subscript"/>
        </w:rPr>
        <w:t>2</w:t>
      </w:r>
      <w:r w:rsidRPr="00F0048A">
        <w:rPr>
          <w:rFonts w:cs="Calibri"/>
        </w:rPr>
        <w:t xml:space="preserve"> isotopologue and the theoretical abundance of that isotopologue expected for a stochastic distribution of C and O isotopes for that sample. The Δ</w:t>
      </w:r>
      <w:r w:rsidRPr="00F0048A">
        <w:rPr>
          <w:rFonts w:cs="Calibri"/>
          <w:vertAlign w:val="subscript"/>
        </w:rPr>
        <w:t xml:space="preserve">47 </w:t>
      </w:r>
      <w:r w:rsidRPr="00F0048A">
        <w:rPr>
          <w:rFonts w:cs="Calibri"/>
        </w:rPr>
        <w:t xml:space="preserve">value can be expressed as: </w:t>
      </w:r>
    </w:p>
    <w:p w14:paraId="0A905928" w14:textId="481F2DF4" w:rsidR="002B782F" w:rsidRPr="00F0048A" w:rsidRDefault="002B782F" w:rsidP="002B782F">
      <w:pPr>
        <w:jc w:val="center"/>
        <w:rPr>
          <w:rFonts w:cs="Calibri"/>
        </w:rPr>
      </w:pPr>
      <w:r w:rsidRPr="00F0048A">
        <w:rPr>
          <w:rFonts w:cs="Calibri"/>
        </w:rPr>
        <w:t>Δ</w:t>
      </w:r>
      <w:r w:rsidRPr="00F0048A">
        <w:rPr>
          <w:rFonts w:cs="Calibri"/>
          <w:vertAlign w:val="subscript"/>
        </w:rPr>
        <w:t>47</w:t>
      </w:r>
      <w:r w:rsidRPr="00F0048A">
        <w:rPr>
          <w:rFonts w:cs="Calibri"/>
        </w:rPr>
        <w:t xml:space="preserve"> = [(R</w:t>
      </w:r>
      <w:r w:rsidRPr="00F0048A">
        <w:rPr>
          <w:rFonts w:cs="Calibri"/>
          <w:vertAlign w:val="superscript"/>
        </w:rPr>
        <w:t>47</w:t>
      </w:r>
      <w:r w:rsidRPr="00F0048A">
        <w:rPr>
          <w:rFonts w:cs="Calibri"/>
        </w:rPr>
        <w:t>/ R</w:t>
      </w:r>
      <w:r w:rsidRPr="00F0048A">
        <w:rPr>
          <w:rFonts w:cs="Calibri"/>
          <w:vertAlign w:val="superscript"/>
        </w:rPr>
        <w:t>47*</w:t>
      </w:r>
      <w:r>
        <w:rPr>
          <w:rFonts w:cs="Calibri"/>
        </w:rPr>
        <w:t xml:space="preserve"> -1) </w:t>
      </w:r>
      <w:r>
        <w:rPr>
          <w:rFonts w:cs="Calibri"/>
        </w:rPr>
        <w:sym w:font="Symbol" w:char="F02D"/>
      </w:r>
      <w:r>
        <w:rPr>
          <w:rFonts w:cs="Calibri"/>
        </w:rPr>
        <w:t xml:space="preserve"> </w:t>
      </w:r>
      <w:r w:rsidRPr="00F0048A">
        <w:rPr>
          <w:rFonts w:cs="Calibri"/>
        </w:rPr>
        <w:t>(R</w:t>
      </w:r>
      <w:r w:rsidRPr="00F0048A">
        <w:rPr>
          <w:rFonts w:cs="Calibri"/>
          <w:vertAlign w:val="superscript"/>
        </w:rPr>
        <w:t>46</w:t>
      </w:r>
      <w:r w:rsidRPr="00F0048A">
        <w:rPr>
          <w:rFonts w:cs="Calibri"/>
        </w:rPr>
        <w:t>/ R</w:t>
      </w:r>
      <w:r w:rsidRPr="00F0048A">
        <w:rPr>
          <w:rFonts w:cs="Calibri"/>
          <w:vertAlign w:val="superscript"/>
        </w:rPr>
        <w:t>46*</w:t>
      </w:r>
      <w:r>
        <w:rPr>
          <w:rFonts w:cs="Calibri"/>
        </w:rPr>
        <w:t xml:space="preserve"> -1) </w:t>
      </w:r>
      <w:r>
        <w:rPr>
          <w:rFonts w:cs="Calibri"/>
        </w:rPr>
        <w:sym w:font="Symbol" w:char="F02D"/>
      </w:r>
      <w:r w:rsidRPr="00F0048A">
        <w:rPr>
          <w:rFonts w:cs="Calibri"/>
        </w:rPr>
        <w:t xml:space="preserve"> (R</w:t>
      </w:r>
      <w:r w:rsidRPr="00F0048A">
        <w:rPr>
          <w:rFonts w:cs="Calibri"/>
          <w:vertAlign w:val="superscript"/>
        </w:rPr>
        <w:t>45</w:t>
      </w:r>
      <w:r w:rsidRPr="00F0048A">
        <w:rPr>
          <w:rFonts w:cs="Calibri"/>
        </w:rPr>
        <w:t>/ R</w:t>
      </w:r>
      <w:r w:rsidRPr="00F0048A">
        <w:rPr>
          <w:rFonts w:cs="Calibri"/>
          <w:vertAlign w:val="superscript"/>
        </w:rPr>
        <w:t>45*</w:t>
      </w:r>
      <w:r w:rsidRPr="00F0048A">
        <w:rPr>
          <w:rFonts w:cs="Calibri"/>
        </w:rPr>
        <w:t xml:space="preserve"> -1)] *1000 (‰)</w:t>
      </w:r>
      <w:r w:rsidRPr="00F0048A">
        <w:rPr>
          <w:rFonts w:cs="Calibri"/>
        </w:rPr>
        <w:tab/>
      </w:r>
      <w:r>
        <w:rPr>
          <w:rFonts w:cs="Calibri"/>
        </w:rPr>
        <w:tab/>
      </w:r>
      <w:r w:rsidRPr="00F0048A">
        <w:rPr>
          <w:rFonts w:cs="Calibri"/>
        </w:rPr>
        <w:t>(</w:t>
      </w:r>
      <w:r>
        <w:rPr>
          <w:rFonts w:cs="Calibri"/>
        </w:rPr>
        <w:t>1</w:t>
      </w:r>
      <w:r w:rsidRPr="00F0048A">
        <w:rPr>
          <w:rFonts w:cs="Calibri"/>
        </w:rPr>
        <w:t>)</w:t>
      </w:r>
    </w:p>
    <w:p w14:paraId="5EB9031C" w14:textId="77777777" w:rsidR="002B782F" w:rsidRPr="00F0048A" w:rsidRDefault="002B782F" w:rsidP="002B782F">
      <w:r w:rsidRPr="00F0048A">
        <w:rPr>
          <w:rFonts w:cs="Calibri"/>
        </w:rPr>
        <w:t xml:space="preserve">where </w:t>
      </w:r>
      <w:proofErr w:type="spellStart"/>
      <w:r w:rsidRPr="00F0048A">
        <w:rPr>
          <w:rFonts w:cs="Calibri"/>
        </w:rPr>
        <w:t>R</w:t>
      </w:r>
      <w:r w:rsidRPr="00F0048A">
        <w:rPr>
          <w:rFonts w:cs="Calibri"/>
          <w:vertAlign w:val="superscript"/>
        </w:rPr>
        <w:t>i</w:t>
      </w:r>
      <w:proofErr w:type="spellEnd"/>
      <w:r w:rsidRPr="00F0048A">
        <w:rPr>
          <w:rFonts w:cs="Calibri"/>
          <w:vertAlign w:val="superscript"/>
        </w:rPr>
        <w:t xml:space="preserve"> </w:t>
      </w:r>
      <w:r w:rsidRPr="00F0048A">
        <w:rPr>
          <w:rFonts w:cs="Calibri"/>
        </w:rPr>
        <w:t xml:space="preserve">is mass </w:t>
      </w:r>
      <w:proofErr w:type="spellStart"/>
      <w:r w:rsidRPr="00F0048A">
        <w:rPr>
          <w:rFonts w:cs="Calibri"/>
        </w:rPr>
        <w:t>i</w:t>
      </w:r>
      <w:proofErr w:type="spellEnd"/>
      <w:r w:rsidRPr="00F0048A">
        <w:rPr>
          <w:rFonts w:cs="Calibri"/>
        </w:rPr>
        <w:t>/mass 44.</w:t>
      </w:r>
    </w:p>
    <w:p w14:paraId="7AB9301F" w14:textId="7787B47F" w:rsidR="002B782F" w:rsidRPr="00F0048A" w:rsidRDefault="002B782F" w:rsidP="002B782F">
      <w:r>
        <w:t>Carbonate c</w:t>
      </w:r>
      <w:r w:rsidRPr="00F0048A">
        <w:t>lumped isotope analyse</w:t>
      </w:r>
      <w:r>
        <w:t xml:space="preserve">s for 2013–2018 </w:t>
      </w:r>
      <w:r w:rsidRPr="00F0048A">
        <w:t xml:space="preserve">were performed on a Thermo Scientific </w:t>
      </w:r>
      <w:r w:rsidR="00E44381">
        <w:t xml:space="preserve">MAT </w:t>
      </w:r>
      <w:r w:rsidRPr="00F0048A">
        <w:t>253</w:t>
      </w:r>
      <w:r>
        <w:t xml:space="preserve">, and data for 2019 on a </w:t>
      </w:r>
      <w:r w:rsidR="00E44381">
        <w:t xml:space="preserve">ThermoFisher </w:t>
      </w:r>
      <w:r w:rsidRPr="00F0048A">
        <w:t>253</w:t>
      </w:r>
      <w:r>
        <w:t xml:space="preserve"> plus</w:t>
      </w:r>
      <w:r w:rsidRPr="00F0048A">
        <w:t xml:space="preserve"> gas source isotope </w:t>
      </w:r>
      <w:r w:rsidR="001E3EE2">
        <w:t>ratio mass spectrometer at the J</w:t>
      </w:r>
      <w:r w:rsidRPr="00F0048A">
        <w:t xml:space="preserve">oint Goethe University–Senckenberg BiK-F Stable Isotope Facility Frankfurt, Germany. </w:t>
      </w:r>
    </w:p>
    <w:p w14:paraId="2D780522" w14:textId="4C288619" w:rsidR="002B782F" w:rsidRPr="006A3844" w:rsidRDefault="002B782F" w:rsidP="002B782F">
      <w:r w:rsidRPr="00F0048A">
        <w:t xml:space="preserve">Sample powder was reacted with </w:t>
      </w:r>
      <w:r w:rsidRPr="00F0048A">
        <w:rPr>
          <w:rFonts w:cs="Calibri"/>
        </w:rPr>
        <w:t>&gt;</w:t>
      </w:r>
      <w:r w:rsidRPr="00F0048A">
        <w:t xml:space="preserve">106 % </w:t>
      </w:r>
      <w:r w:rsidRPr="006A3844">
        <w:t>H</w:t>
      </w:r>
      <w:r w:rsidRPr="006A3844">
        <w:rPr>
          <w:vertAlign w:val="subscript"/>
        </w:rPr>
        <w:t>3</w:t>
      </w:r>
      <w:r w:rsidRPr="006A3844">
        <w:t>PO</w:t>
      </w:r>
      <w:r w:rsidRPr="006A3844">
        <w:rPr>
          <w:vertAlign w:val="subscript"/>
        </w:rPr>
        <w:t>4</w:t>
      </w:r>
      <w:r w:rsidRPr="006A3844">
        <w:t xml:space="preserve"> at 90°C for 30 min. Acid digestion, purification of extracted CO</w:t>
      </w:r>
      <w:r w:rsidRPr="006A3844">
        <w:rPr>
          <w:vertAlign w:val="subscript"/>
        </w:rPr>
        <w:t>2</w:t>
      </w:r>
      <w:r w:rsidRPr="006A3844">
        <w:t xml:space="preserve"> gases, and measurements follow</w:t>
      </w:r>
      <w:r w:rsidR="00E44381">
        <w:t>ed outlines provided by</w:t>
      </w:r>
      <w:r w:rsidRPr="006A3844">
        <w:t xml:space="preserve"> </w:t>
      </w:r>
      <w:r w:rsidR="00413430">
        <w:fldChar w:fldCharType="begin" w:fldLock="1"/>
      </w:r>
      <w:r w:rsidR="00413430">
        <w:instrText>ADDIN CSL_CITATION {"citationItems":[{"id":"ITEM-1","itemData":{"DOI":"10.1002/rcm.6609","author":[{"dropping-particle":"","family":"Wacker","given":"Ulrike","non-dropping-particle":"","parse-names":false,"suffix":""},{"dropping-particle":"","family":"Fiebig","given":"Jens","non-dropping-particle":"","parse-names":false,"suffix":""},{"dropping-particle":"","family":"Schöne","given":"Bernd","non-dropping-particle":"","parse-names":false,"suffix":""}],"container-title":"Rapid communications in mass spectrometry : RCM","id":"ITEM-1","issued":{"date-parts":[["2013","7","30"]]},"page":"1631-1642","title":"Clumped isotope analysis of carbonates: comparison of two different acid digestion techniques","type":"article-journal","volume":"27"},"uris":["http://www.mendeley.com/documents/?uuid=d2b7e967-b1c9-47c0-9ed7-63d9385d1a05"]},{"id":"ITEM-2","itemData":{"DOI":"10.1016/j.gca.2014.06.004","ISSN":"00167037","author":[{"dropping-particle":"","family":"Wacker","given":"Ulrike","non-dropping-particle":"","parse-names":false,"suffix":""},{"dropping-particle":"","family":"Fiebig","given":"Jens","non-dropping-particle":"","parse-names":false,"suffix":""},{"dropping-particle":"","family":"Tödter","given":"Julian","non-dropping-particle":"","parse-names":false,"suffix":""},{"dropping-particle":"","family":"Schöne","given":"Bernd R.","non-dropping-particle":"","parse-names":false,"suffix":""},{"dropping-particle":"","family":"Bahr","given":"André","non-dropping-particle":"","parse-names":false,"suffix":""},{"dropping-particle":"","family":"Friedrich","given":"Oliver","non-dropping-particle":"","parse-names":false,"suffix":""},{"dropping-particle":"","family":"Tütken","given":"Thomas","non-dropping-particle":"","parse-names":false,"suffix":""},{"dropping-particle":"","family":"Gischler","given":"Eberhard","non-dropping-particle":"","parse-names":false,"suffix":""},{"dropping-particle":"","family":"Joachimski","given":"Michael M.","non-dropping-particle":"","parse-names":false,"suffix":""}],"container-title":"Geochimica et Cosmochimica Acta","id":"ITEM-2","issued":{"date-parts":[["2014","9"]]},"language":"en","page":"127-144","title":"Empirical calibration of the clumped isotope paleothermometer using calcites of various origins","type":"article-journal","volume":"141"},"uris":["http://www.mendeley.com/documents/?uuid=83cb9670-4f55-4c57-a8a7-1fe41ba7cbcd"]}],"mendeley":{"formattedCitation":"(Wacker et al., 2013, 2014)","plainTextFormattedCitation":"(Wacker et al., 2013, 2014)","previouslyFormattedCitation":"(Wacker et al., 2013, 2014)"},"properties":{"noteIndex":0},"schema":"https://github.com/citation-style-language/schema/raw/master/csl-citation.json"}</w:instrText>
      </w:r>
      <w:r w:rsidR="00413430">
        <w:fldChar w:fldCharType="separate"/>
      </w:r>
      <w:r w:rsidR="00413430" w:rsidRPr="00413430">
        <w:rPr>
          <w:noProof/>
        </w:rPr>
        <w:t>(Wacker et al., 2013, 2014)</w:t>
      </w:r>
      <w:r w:rsidR="00413430">
        <w:fldChar w:fldCharType="end"/>
      </w:r>
      <w:r w:rsidR="00413430">
        <w:t>,</w:t>
      </w:r>
      <w:r w:rsidRPr="006A3844">
        <w:t xml:space="preserve"> and </w:t>
      </w:r>
      <w:r w:rsidR="00413430">
        <w:fldChar w:fldCharType="begin" w:fldLock="1"/>
      </w:r>
      <w:r w:rsidR="00397F33">
        <w:instrText>ADDIN CSL_CITATION {"citationItems":[{"id":"ITEM-1","itemData":{"DOI":"10.1038/s41598-017-17353-7","ISSN":"20452322","PMID":"29323253","abstract":"Brachiopod shells are the most widely used geological archive for the reconstruction of the temperature and the oxygen isotope composition of Phanerozoic seawater. However, it is not conclusive whether brachiopods precipitate their shells in thermodynamic equilibrium. In this study, we investigated the potential impact of kinetic controls on the isotope composition of modern brachiopods by measuring the oxygen and clumped isotope compositions of their shells. Our results show that clumped and oxygen isotope compositions depart from thermodynamic equilibrium due to growth rate-induced kinetic effects. These departures are in line with incomplete hydration and hydroxylation of dissolved CO2. These findings imply that the determination of taxon-specific growth rates alongside clumped and bulk oxygen isotope analyses is essential to ensure accurate estimates of past ocean temperatures and seawater oxygen isotope compositions from brachiopods.","author":[{"dropping-particle":"","family":"Bajnai","given":"David","non-dropping-particle":"","parse-names":false,"suffix":""},{"dropping-particle":"","family":"Fiebig","given":"Jens","non-dropping-particle":"","parse-names":false,"suffix":""},{"dropping-particle":"","family":"Tomašových","given":"Adam","non-dropping-particle":"","parse-names":false,"suffix":""},{"dropping-particle":"","family":"Milner Garcia","given":"Sara","non-dropping-particle":"","parse-names":false,"suffix":""},{"dropping-particle":"","family":"Rollion-Bard","given":"Claire","non-dropping-particle":"","parse-names":false,"suffix":""},{"dropping-particle":"","family":"Raddatz","given":"Jacek","non-dropping-particle":"","parse-names":false,"suffix":""},{"dropping-particle":"","family":"Löffler","given":"Niklas","non-dropping-particle":"","parse-names":false,"suffix":""},{"dropping-particle":"","family":"Primo-Ramos","given":"Cristina","non-dropping-particle":"","parse-names":false,"suffix":""},{"dropping-particle":"","family":"Brand","given":"Uwe","non-dropping-particle":"","parse-names":false,"suffix":""}],"container-title":"Scientific Reports","id":"ITEM-1","issue":"1","issued":{"date-parts":[["2018"]]},"page":"1-13","title":"Assessing kinetic fractionation in brachiopod calcite using clumped isotopes","type":"article-journal","volume":"8"},"uris":["http://www.mendeley.com/documents/?uuid=231beb14-1a33-42c5-9d96-73127d436a5c"]}],"mendeley":{"formattedCitation":"(Bajnai et al., 2018)","plainTextFormattedCitation":"(Bajnai et al., 2018)","previouslyFormattedCitation":"(Bajnai et al., 2018)"},"properties":{"noteIndex":0},"schema":"https://github.com/citation-style-language/schema/raw/master/csl-citation.json"}</w:instrText>
      </w:r>
      <w:r w:rsidR="00413430">
        <w:fldChar w:fldCharType="separate"/>
      </w:r>
      <w:r w:rsidR="00413430" w:rsidRPr="00413430">
        <w:rPr>
          <w:noProof/>
        </w:rPr>
        <w:t>(Bajnai et al., 2018)</w:t>
      </w:r>
      <w:r w:rsidR="00413430">
        <w:fldChar w:fldCharType="end"/>
      </w:r>
      <w:r w:rsidR="00413430">
        <w:t>.</w:t>
      </w:r>
    </w:p>
    <w:p w14:paraId="7069A42B" w14:textId="77777777" w:rsidR="002B782F" w:rsidRPr="006A3844" w:rsidRDefault="002B782F" w:rsidP="002B782F">
      <w:r w:rsidRPr="006A3844">
        <w:t xml:space="preserve">The data has been acquired in five measurement periods (14.02.2013–28.03.2013; 03.05.2016–04.07.2016; 06.01.2017–10.07.2017; </w:t>
      </w:r>
      <w:r w:rsidRPr="006A3844">
        <w:rPr>
          <w:rFonts w:cs="Calibri"/>
        </w:rPr>
        <w:t xml:space="preserve">10.07.2018–19.10.2018; 15.03.2019–05.08.2019). </w:t>
      </w:r>
    </w:p>
    <w:p w14:paraId="1FCBF604" w14:textId="77777777" w:rsidR="002B782F" w:rsidRDefault="002B782F" w:rsidP="002B782F">
      <w:pPr>
        <w:rPr>
          <w:rFonts w:cs="Calibri"/>
          <w:u w:val="single"/>
        </w:rPr>
      </w:pPr>
    </w:p>
    <w:p w14:paraId="0B97FE47" w14:textId="77777777" w:rsidR="002B782F" w:rsidRPr="006A3844" w:rsidRDefault="002B782F" w:rsidP="002B782F">
      <w:pPr>
        <w:rPr>
          <w:rFonts w:cs="Calibri"/>
          <w:u w:val="single"/>
        </w:rPr>
      </w:pPr>
    </w:p>
    <w:p w14:paraId="6EA9BC9C" w14:textId="77777777" w:rsidR="002B782F" w:rsidRPr="006A3844" w:rsidRDefault="002B782F" w:rsidP="002B782F">
      <w:pPr>
        <w:rPr>
          <w:rFonts w:cs="Calibri"/>
          <w:u w:val="single"/>
        </w:rPr>
      </w:pPr>
      <w:r w:rsidRPr="006A3844">
        <w:rPr>
          <w:rFonts w:cs="Calibri"/>
          <w:u w:val="single"/>
        </w:rPr>
        <w:lastRenderedPageBreak/>
        <w:t>Fontannen section</w:t>
      </w:r>
    </w:p>
    <w:p w14:paraId="52B91616" w14:textId="532D4F69" w:rsidR="002B782F" w:rsidRPr="00F0048A" w:rsidRDefault="002B782F" w:rsidP="002B782F">
      <w:r w:rsidRPr="006A3844">
        <w:rPr>
          <w:rFonts w:cs="Calibri"/>
        </w:rPr>
        <w:t>Δ</w:t>
      </w:r>
      <w:r w:rsidRPr="006A3844">
        <w:rPr>
          <w:vertAlign w:val="subscript"/>
        </w:rPr>
        <w:t>47</w:t>
      </w:r>
      <w:r w:rsidRPr="006A3844">
        <w:t xml:space="preserve"> values for the Fontannen section were measured in 2013 and 2016/2017 and were published in Methner et al. (2020). The details for the background correction can be found therein. </w:t>
      </w:r>
      <w:r w:rsidRPr="00F0048A">
        <w:t>Further data processing follows the same steps as for data obtained after 2017 (see paragraph “Jona and Aabach sections”).</w:t>
      </w:r>
    </w:p>
    <w:p w14:paraId="219131D9" w14:textId="77777777" w:rsidR="002B782F" w:rsidRDefault="002B782F" w:rsidP="002B782F">
      <w:pPr>
        <w:rPr>
          <w:u w:val="single"/>
        </w:rPr>
      </w:pPr>
    </w:p>
    <w:p w14:paraId="5A320754" w14:textId="77777777" w:rsidR="002B782F" w:rsidRPr="00F0048A" w:rsidRDefault="002B782F" w:rsidP="002B782F">
      <w:r w:rsidRPr="00F0048A">
        <w:rPr>
          <w:u w:val="single"/>
        </w:rPr>
        <w:t>Jona and Aabach sections</w:t>
      </w:r>
    </w:p>
    <w:p w14:paraId="4C5015E1" w14:textId="0F7BB8FA" w:rsidR="002B782F" w:rsidRPr="006A3844" w:rsidRDefault="002B782F" w:rsidP="002B782F">
      <w:r w:rsidRPr="00F0048A">
        <w:rPr>
          <w:rFonts w:cs="Calibri"/>
        </w:rPr>
        <w:t>Δ</w:t>
      </w:r>
      <w:r w:rsidRPr="00F0048A">
        <w:rPr>
          <w:vertAlign w:val="subscript"/>
        </w:rPr>
        <w:t>47</w:t>
      </w:r>
      <w:r w:rsidRPr="00F0048A">
        <w:t xml:space="preserve"> values for the Jona and Aabach section were measured in 2018/2019. For samples measured in 2018 </w:t>
      </w:r>
      <w:r>
        <w:t xml:space="preserve">a </w:t>
      </w:r>
      <w:r w:rsidRPr="00F0048A">
        <w:t xml:space="preserve">background correction was accomplished by correcting directly for the contribution of secondary electrons to the </w:t>
      </w:r>
      <w:r w:rsidRPr="00F0048A">
        <w:rPr>
          <w:i/>
        </w:rPr>
        <w:t>m/z</w:t>
      </w:r>
      <w:r w:rsidRPr="00F0048A">
        <w:t xml:space="preserve"> 47 raw signals by scaling the negative background of </w:t>
      </w:r>
      <w:r w:rsidRPr="00F0048A">
        <w:rPr>
          <w:i/>
        </w:rPr>
        <w:t>m/z</w:t>
      </w:r>
      <w:r w:rsidRPr="00F0048A">
        <w:t xml:space="preserve"> 47 to the intensity of </w:t>
      </w:r>
      <w:r w:rsidRPr="00F0048A">
        <w:rPr>
          <w:i/>
        </w:rPr>
        <w:t>m/z</w:t>
      </w:r>
      <w:r w:rsidRPr="00F0048A">
        <w:t xml:space="preserve"> 49 </w:t>
      </w:r>
      <w:r w:rsidRPr="006A3844">
        <w:t xml:space="preserve">ion beam </w:t>
      </w:r>
      <w:r w:rsidR="003A5F0E">
        <w:fldChar w:fldCharType="begin" w:fldLock="1"/>
      </w:r>
      <w:r w:rsidR="003A5F0E">
        <w:instrText>ADDIN CSL_CITATION {"citationItems":[{"id":"ITEM-1","itemData":{"DOI":"10.1080/10256016.2015.1010531","ISSN":"14772639","PMID":"25685933","abstract":"It is well known that a subtle nonlinearity can occur during clumped isotope analysis of CO2 that – if remaining unaddressed – limits accuracy. The nonlinearity is induced by a negative background on the m/z 47 ion Faraday cup, whose magnitude is correlated with the intensity of the m/z 44 ion beam. The origin of the negative background remains unclear, but is possibly due to secondary electrons. Usually, CO2 gases of distinct bulk isotopic compositions are equilibrated at 1000 °C and measured along with the samples in order to be able to correct for this effect. Alternatively, measured m/z 47 beam intensities can be corrected for the contribution of secondary electrons after monitoring how the negative background on m/z 47 evolves with the intensity of the m/z 44 ion beam. The latter correction procedure seems to work well if the m/z 44 cup exhibits a wider slit width than the m/z 47 cup. Here we show that the negative m/z 47 background affects precision of dual inlet-based clumped isotope measurements of CO2 unless raw m/z 47 intensities are directly corrected for the contribution of secondary electrons. Moreover, inaccurate results can be obtained even if the heated gas approach is used to correct for the observed nonlinearity. The impact of the negative background on accuracy and precision arises from small imbalances in m/z 44 ion beam intensities between reference and sample CO2 measurements. It becomes the more significant the larger the relative contribution of secondary electrons to the m/z 47 signal is and the higher the flux rate of CO2 into the ion source is set. These problems can be overcome by correcting the measured m/z 47 ion beam intensities of sample and reference gas for the contributions deriving from secondary electrons after scaling these contributions to the intensities of the corresponding m/z 49 ion beams. Accuracy and precision of this correction are demonstrated by clumped isotope analysis of three internal carbonate standards. The proposed correction scheme can be easily applied if the slit width of the m/z 49 Faraday cup is bigger than that of the m/z 47 cup.","author":[{"dropping-particle":"","family":"Fiebig","given":"Jens","non-dropping-particle":"","parse-names":false,"suffix":""},{"dropping-particle":"","family":"Hofmann","given":"Sven","non-dropping-particle":"","parse-names":false,"suffix":""},{"dropping-particle":"","family":"Löffler","given":"Niklas","non-dropping-particle":"","parse-names":false,"suffix":""},{"dropping-particle":"","family":"Lüdecke","given":"Tina","non-dropping-particle":"","parse-names":false,"suffix":""},{"dropping-particle":"","family":"Methner","given":"Katharina","non-dropping-particle":"","parse-names":false,"suffix":""},{"dropping-particle":"","family":"Wacker","given":"Ulrike","non-dropping-particle":"","parse-names":false,"suffix":""}],"container-title":"Isotopes in Environmental and Health Studies","id":"ITEM-1","issue":"1-2","issued":{"date-parts":[["2016"]]},"page":"12-28","title":"Slight pressure imbalances can affect accuracy and precision of dual inlet-based clumped isotope analysis","type":"article-journal","volume":"52"},"uris":["http://www.mendeley.com/documents/?uuid=4e7693db-14f7-4ecc-8c83-f6dc3c0ba036"]}],"mendeley":{"formattedCitation":"(Fiebig et al., 2016)","plainTextFormattedCitation":"(Fiebig et al., 2016)","previouslyFormattedCitation":"(Fiebig et al., 2016)"},"properties":{"noteIndex":0},"schema":"https://github.com/citation-style-language/schema/raw/master/csl-citation.json"}</w:instrText>
      </w:r>
      <w:r w:rsidR="003A5F0E">
        <w:fldChar w:fldCharType="separate"/>
      </w:r>
      <w:r w:rsidR="003A5F0E" w:rsidRPr="003A5F0E">
        <w:rPr>
          <w:noProof/>
        </w:rPr>
        <w:t>(Fiebig et al., 2016)</w:t>
      </w:r>
      <w:r w:rsidR="003A5F0E">
        <w:fldChar w:fldCharType="end"/>
      </w:r>
      <w:r w:rsidR="003A5F0E">
        <w:t>.</w:t>
      </w:r>
      <w:r w:rsidRPr="006A3844">
        <w:t xml:space="preserve"> </w:t>
      </w:r>
      <w:r w:rsidR="004B4F43">
        <w:t xml:space="preserve">Whenever the merged equilibrated gas data set displayed a non-zero slope in </w:t>
      </w:r>
      <w:r w:rsidR="006F0782">
        <w:t>δ</w:t>
      </w:r>
      <w:r w:rsidR="004B4F43" w:rsidRPr="006F0782">
        <w:rPr>
          <w:vertAlign w:val="superscript"/>
        </w:rPr>
        <w:t>47</w:t>
      </w:r>
      <w:r w:rsidR="004B4F43">
        <w:t xml:space="preserve"> vs </w:t>
      </w:r>
      <w:r w:rsidR="006F0782">
        <w:t>Δ</w:t>
      </w:r>
      <w:r w:rsidR="004B4F43" w:rsidRPr="006F0782">
        <w:rPr>
          <w:vertAlign w:val="subscript"/>
        </w:rPr>
        <w:t>47</w:t>
      </w:r>
      <w:r w:rsidR="004B4F43">
        <w:t xml:space="preserve"> space, the residual slope of the merged set of equilibrated gases was used to perform a final correction, according to the principle outlined by </w:t>
      </w:r>
      <w:r w:rsidR="00CD2E5E">
        <w:fldChar w:fldCharType="begin" w:fldLock="1"/>
      </w:r>
      <w:r w:rsidR="00CD2E5E">
        <w:instrText>ADDIN CSL_CITATION {"citationItems":[{"id":"ITEM-1","itemData":{"abstract":"Accurate measurement of multiply substituted isotopologues using an isotope ratio mass spectrometer (IRMS) imposes stringent requirements on instrument performance in terms of overall sensitivity, abundance sensitivity and linearity. To meet these requirements we have designed, constructed and evaluated the performance of a new IRMS, optimising its performance for clumped isotope ratio measurements of CO 2. We determined an instrument and magnet geometry that combined excellent ion optics and transmissivity with relatively straightforward engineering such that the instrument could be self-built. MIRA (Multi-Isotopologue Ratio Analyser) is a 120 o magnetic sector isotope ratio mass spectrometer with a 25cm physical radius and extended geometry for an effective 50cm dispersion. It is equipped with a Nier type high sensitivity electron impact ion source and six faraday cup collectors for measurements of all the cardinal isotopologue masses of the CO 2 molecule. The mass spectrometer is constructed using UHV techniques, compatible materials and components. Modular high voltage electronics modules are used for the source power supplies and instrument control and data acquisition electronics are based on National Instruments compactRIO hardware and LabVIEW software. In dual-inlet mode the MIRA mass spectrometer has enhanced sensitivity (approximately 600 CO 2 molecules ion −1) combined with high abundance sensitivity and a linear response in terms of measured ∆ 47 over a greater than 100‰ range in measured bulk isotope composition δ 47 with respect to the working reference gas. Precision of measured ∆ 47 is at the shot-noise limit of 0.008‰ for standard measurement cycles. When compared with commercially available instruments the MIRA mass spectrometer offers enhanced performance for clumped isotope ratio measurements of CO 2. The high sensitivity combined with the measurement lin-earity allows for increased overall sample throughput whilst minimising the number of calibration samples that need to be run in order to correct for non-linearity in ∆ 47 measurements. 2","author":[{"dropping-particle":"","family":"Dennis","given":"Paul F","non-dropping-particle":"","parse-names":false,"suffix":""},{"dropping-particle":"","family":"Vinen","given":"Stuart","non-dropping-particle":"","parse-names":false,"suffix":""},{"dropping-particle":"","family":"Marca-bell","given":"Alina","non-dropping-particle":"","parse-names":false,"suffix":""},{"dropping-particle":"","family":"Rowe","given":"Peter J","non-dropping-particle":"","parse-names":false,"suffix":""}],"id":"ITEM-1","issued":{"date-parts":[["2013"]]},"page":"1-25","title":"MIRA: a new isotope ratio mass spectrometer for clumped isotope studies of CO2","type":"article-journal"},"uris":["http://www.mendeley.com/documents/?uuid=29b6e872-dd74-4734-839c-b24d89d8e51a"]}],"mendeley":{"formattedCitation":"(Dennis et al., 2013)","manualFormatting":"Dennis et al. (2013)","plainTextFormattedCitation":"(Dennis et al., 2013)","previouslyFormattedCitation":"(Dennis et al., 2013)"},"properties":{"noteIndex":0},"schema":"https://github.com/citation-style-language/schema/raw/master/csl-citation.json"}</w:instrText>
      </w:r>
      <w:r w:rsidR="00CD2E5E">
        <w:fldChar w:fldCharType="separate"/>
      </w:r>
      <w:r w:rsidR="00CD2E5E">
        <w:rPr>
          <w:noProof/>
        </w:rPr>
        <w:t>Dennis et al.</w:t>
      </w:r>
      <w:r w:rsidR="00CD2E5E" w:rsidRPr="00CD2E5E">
        <w:rPr>
          <w:noProof/>
        </w:rPr>
        <w:t xml:space="preserve"> </w:t>
      </w:r>
      <w:r w:rsidR="00CD2E5E">
        <w:rPr>
          <w:noProof/>
        </w:rPr>
        <w:t>(</w:t>
      </w:r>
      <w:r w:rsidR="00CD2E5E" w:rsidRPr="00CD2E5E">
        <w:rPr>
          <w:noProof/>
        </w:rPr>
        <w:t>2013)</w:t>
      </w:r>
      <w:r w:rsidR="00CD2E5E">
        <w:fldChar w:fldCharType="end"/>
      </w:r>
      <w:r w:rsidR="00CD2E5E">
        <w:t>.</w:t>
      </w:r>
      <w:r w:rsidR="004B4F43">
        <w:t xml:space="preserve"> </w:t>
      </w:r>
      <w:r w:rsidRPr="006A3844">
        <w:t xml:space="preserve">Since January 2019 background correction was performed by monitoring the intensities measured on the </w:t>
      </w:r>
      <w:r w:rsidRPr="006A3844">
        <w:rPr>
          <w:i/>
        </w:rPr>
        <w:t>m/z</w:t>
      </w:r>
      <w:r w:rsidRPr="006A3844">
        <w:t xml:space="preserve"> 47.5 cup</w:t>
      </w:r>
      <w:r w:rsidR="0014220A">
        <w:t xml:space="preserve"> according to the protocol outlined by </w:t>
      </w:r>
      <w:r w:rsidR="000625E1">
        <w:fldChar w:fldCharType="begin" w:fldLock="1"/>
      </w:r>
      <w:r w:rsidR="000625E1">
        <w:instrText>ADDIN CSL_CITATION {"citationItems":[{"id":"ITEM-1","itemData":{"DOI":"10.1016/j.chemgeo.2019.05.019","ISSN":"00092541","abstract":"High-precision analysis of the excess abundance (relative to the stochastic distribution) of mass 48 isotopologues in CO2 evolved from acid digestion of carbonates (∆48) has not been possible until recently due to the relatively low natural abundance of 18O. Here we show that the 253 Plus™ gas source mass spectrometer equipped with Faraday cups and 1013 Ω resistors can perform combined ∆47 and ∆48 analyses on carbonates with external reproducibilities (1SD) of 0.010 ‰ and 0.030 ‰, respectively. ~10 mg aliquots of five carbonate reference materials (ETH 1, ETH 2, ETH 3, ETH 4, and Carrara) are digested with phosphoric acid at 90 °C using a common acid bath. The evolved CO2 is purified using an automated gas preparation system (including cryotraps and a GC) and analyzed for its ∆47 and ∆48 compositions using the dual inlet system of a 253 Plus™ gas source mass spectrometer. Raw ∆47 and ∆48 values are finally normalized to the Carbon Dioxide Equilibrium Scale (CDES). In ∆47, CDES 90°C vs. ∆48, CDES 90°C space, calcite reference materials Carrara, ETH 3 and ETH 4 agree with the equilibrium curve for calcite after adding semi-empirically determined 90 °C acid fractionation factors of 0.196 ‰ (for ∆47) and 0.136 ‰ (for ∆48) to theoretical ∆63 and ∆64 data. Agreement between measured and theoretically expected ∆48, CDES 90°C highlights the accuracy of our high-precision clumped isotope analytical setup. Combined analysis of the abundances of mass 47 and mass 48 isotopologues in CO2 evolved from acid digestion of natural carbonates has excellent potential for the determination of accurate and highly precise paleotemperatures as well as for the identification of rate-limiting kinetic processes involved in biomineralization. A formation temperature of 15(±2) °C is obtained on the 95 % confidence level for the Upper Cretaceous chalk sample ETH 3.","author":[{"dropping-particle":"","family":"Fiebig","given":"Jens","non-dropping-particle":"","parse-names":false,"suffix":""},{"dropping-particle":"","family":"Bajnai","given":"David","non-dropping-particle":"","parse-names":false,"suffix":""},{"dropping-particle":"","family":"Löffler","given":"Niklas","non-dropping-particle":"","parse-names":false,"suffix":""},{"dropping-particle":"","family":"Methner","given":"Katharina","non-dropping-particle":"","parse-names":false,"suffix":""},{"dropping-particle":"","family":"Krsnik","given":"Emilija","non-dropping-particle":"","parse-names":false,"suffix":""},{"dropping-particle":"","family":"Mulch","given":"Andreas","non-dropping-particle":"","parse-names":false,"suffix":""},{"dropping-particle":"","family":"Hofmann","given":"Sven","non-dropping-particle":"","parse-names":false,"suffix":""}],"container-title":"Chemical Geology","id":"ITEM-1","issue":"February","issued":{"date-parts":[["2019"]]},"page":"186-191","title":"Combined high-precision ∆48 and ∆47 analysis of carbonates","type":"article-journal","volume":"522"},"uris":["http://www.mendeley.com/documents/?uuid=e3bf6b0f-5f83-494a-bbbb-b81e0c2ed044"]}],"mendeley":{"formattedCitation":"(Fiebig et al., 2019)","manualFormatting":"Fiebig et al. (2019)","plainTextFormattedCitation":"(Fiebig et al., 2019)","previouslyFormattedCitation":"(Fiebig et al., 2019)"},"properties":{"noteIndex":0},"schema":"https://github.com/citation-style-language/schema/raw/master/csl-citation.json"}</w:instrText>
      </w:r>
      <w:r w:rsidR="000625E1">
        <w:fldChar w:fldCharType="separate"/>
      </w:r>
      <w:r w:rsidR="000625E1">
        <w:rPr>
          <w:noProof/>
        </w:rPr>
        <w:t>Fiebig et al.</w:t>
      </w:r>
      <w:r w:rsidR="000625E1" w:rsidRPr="000625E1">
        <w:rPr>
          <w:noProof/>
        </w:rPr>
        <w:t xml:space="preserve"> </w:t>
      </w:r>
      <w:r w:rsidR="000625E1">
        <w:rPr>
          <w:noProof/>
        </w:rPr>
        <w:t>(</w:t>
      </w:r>
      <w:r w:rsidR="000625E1" w:rsidRPr="000625E1">
        <w:rPr>
          <w:noProof/>
        </w:rPr>
        <w:t>2019)</w:t>
      </w:r>
      <w:r w:rsidR="000625E1">
        <w:fldChar w:fldCharType="end"/>
      </w:r>
      <w:r w:rsidRPr="006A3844">
        <w:t xml:space="preserve">. The </w:t>
      </w:r>
      <w:r w:rsidRPr="006A3844">
        <w:rPr>
          <w:i/>
        </w:rPr>
        <w:t>m/z</w:t>
      </w:r>
      <w:r w:rsidRPr="006A3844">
        <w:t xml:space="preserve"> 47.5 cup intensities </w:t>
      </w:r>
      <w:r w:rsidR="0014220A">
        <w:t>was</w:t>
      </w:r>
      <w:r w:rsidR="0014220A" w:rsidRPr="006A3844">
        <w:t xml:space="preserve"> </w:t>
      </w:r>
      <w:r w:rsidRPr="006A3844">
        <w:t xml:space="preserve">multiplied by </w:t>
      </w:r>
      <w:r w:rsidR="0014220A">
        <w:t>a unique scaling factor of –1 and finally added to the</w:t>
      </w:r>
      <w:r w:rsidRPr="006A3844">
        <w:t xml:space="preserve"> intensities measured on the </w:t>
      </w:r>
      <w:r w:rsidRPr="006A3844">
        <w:rPr>
          <w:i/>
        </w:rPr>
        <w:t>m/z</w:t>
      </w:r>
      <w:r w:rsidRPr="006A3844">
        <w:t xml:space="preserve"> 47cup</w:t>
      </w:r>
      <w:r w:rsidR="0014220A">
        <w:t xml:space="preserve">. After this background correction, equilibrated gases displayed a slope of zero in </w:t>
      </w:r>
      <w:r w:rsidR="00D7470F">
        <w:t>δ</w:t>
      </w:r>
      <w:r w:rsidR="0014220A" w:rsidRPr="006F0782">
        <w:rPr>
          <w:vertAlign w:val="superscript"/>
        </w:rPr>
        <w:t>47</w:t>
      </w:r>
      <w:r w:rsidR="006F0782">
        <w:t>–Δ</w:t>
      </w:r>
      <w:r w:rsidR="0014220A" w:rsidRPr="006F0782">
        <w:rPr>
          <w:vertAlign w:val="subscript"/>
        </w:rPr>
        <w:t>47</w:t>
      </w:r>
      <w:r w:rsidR="0014220A">
        <w:t xml:space="preserve"> space, demonstrating that the non-linearity had been effectively removed.</w:t>
      </w:r>
    </w:p>
    <w:p w14:paraId="5A016F7C" w14:textId="618A647D" w:rsidR="00B557C4" w:rsidRPr="006A3844" w:rsidRDefault="002B782F" w:rsidP="002B782F">
      <w:r w:rsidRPr="006A3844">
        <w:t xml:space="preserve">The scale compression was monitored by measuring reference gases equilibrated at 1000°C and 25°C along with the carbonate samples and carbonate reference materials (ETH1, ETH2, ETH3, ETH4, Carrara marble, and the aragonitic bivalve </w:t>
      </w:r>
      <w:r w:rsidRPr="006A3844">
        <w:rPr>
          <w:i/>
        </w:rPr>
        <w:t>A. islandica</w:t>
      </w:r>
      <w:r w:rsidRPr="006A3844">
        <w:t xml:space="preserve">). </w:t>
      </w:r>
      <w:r w:rsidR="00CD329F">
        <w:t xml:space="preserve">Empirical transfer function were determined </w:t>
      </w:r>
      <w:r w:rsidR="00FE7463">
        <w:t>by the comparison of nominal CDES-values of 0.9196 ‰ and 0.0266</w:t>
      </w:r>
      <w:r w:rsidR="006F0782">
        <w:t> </w:t>
      </w:r>
      <w:r w:rsidR="00FE7463">
        <w:t>‰ for CO</w:t>
      </w:r>
      <w:r w:rsidR="00FE7463" w:rsidRPr="006F0782">
        <w:rPr>
          <w:vertAlign w:val="subscript"/>
        </w:rPr>
        <w:t>2</w:t>
      </w:r>
      <w:r w:rsidR="00FE7463">
        <w:t xml:space="preserve"> equilibrated at 25 °C and 1000 °C, respectively</w:t>
      </w:r>
      <w:r w:rsidR="00B557C4">
        <w:t>,</w:t>
      </w:r>
      <w:r w:rsidR="00FE7463">
        <w:t xml:space="preserve"> (Petersen et al., 2019) with the intercepts displayed by these gases in </w:t>
      </w:r>
      <w:r w:rsidR="006F0782">
        <w:t>δ</w:t>
      </w:r>
      <w:r w:rsidR="006F0782" w:rsidRPr="006F0782">
        <w:rPr>
          <w:vertAlign w:val="superscript"/>
        </w:rPr>
        <w:t>47</w:t>
      </w:r>
      <w:r w:rsidR="006F0782">
        <w:t>–Δ</w:t>
      </w:r>
      <w:r w:rsidR="006F0782" w:rsidRPr="006F0782">
        <w:rPr>
          <w:vertAlign w:val="subscript"/>
        </w:rPr>
        <w:t>47</w:t>
      </w:r>
      <w:r w:rsidR="006F0782">
        <w:t xml:space="preserve"> </w:t>
      </w:r>
      <w:r w:rsidR="00FE7463">
        <w:t xml:space="preserve">space. </w:t>
      </w:r>
      <w:r w:rsidR="00FE7463" w:rsidRPr="006A3844">
        <w:t>F</w:t>
      </w:r>
      <w:r w:rsidR="00FE7463">
        <w:t>inally,</w:t>
      </w:r>
      <w:r w:rsidR="00FE7463" w:rsidRPr="006A3844">
        <w:t xml:space="preserve"> we </w:t>
      </w:r>
      <w:r w:rsidR="00B557C4">
        <w:t xml:space="preserve">applied </w:t>
      </w:r>
      <w:r w:rsidR="00FE7463">
        <w:t>an</w:t>
      </w:r>
      <w:r w:rsidR="00FE7463" w:rsidRPr="006A3844">
        <w:t xml:space="preserve"> acid fractionation factor of +0.</w:t>
      </w:r>
      <w:r w:rsidR="00FE7463">
        <w:t>0</w:t>
      </w:r>
      <w:r w:rsidR="00FE7463" w:rsidRPr="006A3844">
        <w:t>88</w:t>
      </w:r>
      <w:r w:rsidR="00FE7463" w:rsidRPr="006A3844">
        <w:rPr>
          <w:rFonts w:cs="Calibri"/>
        </w:rPr>
        <w:t>‰</w:t>
      </w:r>
      <w:r w:rsidR="00FE7463" w:rsidRPr="006A3844">
        <w:t xml:space="preserve"> </w:t>
      </w:r>
      <w:r w:rsidR="00FE7463">
        <w:t>(</w:t>
      </w:r>
      <w:r w:rsidR="00FE7463" w:rsidRPr="006A3844">
        <w:t>Petersen et al.</w:t>
      </w:r>
      <w:r w:rsidR="00FE7463">
        <w:t xml:space="preserve">, </w:t>
      </w:r>
      <w:r w:rsidR="00FE7463" w:rsidRPr="006A3844">
        <w:t>2019)</w:t>
      </w:r>
      <w:r w:rsidR="00FE7463">
        <w:t xml:space="preserve"> such that all </w:t>
      </w:r>
      <w:r w:rsidR="006F0782">
        <w:t>Δ</w:t>
      </w:r>
      <w:r w:rsidR="00FE7463" w:rsidRPr="006F0782">
        <w:rPr>
          <w:vertAlign w:val="subscript"/>
        </w:rPr>
        <w:t>47</w:t>
      </w:r>
      <w:r w:rsidR="00FE7463">
        <w:t xml:space="preserve"> data </w:t>
      </w:r>
      <w:r w:rsidR="00D7470F">
        <w:t>is reported</w:t>
      </w:r>
      <w:r w:rsidR="00FE7463">
        <w:t xml:space="preserve"> on the</w:t>
      </w:r>
      <w:r w:rsidRPr="006A3844">
        <w:t xml:space="preserve"> CDES </w:t>
      </w:r>
      <w:r w:rsidR="00FE7463">
        <w:t xml:space="preserve">25 </w:t>
      </w:r>
      <w:r w:rsidRPr="006A3844">
        <w:rPr>
          <w:rFonts w:cs="Calibri"/>
        </w:rPr>
        <w:t>(</w:t>
      </w:r>
      <w:r w:rsidRPr="006A3844">
        <w:t>Carbon Dioxide Equilibrium Scale</w:t>
      </w:r>
      <w:r w:rsidR="00FE7463">
        <w:t xml:space="preserve"> at a reaction temperature of 25 °C</w:t>
      </w:r>
      <w:r w:rsidRPr="006A3844">
        <w:rPr>
          <w:rFonts w:cs="Calibri"/>
        </w:rPr>
        <w:t>)</w:t>
      </w:r>
      <w:r w:rsidRPr="006A3844">
        <w:t>.</w:t>
      </w:r>
    </w:p>
    <w:p w14:paraId="63EEDAD4" w14:textId="56384A55" w:rsidR="00FE7463" w:rsidRPr="00F0048A" w:rsidRDefault="00B557C4" w:rsidP="00FE7463">
      <w:r>
        <w:t xml:space="preserve">Raw data </w:t>
      </w:r>
      <w:r w:rsidRPr="00F0048A">
        <w:t>were obtained on the basis of 10 acquisitions before 2019, and on 13 acquisitions</w:t>
      </w:r>
      <w:r w:rsidRPr="005752EE">
        <w:rPr>
          <w:rStyle w:val="Kommentarzeichen"/>
        </w:rPr>
        <w:t xml:space="preserve"> </w:t>
      </w:r>
      <w:r w:rsidRPr="00F0048A">
        <w:t xml:space="preserve">since January 2019. </w:t>
      </w:r>
      <w:r>
        <w:t xml:space="preserve">Each acquisition consisted of 10 cycles with integration times of 20 seconds each. </w:t>
      </w:r>
      <w:r w:rsidR="00FE7463">
        <w:t>All data</w:t>
      </w:r>
      <w:r w:rsidR="003576C3">
        <w:t>, including that of the Fontannen section,</w:t>
      </w:r>
      <w:r w:rsidR="00FE7463">
        <w:t xml:space="preserve"> was</w:t>
      </w:r>
      <w:r w:rsidR="002B782F" w:rsidRPr="00F0048A">
        <w:t xml:space="preserve"> processed with the IUPAC/ [BRAND] set of isotopic parameters (</w:t>
      </w:r>
      <w:r w:rsidR="002B782F" w:rsidRPr="00F0048A">
        <w:rPr>
          <w:vertAlign w:val="superscript"/>
        </w:rPr>
        <w:t>13</w:t>
      </w:r>
      <w:r w:rsidR="002B782F" w:rsidRPr="00F0048A">
        <w:t>R</w:t>
      </w:r>
      <w:r w:rsidR="002B782F" w:rsidRPr="00F0048A">
        <w:rPr>
          <w:vertAlign w:val="subscript"/>
        </w:rPr>
        <w:t>VPDB</w:t>
      </w:r>
      <w:r w:rsidR="002B782F" w:rsidRPr="00F0048A">
        <w:t xml:space="preserve"> = 0.011180, </w:t>
      </w:r>
      <w:r w:rsidR="002B782F" w:rsidRPr="00F0048A">
        <w:rPr>
          <w:vertAlign w:val="superscript"/>
        </w:rPr>
        <w:t>17</w:t>
      </w:r>
      <w:r w:rsidR="002B782F" w:rsidRPr="00F0048A">
        <w:t>R</w:t>
      </w:r>
      <w:r w:rsidR="002B782F" w:rsidRPr="00F0048A">
        <w:rPr>
          <w:vertAlign w:val="subscript"/>
        </w:rPr>
        <w:t>VSMOW</w:t>
      </w:r>
      <w:r w:rsidR="002B782F" w:rsidRPr="00F0048A">
        <w:t xml:space="preserve"> = 0.038475, </w:t>
      </w:r>
      <w:r w:rsidR="002B782F" w:rsidRPr="00F0048A">
        <w:rPr>
          <w:vertAlign w:val="superscript"/>
        </w:rPr>
        <w:t>18</w:t>
      </w:r>
      <w:r w:rsidR="002B782F" w:rsidRPr="00F0048A">
        <w:t>R</w:t>
      </w:r>
      <w:r w:rsidR="002B782F" w:rsidRPr="00F0048A">
        <w:rPr>
          <w:vertAlign w:val="subscript"/>
        </w:rPr>
        <w:t>VSMOW</w:t>
      </w:r>
      <w:r w:rsidR="002B782F" w:rsidRPr="00F0048A">
        <w:t xml:space="preserve"> = 0.0020052, </w:t>
      </w:r>
      <w:r w:rsidR="002B782F" w:rsidRPr="00F0048A">
        <w:rPr>
          <w:rFonts w:cs="Calibri"/>
        </w:rPr>
        <w:t>λ</w:t>
      </w:r>
      <w:r w:rsidR="002B782F" w:rsidRPr="00F0048A">
        <w:t xml:space="preserve"> = 0.528;</w:t>
      </w:r>
      <w:r w:rsidR="002B782F">
        <w:rPr>
          <w:rFonts w:cs="Calibri"/>
        </w:rPr>
        <w:t xml:space="preserve"> </w:t>
      </w:r>
      <w:r w:rsidR="00FB5677">
        <w:rPr>
          <w:rFonts w:cs="Calibri"/>
        </w:rPr>
        <w:fldChar w:fldCharType="begin" w:fldLock="1"/>
      </w:r>
      <w:r w:rsidR="00FB5677">
        <w:rPr>
          <w:rFonts w:cs="Calibri"/>
        </w:rPr>
        <w:instrText>ADDIN CSL_CITATION {"citationItems":[{"id":"ITEM-1","itemData":{"DOI":"10.1016/j.chemgeo.2016.08.014","ISSN":"00092541","abstract":"Clumped isotope measurements aim to quantify some statistical properties of the isotopologue population in a given sample, which requires prior knowledge of the absolute isotopic abundance ratios in reference materials such as VSMOW or VPDB. In the case of CO2, matters are further complicated by the need to define a mass-dependent fractionation law linking the three stable isotopes of oxygen. Conversion from raw mass spectrometric data to mass-47 anomalies (Δ47) thus relies on four external parameters: the (13C/12C) ratio of VPDB, the (17O/16O) and (18O/16O) ratios of VSMOW (or VPDB-CO2), and the slope of the triple oxygen isotope line (λ). Here we investigate the influence that these isotopic parameters exert on measured Δ47 values, using (a) real-world data corresponding to seven months of measurements; (b) simple simulations based on randomly generated data; (c) precise comparisons between water-equilibrated CO2 samples and between carbonate standards believed to share quasi-identical Δ47 values; and (d) reprocessing of two carbonate calibration data sets with different slopes of Δ47 versus T. We demonstrate that the use of different sets of isotopic parameters generally produces systematic offsets as large as 0.04‰ in measured Δ47 values, even after following the established standardization procedures. What's more, even using a single set of isotopic parameters can produce intra- and inter-laboratory discrepancies in measured Δ47 values, if some of these parameters are inaccurate, and depending on the isotopic compositions of the standards used for conversion to the absolute scale of Dennis et al. (2011), these errors should correlate strongly with either δ13C or δ18O, or more weakly with both. Based on measurements of samples expected to display quasi-identical Δ47 values, such as 25 °C water-equilibrated CO2 with different carbon and oxygen isotope compositions, or high-temperature standards ETH-1 and ETH-2, we conclude that the traditional set of isotopic parameters used in all early clumped isotope studies produces large, systematic errors controlled by the relative bulk isotopic compositions of samples and standards. These errors are likely to be one of the key factors responsible for current inter-laboratory discrepancies, but cannot easily explain the conflicting carbonate calibration slopes obtained by different groups. By contrast, the isotopic parameters of Brand et al. (2010) appear to yield accurate Δ47 values regardless of bulk isotopic…","author":[{"dropping-particle":"","family":"Daëron","given":"M.","non-dropping-particle":"","parse-names":false,"suffix":""},{"dropping-particle":"","family":"Blamart","given":"D.","non-dropping-particle":"","parse-names":false,"suffix":""},{"dropping-particle":"","family":"Peral","given":"M.","non-dropping-particle":"","parse-names":false,"suffix":""},{"dropping-particle":"","family":"Affek","given":"H. P.","non-dropping-particle":"","parse-names":false,"suffix":""}],"container-title":"Chemical Geology","id":"ITEM-1","issue":"August","issued":{"date-parts":[["2016"]]},"page":"83-96","publisher":"Elsevier B.V.","title":"Absolute isotopic abundance ratios and the accuracy of Δ47 measurements","type":"article-journal","volume":"442"},"uris":["http://www.mendeley.com/documents/?uuid=722c2b44-2f2e-4db6-bf0d-781667993835"]}],"mendeley":{"formattedCitation":"(Daëron et al., 2016)","manualFormatting":"Daëron et al., 2016)","plainTextFormattedCitation":"(Daëron et al., 2016)","previouslyFormattedCitation":"(Daëron et al., 2016)"},"properties":{"noteIndex":0},"schema":"https://github.com/citation-style-language/schema/raw/master/csl-citation.json"}</w:instrText>
      </w:r>
      <w:r w:rsidR="00FB5677">
        <w:rPr>
          <w:rFonts w:cs="Calibri"/>
        </w:rPr>
        <w:fldChar w:fldCharType="separate"/>
      </w:r>
      <w:r w:rsidR="00FB5677" w:rsidRPr="00FB5677">
        <w:rPr>
          <w:rFonts w:cs="Calibri"/>
          <w:noProof/>
        </w:rPr>
        <w:t>Daëron et al., 2016)</w:t>
      </w:r>
      <w:r w:rsidR="00FB5677">
        <w:rPr>
          <w:rFonts w:cs="Calibri"/>
        </w:rPr>
        <w:fldChar w:fldCharType="end"/>
      </w:r>
      <w:r w:rsidR="002B782F" w:rsidRPr="00F0048A">
        <w:rPr>
          <w:rFonts w:cs="Calibri"/>
        </w:rPr>
        <w:t>.</w:t>
      </w:r>
      <w:r>
        <w:t xml:space="preserve"> </w:t>
      </w:r>
      <w:r w:rsidR="00FE7463" w:rsidRPr="005752EE">
        <w:t xml:space="preserve">Reference gases equilibrated at 1000°C and 25°C and associated empirical transfer functions (ETF) </w:t>
      </w:r>
      <w:r w:rsidR="00FE7463" w:rsidRPr="00F0048A">
        <w:t xml:space="preserve">can be found in </w:t>
      </w:r>
      <w:r w:rsidR="00FA4D8E">
        <w:t>T</w:t>
      </w:r>
      <w:r w:rsidR="00FE7463" w:rsidRPr="00F0048A">
        <w:t xml:space="preserve">able </w:t>
      </w:r>
      <w:r w:rsidR="0048155E">
        <w:t>S3</w:t>
      </w:r>
      <w:r w:rsidR="00FE7463" w:rsidRPr="00F0048A">
        <w:t xml:space="preserve">. </w:t>
      </w:r>
    </w:p>
    <w:p w14:paraId="0956F3CF" w14:textId="77777777" w:rsidR="00FE7463" w:rsidRPr="00F0048A" w:rsidRDefault="00FE7463" w:rsidP="00FE7463"/>
    <w:p w14:paraId="4FA42428" w14:textId="7A0BF70C" w:rsidR="002B782F" w:rsidRPr="00F0048A" w:rsidRDefault="00FE7463" w:rsidP="002B782F">
      <w:r>
        <w:t>Apparent carbonate formation temperatures</w:t>
      </w:r>
      <w:r w:rsidR="002B782F" w:rsidRPr="00F0048A">
        <w:t xml:space="preserve"> </w:t>
      </w:r>
      <w:r>
        <w:t xml:space="preserve">were calculated </w:t>
      </w:r>
      <w:r w:rsidR="002B782F" w:rsidRPr="00F0048A">
        <w:t xml:space="preserve">using the </w:t>
      </w:r>
      <w:r>
        <w:t xml:space="preserve">following </w:t>
      </w:r>
      <w:r w:rsidR="002B782F" w:rsidRPr="00F0048A">
        <w:t xml:space="preserve">temperature calibration of </w:t>
      </w:r>
      <w:r w:rsidR="003A5F0E">
        <w:fldChar w:fldCharType="begin" w:fldLock="1"/>
      </w:r>
      <w:r w:rsidR="00336F31">
        <w:instrText>ADDIN CSL_CITATION {"citationItems":[{"id":"ITEM-1","itemData":{"DOI":"10.1029/2018GC008127","ISSN":"15252027","abstract":"The clumped isotopic composition of carbonate-derived CO2 (denoted Δ47) is a function of carbonate formation temperature and in natural samples can act as a recorder of paleoclimate, burial, or diagenetic conditions. The absolute abundance of heavy isotopes in the universal standards VPDB and VSMOW (defined by four parameters: R13VPDB, R17VSMOW, R18VSMOW, and λ) impact calculated Δ47 values. Here, we investigate whether use of updated and more accurate values for these parameters can remove observed interlaboratory differences in the measured T-Δ47 relationship. Using the updated parameters, we reprocess 14 published calibration data sets measured in 11 different laboratories, representing many mineralogies, bulk compositions, sample types, reaction temperatures, and sample preparation and analysis methods. Exploiting this large composite data set (n = 1,253 sample replicates), we investigate the possibility for a “universal” clumped isotope calibration. We find that applying updated parameters improves the T-Δ47 relationship (reduces residuals) within most labs and improves overall agreement but does not eliminate all interlaboratory differences. We reaffirm earlier findings that different mineralogies do not require different calibration equations and that cleaning procedures, method of pressure baseline correction, and mass spectrometer type do not affect interlaboratory agreement. We also present new estimates of the temperature dependence of the acid digestion fractionation for Δ47 (Δ*25-X), based on combining reprocessed data from four studies, and new theoretical equilibrium values to be used in calculation of the empirical transfer function. Overall, we have ruled out a number of possible causes of interlaboratory disagreement in the T-Δ47 relationship, but many more remain to be investigated.","author":[{"dropping-particle":"V.","family":"Petersen","given":"S.","non-dropping-particle":"","parse-names":false,"suffix":""},{"dropping-particle":"","family":"Defliese","given":"W. F.","non-dropping-particle":"","parse-names":false,"suffix":""},{"dropping-particle":"","family":"Saenger","given":"C.","non-dropping-particle":"","parse-names":false,"suffix":""},{"dropping-particle":"","family":"Daëron","given":"M.","non-dropping-particle":"","parse-names":false,"suffix":""},{"dropping-particle":"","family":"Huntington","given":"K. W.","non-dropping-particle":"","parse-names":false,"suffix":""},{"dropping-particle":"","family":"John","given":"C. M.","non-dropping-particle":"","parse-names":false,"suffix":""},{"dropping-particle":"","family":"Kelson","given":"J. R.","non-dropping-particle":"","parse-names":false,"suffix":""},{"dropping-particle":"","family":"Bernasconi","given":"S. M.","non-dropping-particle":"","parse-names":false,"suffix":""},{"dropping-particle":"","family":"Colman","given":"A. S.","non-dropping-particle":"","parse-names":false,"suffix":""},{"dropping-particle":"","family":"Kluge","given":"T.","non-dropping-particle":"","parse-names":false,"suffix":""},{"dropping-particle":"","family":"Olack","given":"G. A.","non-dropping-particle":"","parse-names":false,"suffix":""},{"dropping-particle":"","family":"Schauer","given":"A. J.","non-dropping-particle":"","parse-names":false,"suffix":""},{"dropping-particle":"","family":"Bajnai","given":"D.","non-dropping-particle":"","parse-names":false,"suffix":""},{"dropping-particle":"","family":"Bonifacie","given":"M.","non-dropping-particle":"","parse-names":false,"suffix":""},{"dropping-particle":"","family":"Breitenbach","given":"S. F.M.","non-dropping-particle":"","parse-names":false,"suffix":""},{"dropping-particle":"","family":"Fiebig","given":"J.","non-dropping-particle":"","parse-names":false,"suffix":""},{"dropping-particle":"","family":"Fernandez","given":"A. B.","non-dropping-particle":"","parse-names":false,"suffix":""},{"dropping-particle":"","family":"Henkes","given":"G. A.","non-dropping-particle":"","parse-names":false,"suffix":""},{"dropping-particle":"","family":"Hodell","given":"D.","non-dropping-particle":"","parse-names":false,"suffix":""},{"dropping-particle":"","family":"Katz","given":"A.","non-dropping-particle":"","parse-names":false,"suffix":""},{"dropping-particle":"","family":"Kele","given":"S.","non-dropping-particle":"","parse-names":false,"suffix":""},{"dropping-particle":"","family":"Lohmann","given":"K. C.","non-dropping-particle":"","parse-names":false,"suffix":""},{"dropping-particle":"","family":"Passey","given":"B. H.","non-dropping-particle":"","parse-names":false,"suffix":""},{"dropping-particle":"","family":"Peral","given":"M. Y.","non-dropping-particle":"","parse-names":false,"suffix":""},{"dropping-particle":"","family":"Petrizzo","given":"D. A.","non-dropping-particle":"","parse-names":false,"suffix":""},{"dropping-particle":"","family":"Rosenheim","given":"B. E.","non-dropping-particle":"","parse-names":false,"suffix":""},{"dropping-particle":"","family":"Tripati","given":"A.","non-dropping-particle":"","parse-names":false,"suffix":""},{"dropping-particle":"","family":"Venturelli","given":"R.","non-dropping-particle":"","parse-names":false,"suffix":""},{"dropping-particle":"","family":"Young","given":"E. D.","non-dropping-particle":"","parse-names":false,"suffix":""},{"dropping-particle":"","family":"Winkelstern","given":"I. Z.","non-dropping-particle":"","parse-names":false,"suffix":""}],"container-title":"Geochemistry, Geophysics, Geosystems","id":"ITEM-1","issue":"7","issued":{"date-parts":[["2019"]]},"page":"3495-3519","title":"Effects of Improved 17O Correction on Interlaboratory Agreement in Clumped Isotope Calibrations, Estimates of Mineral-Specific Offsets, and Temperature Dependence of Acid Digestion Fractionation","type":"article-journal","volume":"20"},"uris":["http://www.mendeley.com/documents/?uuid=36fda2ad-e1c5-4b08-aef1-0d43b0e78b9b"]}],"mendeley":{"formattedCitation":"(Petersen et al., 2019)","plainTextFormattedCitation":"(Petersen et al., 2019)","previouslyFormattedCitation":"(Petersen et al., 2019)"},"properties":{"noteIndex":0},"schema":"https://github.com/citation-style-language/schema/raw/master/csl-citation.json"}</w:instrText>
      </w:r>
      <w:r w:rsidR="003A5F0E">
        <w:fldChar w:fldCharType="separate"/>
      </w:r>
      <w:r w:rsidR="003A5F0E" w:rsidRPr="003A5F0E">
        <w:rPr>
          <w:noProof/>
        </w:rPr>
        <w:t>(Petersen et al., 2019)</w:t>
      </w:r>
      <w:r w:rsidR="003A5F0E">
        <w:fldChar w:fldCharType="end"/>
      </w:r>
      <w:r w:rsidR="003A5F0E">
        <w:t>:</w:t>
      </w:r>
    </w:p>
    <w:p w14:paraId="670BF19D" w14:textId="51E774C1" w:rsidR="002B782F" w:rsidRPr="002B782F" w:rsidRDefault="002B782F" w:rsidP="002B782F">
      <w:pPr>
        <w:jc w:val="center"/>
      </w:pPr>
      <w:r w:rsidRPr="00F0048A">
        <w:rPr>
          <w:rFonts w:cs="Calibri"/>
        </w:rPr>
        <w:t>Δ</w:t>
      </w:r>
      <w:r w:rsidRPr="002B782F">
        <w:rPr>
          <w:vertAlign w:val="subscript"/>
        </w:rPr>
        <w:t>47</w:t>
      </w:r>
      <w:r>
        <w:rPr>
          <w:vertAlign w:val="subscript"/>
        </w:rPr>
        <w:t xml:space="preserve"> (CDES</w:t>
      </w:r>
      <w:r w:rsidR="00FE7463">
        <w:rPr>
          <w:vertAlign w:val="subscript"/>
        </w:rPr>
        <w:t xml:space="preserve"> 25</w:t>
      </w:r>
      <w:r>
        <w:rPr>
          <w:vertAlign w:val="subscript"/>
        </w:rPr>
        <w:t>)</w:t>
      </w:r>
      <w:r w:rsidRPr="002B782F">
        <w:rPr>
          <w:vertAlign w:val="subscript"/>
        </w:rPr>
        <w:t xml:space="preserve"> </w:t>
      </w:r>
      <w:r w:rsidRPr="002B782F">
        <w:t xml:space="preserve">= (0.0383 </w:t>
      </w:r>
      <w:r w:rsidRPr="002B782F">
        <w:rPr>
          <w:rFonts w:cs="Calibri"/>
        </w:rPr>
        <w:t xml:space="preserve">± </w:t>
      </w:r>
      <w:r w:rsidRPr="002B782F">
        <w:t>1.7E</w:t>
      </w:r>
      <w:r w:rsidRPr="002B782F">
        <w:rPr>
          <w:vertAlign w:val="superscript"/>
        </w:rPr>
        <w:t>-6</w:t>
      </w:r>
      <w:r w:rsidRPr="002B782F">
        <w:t>) * (10</w:t>
      </w:r>
      <w:r w:rsidRPr="002B782F">
        <w:rPr>
          <w:vertAlign w:val="superscript"/>
        </w:rPr>
        <w:t xml:space="preserve">6 </w:t>
      </w:r>
      <w:r w:rsidRPr="002B782F">
        <w:t>/ T</w:t>
      </w:r>
      <w:r w:rsidRPr="002B782F">
        <w:rPr>
          <w:vertAlign w:val="superscript"/>
        </w:rPr>
        <w:t>2</w:t>
      </w:r>
      <w:r w:rsidRPr="002B782F">
        <w:t xml:space="preserve">) + (0.258 </w:t>
      </w:r>
      <w:r w:rsidRPr="002B782F">
        <w:rPr>
          <w:rFonts w:cs="Calibri"/>
        </w:rPr>
        <w:t xml:space="preserve">± </w:t>
      </w:r>
      <w:r w:rsidRPr="002B782F">
        <w:t>1.7E</w:t>
      </w:r>
      <w:r w:rsidRPr="002B782F">
        <w:rPr>
          <w:vertAlign w:val="superscript"/>
        </w:rPr>
        <w:t>-5</w:t>
      </w:r>
      <w:r w:rsidRPr="002B782F">
        <w:t>)</w:t>
      </w:r>
      <w:r w:rsidRPr="002B782F">
        <w:tab/>
        <w:t>(</w:t>
      </w:r>
      <w:r>
        <w:t>2</w:t>
      </w:r>
      <w:r w:rsidRPr="002B782F">
        <w:t>)</w:t>
      </w:r>
    </w:p>
    <w:p w14:paraId="68D53ACF" w14:textId="2D76978D" w:rsidR="002B782F" w:rsidRPr="00F0048A" w:rsidRDefault="00C93451" w:rsidP="002B782F">
      <w:r>
        <w:t>E</w:t>
      </w:r>
      <w:r w:rsidR="002B782F" w:rsidRPr="00F0048A">
        <w:t xml:space="preserve">ach day we measured </w:t>
      </w:r>
      <w:r w:rsidR="002B782F">
        <w:t>1-3</w:t>
      </w:r>
      <w:r w:rsidR="002B782F" w:rsidRPr="00F0048A">
        <w:t xml:space="preserve"> carbonate reference materials along with the pedogenic carbonate samples. The mean </w:t>
      </w:r>
      <w:r w:rsidR="002B782F" w:rsidRPr="00F0048A">
        <w:rPr>
          <w:rFonts w:cstheme="minorHAnsi"/>
        </w:rPr>
        <w:t>Δ</w:t>
      </w:r>
      <w:r w:rsidR="002B782F" w:rsidRPr="00F0048A">
        <w:rPr>
          <w:vertAlign w:val="subscript"/>
        </w:rPr>
        <w:t xml:space="preserve">47 (CDES) </w:t>
      </w:r>
      <w:r w:rsidR="002B782F" w:rsidRPr="00F0048A">
        <w:t>values (</w:t>
      </w:r>
      <w:r w:rsidR="002B782F" w:rsidRPr="00F0048A">
        <w:rPr>
          <w:rFonts w:cstheme="minorHAnsi"/>
        </w:rPr>
        <w:t>±</w:t>
      </w:r>
      <w:r w:rsidR="002B782F" w:rsidRPr="00F0048A">
        <w:t>1 SD), averaged for the five measurement periods, are: Carrara (marble, calcite, n = 264) 0.406 (</w:t>
      </w:r>
      <w:r w:rsidR="002B782F" w:rsidRPr="00F0048A">
        <w:rPr>
          <w:rFonts w:cstheme="minorHAnsi"/>
        </w:rPr>
        <w:t>±</w:t>
      </w:r>
      <w:r w:rsidR="002B782F" w:rsidRPr="00F0048A">
        <w:t xml:space="preserve">0.026) </w:t>
      </w:r>
      <w:r w:rsidR="002B782F" w:rsidRPr="00F0048A">
        <w:rPr>
          <w:rFonts w:cstheme="minorHAnsi"/>
        </w:rPr>
        <w:t>‰, MuStd (</w:t>
      </w:r>
      <w:r w:rsidR="002B782F" w:rsidRPr="00F0048A">
        <w:rPr>
          <w:i/>
          <w:iCs/>
        </w:rPr>
        <w:t>Arctica islandica</w:t>
      </w:r>
      <w:r w:rsidR="002B782F" w:rsidRPr="00F0048A">
        <w:t>, aragonite, n = 104) 0.748 (</w:t>
      </w:r>
      <w:r w:rsidR="002B782F" w:rsidRPr="00F0048A">
        <w:rPr>
          <w:rFonts w:cstheme="minorHAnsi"/>
        </w:rPr>
        <w:t>±</w:t>
      </w:r>
      <w:r w:rsidR="002B782F" w:rsidRPr="00F0048A">
        <w:t xml:space="preserve">0.021) </w:t>
      </w:r>
      <w:r w:rsidR="002B782F" w:rsidRPr="00F0048A">
        <w:rPr>
          <w:rFonts w:cstheme="minorHAnsi"/>
        </w:rPr>
        <w:t xml:space="preserve">‰, Strauss (n = 7) 0.682 (±0.024) ‰, </w:t>
      </w:r>
      <w:r w:rsidR="002B782F" w:rsidRPr="00F0048A">
        <w:t xml:space="preserve">ETH 1 (calcite, n = 98) 0.299 </w:t>
      </w:r>
      <w:r w:rsidR="002B782F" w:rsidRPr="00F0048A">
        <w:lastRenderedPageBreak/>
        <w:t xml:space="preserve">(±0.012) ‰, ETH 2 (calcite, n = 90) 0.300 (±0.015) ‰, ETH 3 (calcite, n = 101) 0.705 (±0.015) ‰, ETH 4 (calcite, n = 34) 0.538 (±0.014) ‰, and are listed separately for each measurement period in table </w:t>
      </w:r>
      <w:r w:rsidR="0048155E">
        <w:t>S4</w:t>
      </w:r>
      <w:r w:rsidR="002B782F" w:rsidRPr="00F0048A">
        <w:t>.</w:t>
      </w:r>
    </w:p>
    <w:p w14:paraId="573DFFA6" w14:textId="6B9EF806" w:rsidR="002B782F" w:rsidRPr="00C9117E" w:rsidRDefault="002B782F" w:rsidP="002B782F">
      <w:r w:rsidRPr="00F0048A">
        <w:t>The external standard errors (1 SE) for 4–5 replicate measurements var</w:t>
      </w:r>
      <w:r w:rsidR="00C93451">
        <w:t>y</w:t>
      </w:r>
      <w:r w:rsidRPr="00F0048A">
        <w:t xml:space="preserve"> between 0.004 </w:t>
      </w:r>
      <w:r w:rsidRPr="00F0048A">
        <w:rPr>
          <w:rFonts w:cstheme="minorHAnsi"/>
        </w:rPr>
        <w:t>‰</w:t>
      </w:r>
      <w:r w:rsidRPr="00F0048A">
        <w:t xml:space="preserve"> and 0.009 </w:t>
      </w:r>
      <w:r w:rsidRPr="00F0048A">
        <w:rPr>
          <w:rFonts w:cstheme="minorHAnsi"/>
        </w:rPr>
        <w:t>‰</w:t>
      </w:r>
      <w:r>
        <w:t>.</w:t>
      </w:r>
    </w:p>
    <w:p w14:paraId="00856517" w14:textId="77777777" w:rsidR="002B782F" w:rsidRPr="00F0048A" w:rsidRDefault="002B782F" w:rsidP="002B782F">
      <w:pPr>
        <w:pStyle w:val="KeinLeerraum"/>
        <w:spacing w:line="276" w:lineRule="auto"/>
        <w:jc w:val="both"/>
        <w:rPr>
          <w:rFonts w:ascii="Calibri" w:hAnsi="Calibri"/>
          <w:b/>
        </w:rPr>
      </w:pPr>
    </w:p>
    <w:p w14:paraId="1883D868" w14:textId="77777777" w:rsidR="002B782F" w:rsidRPr="002B782F" w:rsidRDefault="002B782F" w:rsidP="002B782F">
      <w:pPr>
        <w:pStyle w:val="berschrift2"/>
      </w:pPr>
      <w:r w:rsidRPr="002B782F">
        <w:t>2.3 Soil water oxygen isotopic composition</w:t>
      </w:r>
    </w:p>
    <w:p w14:paraId="1511D857" w14:textId="1624FAB1" w:rsidR="002B782F" w:rsidRPr="009F6E3D" w:rsidRDefault="002B782F" w:rsidP="002B782F">
      <w:r>
        <w:t xml:space="preserve">We calculated the oxygen </w:t>
      </w:r>
      <w:r w:rsidRPr="00F0048A">
        <w:t>(</w:t>
      </w:r>
      <w:r w:rsidRPr="00F0048A">
        <w:rPr>
          <w:rFonts w:cs="Calibri"/>
        </w:rPr>
        <w:t>δ</w:t>
      </w:r>
      <w:r w:rsidRPr="00F0048A">
        <w:rPr>
          <w:vertAlign w:val="superscript"/>
        </w:rPr>
        <w:t>18</w:t>
      </w:r>
      <w:r w:rsidRPr="00F0048A">
        <w:t>O</w:t>
      </w:r>
      <w:r w:rsidRPr="00F0048A">
        <w:rPr>
          <w:vertAlign w:val="subscript"/>
        </w:rPr>
        <w:t>w</w:t>
      </w:r>
      <w:r w:rsidRPr="00F0048A">
        <w:t>)</w:t>
      </w:r>
      <w:r>
        <w:t xml:space="preserve"> isotopic composition of the soil (meteoric) water from which the pedogenic carbonate formed for each Swiss Molasse Basin carbonate sample and list the results in Table </w:t>
      </w:r>
      <w:r w:rsidR="0048155E">
        <w:t>S1</w:t>
      </w:r>
      <w:r>
        <w:t xml:space="preserve"> in the Supplementary Material.</w:t>
      </w:r>
      <w:r w:rsidRPr="00F0048A">
        <w:t xml:space="preserve"> </w:t>
      </w:r>
      <w:r w:rsidRPr="00F0048A">
        <w:rPr>
          <w:rFonts w:cs="Calibri"/>
        </w:rPr>
        <w:t>δ</w:t>
      </w:r>
      <w:r w:rsidRPr="00F0048A">
        <w:rPr>
          <w:vertAlign w:val="superscript"/>
        </w:rPr>
        <w:t>18</w:t>
      </w:r>
      <w:r w:rsidRPr="00F0048A">
        <w:t>O</w:t>
      </w:r>
      <w:r w:rsidRPr="00F0048A">
        <w:rPr>
          <w:vertAlign w:val="subscript"/>
        </w:rPr>
        <w:t>w</w:t>
      </w:r>
      <w:r w:rsidRPr="00F0048A">
        <w:t xml:space="preserve"> </w:t>
      </w:r>
      <w:r>
        <w:t xml:space="preserve">values </w:t>
      </w:r>
      <w:r w:rsidRPr="00F0048A">
        <w:t xml:space="preserve">were calculated from </w:t>
      </w:r>
      <w:r w:rsidRPr="00F0048A">
        <w:rPr>
          <w:rFonts w:cs="Calibri"/>
        </w:rPr>
        <w:t>δ</w:t>
      </w:r>
      <w:r w:rsidRPr="00F0048A">
        <w:rPr>
          <w:vertAlign w:val="superscript"/>
        </w:rPr>
        <w:t>18</w:t>
      </w:r>
      <w:r w:rsidRPr="00F0048A">
        <w:t>O</w:t>
      </w:r>
      <w:r w:rsidRPr="005D6135">
        <w:rPr>
          <w:vertAlign w:val="subscript"/>
        </w:rPr>
        <w:t>c</w:t>
      </w:r>
      <w:r>
        <w:t xml:space="preserve"> values </w:t>
      </w:r>
      <w:r w:rsidRPr="00F0048A">
        <w:t xml:space="preserve">by applying the measured </w:t>
      </w:r>
      <w:r w:rsidRPr="00F0048A">
        <w:rPr>
          <w:rFonts w:cstheme="minorHAnsi"/>
        </w:rPr>
        <w:t>Δ</w:t>
      </w:r>
      <w:r w:rsidRPr="00F0048A">
        <w:rPr>
          <w:vertAlign w:val="subscript"/>
        </w:rPr>
        <w:t>47</w:t>
      </w:r>
      <w:r>
        <w:t xml:space="preserve">-based </w:t>
      </w:r>
      <w:r w:rsidRPr="00F0048A">
        <w:t xml:space="preserve">carbonate formation temperatures and the calcite-water fractionation equation </w:t>
      </w:r>
      <w:r w:rsidRPr="00E17F00">
        <w:rPr>
          <w:color w:val="000000" w:themeColor="text1"/>
        </w:rPr>
        <w:t xml:space="preserve">of </w:t>
      </w:r>
      <w:r w:rsidR="00336F31">
        <w:rPr>
          <w:color w:val="000000" w:themeColor="text1"/>
        </w:rPr>
        <w:fldChar w:fldCharType="begin" w:fldLock="1"/>
      </w:r>
      <w:r w:rsidR="008D7499">
        <w:rPr>
          <w:color w:val="000000" w:themeColor="text1"/>
        </w:rPr>
        <w:instrText>ADDIN CSL_CITATION {"citationItems":[{"id":"ITEM-1","itemData":{"author":[{"dropping-particle":"","family":"Kim","given":"Sang-Tae","non-dropping-particle":"","parse-names":false,"suffix":""},{"dropping-particle":"","family":"O'Neil","given":"James R.","non-dropping-particle":"","parse-names":false,"suffix":""}],"container-title":"Geochimica et Cosmochimica Acta","id":"ITEM-1","issue":"16","issued":{"date-parts":[["1997"]]},"page":"3461–3475","title":"Equilibrium and nonequilibrium oxygen isotope effects in synthetic carbonates","type":"article-journal","volume":"61"},"uris":["http://www.mendeley.com/documents/?uuid=de76357f-07d8-477c-b69c-ff7868db5fb2"]},{"id":"ITEM-2","itemData":{"DOI":"10.1016/j.chemgeo.2007.08.005","ISSN":"00092541","abstract":"This paper reports the results of an investigation to re-determine the phosphoric acid fractionation factor for calcite and aragonite in order to improve the accuracy and limit the uncertainty of this very important quantity. The 18O/16O ratio of 100% of the oxygen in calcite and aragonite was determined directly by combining data from a two-step procedure involving thermal decomposition of the carbonate, followed by fluorination of the residual CaO using BrF5. The oxygen isotope composition of the CO2 released upon the thermal decarbonation of calcite and aragonite is enriched in 18O relative to that of the remaining CaO. Reproducibility of the oxygen isotope composition of the CO2 derived from each of the decarbonation and fluorination steps was 0.55‰ (1σ). Nevertheless, statistically reliable acid fractionation factors for calcite (se = 0.07) and aragonite (se = 0.10) were determined on the basis of a large set of combined data from conventional phosphoric acid reactions at three different temperatures, plus the decarbonation/fluorination procedure. The acid fractionation factors (αCO2(ACID)-carbonate) determined in this study for calcite (αCO2(ACID)-Calcite = 1.01030) and aragonite (αCO2(ACID)-Aragonite = 1.01063) at 25 °C, differ slightly from previously published values. On the basis of our new determinations at 25, 50, and 75 °C, revised expressions for the temperature dependence of the acid fractionation factors for calcite and aragonite are proposed for the temperature range of 25-75 °C:1000 ln αCO2 (ACID) - Calcite = 3.59 (103 / T) - 1.79. 1000 ln αCO2 (ACID) - Aragonite = 3.39 (103 / T) - 0.83where αCO2(ACID)-carbonate is the phosphoric acid fractionation factor, and T is temperature in kelvin. © 2007 Elsevier B.V. All rights reserved.","author":[{"dropping-particle":"","family":"Kim","given":"Sang Tae","non-dropping-particle":"","parse-names":false,"suffix":""},{"dropping-particle":"","family":"Mucci","given":"Alfonso","non-dropping-particle":"","parse-names":false,"suffix":""},{"dropping-particle":"","family":"Taylor","given":"Bruce E.","non-dropping-particle":"","parse-names":false,"suffix":""}],"container-title":"Chemical Geology","id":"ITEM-2","issue":"3-4","issued":{"date-parts":[["2007"]]},"page":"135-146","title":"Phosphoric acid fractionation factors for calcite and aragonite between 25 and 75 °C: Revisited","type":"article-journal","volume":"246"},"uris":["http://www.mendeley.com/documents/?uuid=5723aa7b-9416-4d14-adb3-9077ebef87a2"]}],"mendeley":{"formattedCitation":"(Kim and O’Neil, 1997; Kim et al., 2007)","manualFormatting":"(Kim and O’Neil, 1997)","plainTextFormattedCitation":"(Kim and O’Neil, 1997; Kim et al., 2007)","previouslyFormattedCitation":"(Kim and O’Neil, 1997; Kim et al., 2007)"},"properties":{"noteIndex":0},"schema":"https://github.com/citation-style-language/schema/raw/master/csl-citation.json"}</w:instrText>
      </w:r>
      <w:r w:rsidR="00336F31">
        <w:rPr>
          <w:color w:val="000000" w:themeColor="text1"/>
        </w:rPr>
        <w:fldChar w:fldCharType="separate"/>
      </w:r>
      <w:r w:rsidR="00336F31" w:rsidRPr="00336F31">
        <w:rPr>
          <w:noProof/>
          <w:color w:val="000000" w:themeColor="text1"/>
        </w:rPr>
        <w:t>(Kim and O’Neil, 1997</w:t>
      </w:r>
      <w:r w:rsidR="00EE7C00">
        <w:rPr>
          <w:noProof/>
          <w:color w:val="000000" w:themeColor="text1"/>
        </w:rPr>
        <w:t>)</w:t>
      </w:r>
      <w:r w:rsidR="00336F31">
        <w:rPr>
          <w:color w:val="000000" w:themeColor="text1"/>
        </w:rPr>
        <w:fldChar w:fldCharType="end"/>
      </w:r>
      <w:r w:rsidR="00336F31">
        <w:rPr>
          <w:color w:val="000000" w:themeColor="text1"/>
        </w:rPr>
        <w:t>.</w:t>
      </w:r>
      <w:r w:rsidRPr="00E17F00">
        <w:rPr>
          <w:noProof/>
          <w:color w:val="000000" w:themeColor="text1"/>
        </w:rPr>
        <w:t xml:space="preserve"> </w:t>
      </w:r>
      <w:r w:rsidRPr="00E17F00">
        <w:t>Based</w:t>
      </w:r>
      <w:r w:rsidRPr="00F0048A">
        <w:t xml:space="preserve"> on </w:t>
      </w:r>
      <w:r w:rsidR="00EE7C00">
        <w:t xml:space="preserve">the </w:t>
      </w:r>
      <w:r w:rsidRPr="00F0048A">
        <w:t xml:space="preserve">revised acid fractionation factor </w:t>
      </w:r>
      <w:r w:rsidR="008D7499">
        <w:fldChar w:fldCharType="begin" w:fldLock="1"/>
      </w:r>
      <w:r w:rsidR="00914582">
        <w:instrText>ADDIN CSL_CITATION {"citationItems":[{"id":"ITEM-1","itemData":{"DOI":"10.1016/j.chemgeo.2007.08.005","ISSN":"00092541","abstract":"This paper reports the results of an investigation to re-determine the phosphoric acid fractionation factor for calcite and aragonite in order to improve the accuracy and limit the uncertainty of this very important quantity. The 18O/16O ratio of 100% of the oxygen in calcite and aragonite was determined directly by combining data from a two-step procedure involving thermal decomposition of the carbonate, followed by fluorination of the residual CaO using BrF5. The oxygen isotope composition of the CO2 released upon the thermal decarbonation of calcite and aragonite is enriched in 18O relative to that of the remaining CaO. Reproducibility of the oxygen isotope composition of the CO2 derived from each of the decarbonation and fluorination steps was 0.55‰ (1σ). Nevertheless, statistically reliable acid fractionation factors for calcite (se = 0.07) and aragonite (se = 0.10) were determined on the basis of a large set of combined data from conventional phosphoric acid reactions at three different temperatures, plus the decarbonation/fluorination procedure. The acid fractionation factors (αCO2(ACID)-carbonate) determined in this study for calcite (αCO2(ACID)-Calcite = 1.01030) and aragonite (αCO2(ACID)-Aragonite = 1.01063) at 25 °C, differ slightly from previously published values. On the basis of our new determinations at 25, 50, and 75 °C, revised expressions for the temperature dependence of the acid fractionation factors for calcite and aragonite are proposed for the temperature range of 25-75 °C:1000 ln αCO2 (ACID) - Calcite = 3.59 (103 / T) - 1.79. 1000 ln αCO2 (ACID) - Aragonite = 3.39 (103 / T) - 0.83where αCO2(ACID)-carbonate is the phosphoric acid fractionation factor, and T is temperature in kelvin. © 2007 Elsevier B.V. All rights reserved.","author":[{"dropping-particle":"","family":"Kim","given":"Sang Tae","non-dropping-particle":"","parse-names":false,"suffix":""},{"dropping-particle":"","family":"Mucci","given":"Alfonso","non-dropping-particle":"","parse-names":false,"suffix":""},{"dropping-particle":"","family":"Taylor","given":"Bruce E.","non-dropping-particle":"","parse-names":false,"suffix":""}],"container-title":"Chemical Geology","id":"ITEM-1","issue":"3-4","issued":{"date-parts":[["2007"]]},"page":"135-146","title":"Phosphoric acid fractionation factors for calcite and aragonite between 25 and 75 °C: Revisited","type":"article-journal","volume":"246"},"uris":["http://www.mendeley.com/documents/?uuid=5723aa7b-9416-4d14-adb3-9077ebef87a2"]}],"mendeley":{"formattedCitation":"(Kim et al., 2007)","plainTextFormattedCitation":"(Kim et al., 2007)","previouslyFormattedCitation":"(Kim et al., 2007)"},"properties":{"noteIndex":0},"schema":"https://github.com/citation-style-language/schema/raw/master/csl-citation.json"}</w:instrText>
      </w:r>
      <w:r w:rsidR="008D7499">
        <w:fldChar w:fldCharType="separate"/>
      </w:r>
      <w:r w:rsidR="008D7499" w:rsidRPr="008D7499">
        <w:rPr>
          <w:noProof/>
        </w:rPr>
        <w:t>(Kim et al., 2007)</w:t>
      </w:r>
      <w:r w:rsidR="008D7499">
        <w:fldChar w:fldCharType="end"/>
      </w:r>
      <w:r w:rsidR="00EE7C00">
        <w:rPr>
          <w:noProof/>
          <w:color w:val="000000" w:themeColor="text1"/>
        </w:rPr>
        <w:t xml:space="preserve">, </w:t>
      </w:r>
      <w:r w:rsidRPr="00F0048A">
        <w:t>the updated calcite-water fractionation can be expressed as:</w:t>
      </w:r>
    </w:p>
    <w:p w14:paraId="68A53651" w14:textId="2DCFA5F3" w:rsidR="002B782F" w:rsidRPr="00F0048A" w:rsidRDefault="002B782F" w:rsidP="002B782F">
      <w:pPr>
        <w:jc w:val="center"/>
      </w:pPr>
      <w:r w:rsidRPr="00F0048A">
        <w:t>100</w:t>
      </w:r>
      <w:r>
        <w:t xml:space="preserve">0 ln α = 18.03 (1000/T) </w:t>
      </w:r>
      <w:r>
        <w:sym w:font="Symbol" w:char="F02D"/>
      </w:r>
      <w:r>
        <w:t xml:space="preserve"> 32.23 </w:t>
      </w:r>
      <w:r>
        <w:tab/>
      </w:r>
      <w:r>
        <w:tab/>
      </w:r>
      <w:r w:rsidRPr="00F0048A">
        <w:t>(</w:t>
      </w:r>
      <w:r>
        <w:t>3</w:t>
      </w:r>
      <w:r w:rsidRPr="00F0048A">
        <w:t>)</w:t>
      </w:r>
    </w:p>
    <w:p w14:paraId="2521A62B" w14:textId="77777777" w:rsidR="002B782F" w:rsidRPr="00F0048A" w:rsidRDefault="002B782F" w:rsidP="002B782F">
      <w:r w:rsidRPr="00F0048A">
        <w:t>where α is the fractionation factor and T is the fractionation temperature in kelvin. Note, that the original expression after</w:t>
      </w:r>
      <w:r>
        <w:t xml:space="preserve"> </w:t>
      </w:r>
      <w:r w:rsidRPr="000C6B82">
        <w:rPr>
          <w:color w:val="000000" w:themeColor="text1"/>
        </w:rPr>
        <w:t>Kim &amp; O</w:t>
      </w:r>
      <w:r w:rsidRPr="000C6B82">
        <w:rPr>
          <w:noProof/>
          <w:color w:val="000000" w:themeColor="text1"/>
        </w:rPr>
        <w:t>’Neil (1997</w:t>
      </w:r>
      <w:r>
        <w:rPr>
          <w:noProof/>
          <w:color w:val="000000" w:themeColor="text1"/>
        </w:rPr>
        <w:t>)</w:t>
      </w:r>
      <w:r w:rsidRPr="00F0048A">
        <w:t xml:space="preserve"> had a slightly different intercept of -32.42. </w:t>
      </w:r>
    </w:p>
    <w:p w14:paraId="16F08E99" w14:textId="77777777" w:rsidR="002B782F" w:rsidRPr="00F0048A" w:rsidRDefault="002B782F" w:rsidP="002B782F"/>
    <w:p w14:paraId="259B484B" w14:textId="5EC7D419" w:rsidR="002B782F" w:rsidRPr="00F0048A" w:rsidRDefault="002B782F" w:rsidP="002B782F">
      <w:r w:rsidRPr="00F0048A">
        <w:t xml:space="preserve">Additionally, we provide </w:t>
      </w:r>
      <w:r w:rsidRPr="00F0048A">
        <w:rPr>
          <w:rFonts w:cs="Calibri"/>
        </w:rPr>
        <w:t>δ</w:t>
      </w:r>
      <w:r w:rsidRPr="00F0048A">
        <w:rPr>
          <w:vertAlign w:val="superscript"/>
        </w:rPr>
        <w:t>18</w:t>
      </w:r>
      <w:r w:rsidRPr="00F0048A">
        <w:t>O</w:t>
      </w:r>
      <w:r w:rsidRPr="00F0048A">
        <w:rPr>
          <w:vertAlign w:val="subscript"/>
        </w:rPr>
        <w:t>w</w:t>
      </w:r>
      <w:r w:rsidRPr="00F0048A">
        <w:t xml:space="preserve"> values calculated after </w:t>
      </w:r>
      <w:r w:rsidR="00336F31">
        <w:fldChar w:fldCharType="begin" w:fldLock="1"/>
      </w:r>
      <w:r w:rsidR="00E11394">
        <w:instrText>ADDIN CSL_CITATION {"citationItems":[{"id":"ITEM-1","itemData":{"DOI":"10.1016/j.gca.2007.05.028","ISSN":"00167037","abstract":"The δ18O of ground water (-13.54 ± 0.05 ‰) and inorganically precipitated Holocene vein calcite (+14.56 ± 0.03 ‰) from Devils Hole cave #2 in southcentral Nevada yield an oxygen isotopic fractionation factor between calcite and water at 33.7 °C of 1.02849 ± 0.00013 (1000 ln αcalcite-water = 28.09 ± 0.13). Using the commonly accepted value of ∂(αcalcite-water)/∂T of -0.00020 K-1, this corresponds to a 1000 ln αcalcite-water value at 25 °C of 29.80, which differs substantially from the current accepted value of 28.3. Use of previously published oxygen isotopic fractionation factors would yield a calcite precipitation temperature in Devils Hole that is 8 °C lower than the measured ground water temperature. Alternatively, previously published fractionation factors would yield a δ18O of water, from which the calcite precipitated, that is too negative by 1.5 ‰ using a temperature of 33.7 °C. Several lines of evidence indicate that the geochemical environment of Devils Hole has been remarkably constant for at least 10 ka. Accordingly, a re-evaluation of calcite-water oxygen isotopic fractionation factor may be in order. Assuming the Devils Hole oxygen isotopic value of αcalcite-water represents thermodynamic equilibrium, many marine carbonates are precipitated with a δ18O value that is too low, apparently due to a kinetic isotopic fractionation that preferentially enriches 16O in the solid carbonate over 18O, feigning oxygen isotopic equilibrium.","author":[{"dropping-particle":"","family":"Coplen","given":"Tyler B.","non-dropping-particle":"","parse-names":false,"suffix":""}],"container-title":"Geochimica et Cosmochimica Acta","id":"ITEM-1","issue":"16","issued":{"date-parts":[["2007"]]},"page":"3948-3957","title":"Calibration of the calcite-water oxygen-isotope geothermometer at Devils Hole, Nevada, a natural laboratory","type":"article-journal","volume":"71"},"uris":["http://www.mendeley.com/documents/?uuid=0ead3c49-962e-4d48-8dc0-10570ce21121"]}],"mendeley":{"formattedCitation":"(Coplen, 2007)","plainTextFormattedCitation":"(Coplen, 2007)","previouslyFormattedCitation":"(Coplen, 2007)"},"properties":{"noteIndex":0},"schema":"https://github.com/citation-style-language/schema/raw/master/csl-citation.json"}</w:instrText>
      </w:r>
      <w:r w:rsidR="00336F31">
        <w:fldChar w:fldCharType="separate"/>
      </w:r>
      <w:r w:rsidR="00336F31" w:rsidRPr="00336F31">
        <w:rPr>
          <w:noProof/>
        </w:rPr>
        <w:t>(Coplen, 2007)</w:t>
      </w:r>
      <w:r w:rsidR="00336F31">
        <w:fldChar w:fldCharType="end"/>
      </w:r>
      <w:r w:rsidRPr="00F0048A">
        <w:t xml:space="preserve"> with the following equation: </w:t>
      </w:r>
    </w:p>
    <w:p w14:paraId="51312E60" w14:textId="7CD6423B" w:rsidR="002B782F" w:rsidRPr="00F0048A" w:rsidRDefault="002B782F" w:rsidP="002B782F">
      <w:pPr>
        <w:jc w:val="center"/>
      </w:pPr>
      <w:r w:rsidRPr="00F0048A">
        <w:t>1</w:t>
      </w:r>
      <w:r>
        <w:t xml:space="preserve">000 ln α = 17.4 (1000/T) </w:t>
      </w:r>
      <w:r>
        <w:sym w:font="Symbol" w:char="F02D"/>
      </w:r>
      <w:r>
        <w:t xml:space="preserve"> 28.6 </w:t>
      </w:r>
      <w:r>
        <w:tab/>
      </w:r>
      <w:r>
        <w:tab/>
      </w:r>
      <w:r w:rsidRPr="00F0048A">
        <w:t>(</w:t>
      </w:r>
      <w:r>
        <w:t>4</w:t>
      </w:r>
      <w:r w:rsidRPr="00F0048A">
        <w:t>)</w:t>
      </w:r>
    </w:p>
    <w:p w14:paraId="66CCFD80" w14:textId="77777777" w:rsidR="002B782F" w:rsidRPr="00F0048A" w:rsidRDefault="002B782F" w:rsidP="002B782F">
      <w:r w:rsidRPr="00F0048A">
        <w:t>where α and T are the fractionation factor, respectively the fractionation temperature in kelvin.</w:t>
      </w:r>
    </w:p>
    <w:p w14:paraId="61261587" w14:textId="77777777" w:rsidR="002B782F" w:rsidRPr="00F0048A" w:rsidRDefault="002B782F" w:rsidP="002B782F">
      <w:pPr>
        <w:pStyle w:val="KeinLeerraum"/>
        <w:spacing w:line="276" w:lineRule="auto"/>
        <w:jc w:val="both"/>
        <w:rPr>
          <w:rFonts w:ascii="Calibri" w:hAnsi="Calibri"/>
          <w:b/>
        </w:rPr>
      </w:pPr>
    </w:p>
    <w:p w14:paraId="0D14C9D1" w14:textId="38C802C8" w:rsidR="002B782F" w:rsidRPr="002B782F" w:rsidRDefault="0048155E" w:rsidP="002B782F">
      <w:pPr>
        <w:pStyle w:val="berschrift1"/>
      </w:pPr>
      <w:r>
        <w:t>S3</w:t>
      </w:r>
      <w:r w:rsidR="002B782F" w:rsidRPr="002B782F">
        <w:t xml:space="preserve"> Paleoelevation reconstruction</w:t>
      </w:r>
    </w:p>
    <w:p w14:paraId="718F0E5F" w14:textId="1B344C6F" w:rsidR="002B782F" w:rsidRPr="002B782F" w:rsidRDefault="002B782F" w:rsidP="002B782F">
      <w:pPr>
        <w:rPr>
          <w:rFonts w:asciiTheme="minorHAnsi" w:hAnsiTheme="minorHAnsi" w:cstheme="minorHAnsi"/>
        </w:rPr>
      </w:pPr>
      <w:r w:rsidRPr="002B782F">
        <w:rPr>
          <w:rFonts w:asciiTheme="minorHAnsi" w:hAnsiTheme="minorHAnsi" w:cstheme="minorHAnsi"/>
        </w:rPr>
        <w:t>Paleoelevation estimates were derived from the relative difference in precipitation 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 xml:space="preserve"> values between the near sea level sites (Swiss Molasse Basin; SMB) and the high-elevation Simplon Fault Zone (SFZ) (Table </w:t>
      </w:r>
      <w:r w:rsidR="0048155E">
        <w:rPr>
          <w:rFonts w:asciiTheme="minorHAnsi" w:hAnsiTheme="minorHAnsi" w:cstheme="minorHAnsi"/>
        </w:rPr>
        <w:t>S5</w:t>
      </w:r>
      <w:r w:rsidRPr="002B782F">
        <w:rPr>
          <w:rFonts w:asciiTheme="minorHAnsi" w:hAnsiTheme="minorHAnsi" w:cstheme="minorHAnsi"/>
        </w:rPr>
        <w:t>). For comparison we also show paleoelevation estimates for the Fontannen 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 xml:space="preserve"> record published in Campani et al. (2012) based on 1) a mean annual temperature of 21°C as derived from paleobotanical data (</w:t>
      </w:r>
      <w:r w:rsidR="00E11394">
        <w:rPr>
          <w:rFonts w:asciiTheme="minorHAnsi" w:hAnsiTheme="minorHAnsi" w:cstheme="minorHAnsi"/>
        </w:rPr>
        <w:t>“</w:t>
      </w:r>
      <w:r w:rsidRPr="002B782F">
        <w:rPr>
          <w:rFonts w:asciiTheme="minorHAnsi" w:hAnsiTheme="minorHAnsi" w:cstheme="minorHAnsi"/>
        </w:rPr>
        <w:t>Fontannen 2012</w:t>
      </w:r>
      <w:r w:rsidR="00E11394">
        <w:rPr>
          <w:rFonts w:asciiTheme="minorHAnsi" w:hAnsiTheme="minorHAnsi" w:cstheme="minorHAnsi"/>
        </w:rPr>
        <w:t>”</w:t>
      </w:r>
      <w:r w:rsidRPr="002B782F">
        <w:rPr>
          <w:rFonts w:asciiTheme="minorHAnsi" w:hAnsiTheme="minorHAnsi" w:cstheme="minorHAnsi"/>
        </w:rPr>
        <w:t>), and 2) the Δ</w:t>
      </w:r>
      <w:r w:rsidRPr="002B782F">
        <w:rPr>
          <w:rFonts w:asciiTheme="minorHAnsi" w:hAnsiTheme="minorHAnsi" w:cstheme="minorHAnsi"/>
          <w:vertAlign w:val="subscript"/>
        </w:rPr>
        <w:t>47</w:t>
      </w:r>
      <w:r w:rsidRPr="002B782F">
        <w:rPr>
          <w:rFonts w:asciiTheme="minorHAnsi" w:hAnsiTheme="minorHAnsi" w:cstheme="minorHAnsi"/>
        </w:rPr>
        <w:t>-based carbonate formation temperature (</w:t>
      </w:r>
      <w:r w:rsidR="00E11394">
        <w:rPr>
          <w:rFonts w:asciiTheme="minorHAnsi" w:hAnsiTheme="minorHAnsi" w:cstheme="minorHAnsi"/>
        </w:rPr>
        <w:t>“</w:t>
      </w:r>
      <w:r w:rsidRPr="002B782F">
        <w:rPr>
          <w:rFonts w:asciiTheme="minorHAnsi" w:hAnsiTheme="minorHAnsi" w:cstheme="minorHAnsi"/>
        </w:rPr>
        <w:t>Fontannen</w:t>
      </w:r>
      <w:r w:rsidR="00E11394">
        <w:rPr>
          <w:rFonts w:asciiTheme="minorHAnsi" w:hAnsiTheme="minorHAnsi" w:cstheme="minorHAnsi"/>
        </w:rPr>
        <w:t>”</w:t>
      </w:r>
      <w:r w:rsidRPr="002B782F">
        <w:rPr>
          <w:rFonts w:asciiTheme="minorHAnsi" w:hAnsiTheme="minorHAnsi" w:cstheme="minorHAnsi"/>
        </w:rPr>
        <w:t>) as measured in this study. For near sea level precipitation 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 xml:space="preserve"> estimates we calculated the 1</w:t>
      </w:r>
      <w:r w:rsidRPr="002B782F">
        <w:rPr>
          <w:rFonts w:asciiTheme="minorHAnsi" w:hAnsiTheme="minorHAnsi" w:cstheme="minorHAnsi"/>
          <w:vertAlign w:val="superscript"/>
        </w:rPr>
        <w:t>st</w:t>
      </w:r>
      <w:r w:rsidRPr="002B782F">
        <w:rPr>
          <w:rFonts w:asciiTheme="minorHAnsi" w:hAnsiTheme="minorHAnsi" w:cstheme="minorHAnsi"/>
        </w:rPr>
        <w:t xml:space="preserve"> quartile (lowest 25%) mean of the SMB 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 xml:space="preserve">w </w:t>
      </w:r>
      <w:r w:rsidRPr="002B782F">
        <w:rPr>
          <w:rFonts w:asciiTheme="minorHAnsi" w:hAnsiTheme="minorHAnsi" w:cstheme="minorHAnsi"/>
        </w:rPr>
        <w:t>values averaged per horizons for the time interval 15.5–14.0 Ma (number of individual measurements n</w:t>
      </w:r>
      <w:r w:rsidRPr="002B782F">
        <w:rPr>
          <w:rFonts w:asciiTheme="minorHAnsi" w:hAnsiTheme="minorHAnsi" w:cstheme="minorHAnsi"/>
          <w:vertAlign w:val="subscript"/>
        </w:rPr>
        <w:t xml:space="preserve">Fontannen </w:t>
      </w:r>
      <w:r w:rsidRPr="002B782F">
        <w:rPr>
          <w:rFonts w:asciiTheme="minorHAnsi" w:hAnsiTheme="minorHAnsi" w:cstheme="minorHAnsi"/>
        </w:rPr>
        <w:t>= 47; n</w:t>
      </w:r>
      <w:r w:rsidRPr="002B782F">
        <w:rPr>
          <w:rFonts w:asciiTheme="minorHAnsi" w:hAnsiTheme="minorHAnsi" w:cstheme="minorHAnsi"/>
          <w:vertAlign w:val="subscript"/>
        </w:rPr>
        <w:t xml:space="preserve">Jona </w:t>
      </w:r>
      <w:r w:rsidRPr="002B782F">
        <w:rPr>
          <w:rFonts w:asciiTheme="minorHAnsi" w:hAnsiTheme="minorHAnsi" w:cstheme="minorHAnsi"/>
        </w:rPr>
        <w:t>= 100; n</w:t>
      </w:r>
      <w:r w:rsidRPr="002B782F">
        <w:rPr>
          <w:rFonts w:asciiTheme="minorHAnsi" w:hAnsiTheme="minorHAnsi" w:cstheme="minorHAnsi"/>
          <w:vertAlign w:val="subscript"/>
        </w:rPr>
        <w:t xml:space="preserve">Aabach </w:t>
      </w:r>
      <w:r w:rsidRPr="002B782F">
        <w:rPr>
          <w:rFonts w:asciiTheme="minorHAnsi" w:hAnsiTheme="minorHAnsi" w:cstheme="minorHAnsi"/>
        </w:rPr>
        <w:t>= 57). Relative differences in precipitation 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 xml:space="preserve"> values (</w:t>
      </w:r>
      <w:r w:rsidRPr="002B782F">
        <w:rPr>
          <w:rFonts w:asciiTheme="minorHAnsi" w:eastAsiaTheme="minorEastAsia" w:hAnsiTheme="minorHAnsi" w:cstheme="minorHAnsi"/>
        </w:rPr>
        <w:t>Δ(δ</w:t>
      </w:r>
      <w:r w:rsidRPr="002B782F">
        <w:rPr>
          <w:rFonts w:asciiTheme="minorHAnsi" w:eastAsiaTheme="minorEastAsia" w:hAnsiTheme="minorHAnsi" w:cstheme="minorHAnsi"/>
          <w:vertAlign w:val="superscript"/>
        </w:rPr>
        <w:t>18</w:t>
      </w:r>
      <w:r w:rsidRPr="002B782F">
        <w:rPr>
          <w:rFonts w:asciiTheme="minorHAnsi" w:eastAsiaTheme="minorEastAsia" w:hAnsiTheme="minorHAnsi" w:cstheme="minorHAnsi"/>
        </w:rPr>
        <w:t>O</w:t>
      </w:r>
      <w:r w:rsidRPr="002B782F">
        <w:rPr>
          <w:rFonts w:asciiTheme="minorHAnsi" w:eastAsiaTheme="minorEastAsia" w:hAnsiTheme="minorHAnsi" w:cstheme="minorHAnsi"/>
          <w:vertAlign w:val="subscript"/>
        </w:rPr>
        <w:t>w</w:t>
      </w:r>
      <w:r w:rsidRPr="002B782F">
        <w:rPr>
          <w:rFonts w:asciiTheme="minorHAnsi" w:eastAsiaTheme="minorEastAsia" w:hAnsiTheme="minorHAnsi" w:cstheme="minorHAnsi"/>
        </w:rPr>
        <w:t>))</w:t>
      </w:r>
      <w:r w:rsidRPr="002B782F">
        <w:rPr>
          <w:rFonts w:asciiTheme="minorHAnsi" w:hAnsiTheme="minorHAnsi" w:cstheme="minorHAnsi"/>
        </w:rPr>
        <w:t xml:space="preserve"> between near sea level SMB and the high-elevation SFZ were calculated according to</w:t>
      </w:r>
    </w:p>
    <w:p w14:paraId="18273C3D" w14:textId="3053A98C" w:rsidR="002B782F" w:rsidRPr="002B782F" w:rsidRDefault="002B782F" w:rsidP="002B782F">
      <w:pPr>
        <w:jc w:val="center"/>
        <w:rPr>
          <w:rFonts w:asciiTheme="minorHAnsi" w:hAnsiTheme="minorHAnsi" w:cstheme="minorHAnsi"/>
        </w:rPr>
      </w:pPr>
      <w:r w:rsidRPr="002B782F">
        <w:rPr>
          <w:rFonts w:asciiTheme="minorHAnsi" w:eastAsiaTheme="minorEastAsia" w:hAnsiTheme="minorHAnsi" w:cstheme="minorHAnsi"/>
        </w:rPr>
        <w:t>Δ(δ</w:t>
      </w:r>
      <w:r w:rsidRPr="002B782F">
        <w:rPr>
          <w:rFonts w:asciiTheme="minorHAnsi" w:eastAsiaTheme="minorEastAsia" w:hAnsiTheme="minorHAnsi" w:cstheme="minorHAnsi"/>
          <w:vertAlign w:val="superscript"/>
        </w:rPr>
        <w:t>18</w:t>
      </w:r>
      <w:r w:rsidRPr="002B782F">
        <w:rPr>
          <w:rFonts w:asciiTheme="minorHAnsi" w:eastAsiaTheme="minorEastAsia" w:hAnsiTheme="minorHAnsi" w:cstheme="minorHAnsi"/>
        </w:rPr>
        <w:t>O</w:t>
      </w:r>
      <w:r w:rsidRPr="002B782F">
        <w:rPr>
          <w:rFonts w:asciiTheme="minorHAnsi" w:eastAsiaTheme="minorEastAsia" w:hAnsiTheme="minorHAnsi" w:cstheme="minorHAnsi"/>
          <w:vertAlign w:val="subscript"/>
        </w:rPr>
        <w:t>w</w:t>
      </w:r>
      <w:r w:rsidRPr="002B782F">
        <w:rPr>
          <w:rFonts w:asciiTheme="minorHAnsi" w:eastAsiaTheme="minorEastAsia" w:hAnsiTheme="minorHAnsi" w:cstheme="minorHAnsi"/>
        </w:rPr>
        <w:t>) = δ</w:t>
      </w:r>
      <w:r w:rsidRPr="002B782F">
        <w:rPr>
          <w:rFonts w:asciiTheme="minorHAnsi" w:eastAsiaTheme="minorEastAsia" w:hAnsiTheme="minorHAnsi" w:cstheme="minorHAnsi"/>
          <w:vertAlign w:val="superscript"/>
        </w:rPr>
        <w:t>18</w:t>
      </w:r>
      <w:r w:rsidRPr="002B782F">
        <w:rPr>
          <w:rFonts w:asciiTheme="minorHAnsi" w:eastAsiaTheme="minorEastAsia" w:hAnsiTheme="minorHAnsi" w:cstheme="minorHAnsi"/>
        </w:rPr>
        <w:t>O</w:t>
      </w:r>
      <w:r w:rsidRPr="002B782F">
        <w:rPr>
          <w:rFonts w:asciiTheme="minorHAnsi" w:eastAsiaTheme="minorEastAsia" w:hAnsiTheme="minorHAnsi" w:cstheme="minorHAnsi"/>
          <w:vertAlign w:val="subscript"/>
        </w:rPr>
        <w:t>w</w:t>
      </w:r>
      <w:r>
        <w:rPr>
          <w:rFonts w:asciiTheme="minorHAnsi" w:eastAsiaTheme="minorEastAsia" w:hAnsiTheme="minorHAnsi" w:cstheme="minorHAnsi"/>
        </w:rPr>
        <w:t xml:space="preserve"> (SFZ) </w:t>
      </w:r>
      <w:r>
        <w:rPr>
          <w:rFonts w:asciiTheme="minorHAnsi" w:eastAsiaTheme="minorEastAsia" w:hAnsiTheme="minorHAnsi" w:cstheme="minorHAnsi"/>
        </w:rPr>
        <w:sym w:font="Symbol" w:char="F02D"/>
      </w:r>
      <w:r w:rsidRPr="002B782F">
        <w:rPr>
          <w:rFonts w:asciiTheme="minorHAnsi" w:eastAsiaTheme="minorEastAsia" w:hAnsiTheme="minorHAnsi" w:cstheme="minorHAnsi"/>
        </w:rPr>
        <w:t xml:space="preserve"> δ</w:t>
      </w:r>
      <w:r w:rsidRPr="002B782F">
        <w:rPr>
          <w:rFonts w:asciiTheme="minorHAnsi" w:eastAsiaTheme="minorEastAsia" w:hAnsiTheme="minorHAnsi" w:cstheme="minorHAnsi"/>
          <w:vertAlign w:val="superscript"/>
        </w:rPr>
        <w:t>18</w:t>
      </w:r>
      <w:r w:rsidRPr="002B782F">
        <w:rPr>
          <w:rFonts w:asciiTheme="minorHAnsi" w:eastAsiaTheme="minorEastAsia" w:hAnsiTheme="minorHAnsi" w:cstheme="minorHAnsi"/>
        </w:rPr>
        <w:t>O</w:t>
      </w:r>
      <w:r w:rsidRPr="002B782F">
        <w:rPr>
          <w:rFonts w:asciiTheme="minorHAnsi" w:eastAsiaTheme="minorEastAsia" w:hAnsiTheme="minorHAnsi" w:cstheme="minorHAnsi"/>
          <w:vertAlign w:val="subscript"/>
        </w:rPr>
        <w:t>w</w:t>
      </w:r>
      <w:r w:rsidRPr="002B782F">
        <w:rPr>
          <w:rFonts w:asciiTheme="minorHAnsi" w:eastAsiaTheme="minorEastAsia" w:hAnsiTheme="minorHAnsi" w:cstheme="minorHAnsi"/>
        </w:rPr>
        <w:t xml:space="preserve"> (SMB)</w:t>
      </w:r>
      <w:r w:rsidRPr="002B782F">
        <w:rPr>
          <w:rFonts w:asciiTheme="minorHAnsi" w:eastAsiaTheme="minorEastAsia" w:hAnsiTheme="minorHAnsi" w:cstheme="minorHAnsi"/>
        </w:rPr>
        <w:tab/>
        <w:t>(</w:t>
      </w:r>
      <w:r>
        <w:rPr>
          <w:rFonts w:asciiTheme="minorHAnsi" w:eastAsiaTheme="minorEastAsia" w:hAnsiTheme="minorHAnsi" w:cstheme="minorHAnsi"/>
        </w:rPr>
        <w:t>5</w:t>
      </w:r>
      <w:r w:rsidRPr="002B782F">
        <w:rPr>
          <w:rFonts w:asciiTheme="minorHAnsi" w:eastAsiaTheme="minorEastAsia" w:hAnsiTheme="minorHAnsi" w:cstheme="minorHAnsi"/>
        </w:rPr>
        <w:t>)</w:t>
      </w:r>
    </w:p>
    <w:p w14:paraId="343EAF07" w14:textId="47368237" w:rsidR="002B782F" w:rsidRPr="002B782F" w:rsidRDefault="002B782F" w:rsidP="002B782F">
      <w:pPr>
        <w:rPr>
          <w:rFonts w:asciiTheme="minorHAnsi" w:hAnsiTheme="minorHAnsi" w:cstheme="minorHAnsi"/>
        </w:rPr>
      </w:pPr>
      <w:r w:rsidRPr="002B782F">
        <w:rPr>
          <w:rFonts w:asciiTheme="minorHAnsi" w:hAnsiTheme="minorHAnsi" w:cstheme="minorHAnsi"/>
        </w:rPr>
        <w:t xml:space="preserve">In the next step, </w:t>
      </w:r>
      <w:r w:rsidRPr="002B782F">
        <w:rPr>
          <w:rFonts w:asciiTheme="minorHAnsi" w:eastAsiaTheme="minorEastAsia" w:hAnsiTheme="minorHAnsi" w:cstheme="minorHAnsi"/>
        </w:rPr>
        <w:t>Δ(δ</w:t>
      </w:r>
      <w:r w:rsidRPr="002B782F">
        <w:rPr>
          <w:rFonts w:asciiTheme="minorHAnsi" w:eastAsiaTheme="minorEastAsia" w:hAnsiTheme="minorHAnsi" w:cstheme="minorHAnsi"/>
          <w:vertAlign w:val="superscript"/>
        </w:rPr>
        <w:t>18</w:t>
      </w:r>
      <w:r w:rsidRPr="002B782F">
        <w:rPr>
          <w:rFonts w:asciiTheme="minorHAnsi" w:eastAsiaTheme="minorEastAsia" w:hAnsiTheme="minorHAnsi" w:cstheme="minorHAnsi"/>
        </w:rPr>
        <w:t>O</w:t>
      </w:r>
      <w:r w:rsidRPr="002B782F">
        <w:rPr>
          <w:rFonts w:asciiTheme="minorHAnsi" w:eastAsiaTheme="minorEastAsia" w:hAnsiTheme="minorHAnsi" w:cstheme="minorHAnsi"/>
          <w:vertAlign w:val="subscript"/>
        </w:rPr>
        <w:t>w</w:t>
      </w:r>
      <w:r w:rsidRPr="002B782F">
        <w:rPr>
          <w:rFonts w:asciiTheme="minorHAnsi" w:eastAsiaTheme="minorEastAsia" w:hAnsiTheme="minorHAnsi" w:cstheme="minorHAnsi"/>
        </w:rPr>
        <w:t xml:space="preserve">) values were converted </w:t>
      </w:r>
      <w:r w:rsidRPr="002B782F">
        <w:rPr>
          <w:rFonts w:asciiTheme="minorHAnsi" w:hAnsiTheme="minorHAnsi" w:cstheme="minorHAnsi"/>
        </w:rPr>
        <w:t xml:space="preserve">into relative elevation differences based on four different isotope lapse rates. Campani et al. (2012) describes a regional oxygen isotope lapse rate of -0.20 ‰/ 100 m averaged for the northern and southern Alps. This lapse rate is very similar to the proposed one for Europe by </w:t>
      </w:r>
      <w:r w:rsidR="00E11394">
        <w:rPr>
          <w:rFonts w:asciiTheme="minorHAnsi" w:hAnsiTheme="minorHAnsi" w:cstheme="minorHAnsi"/>
        </w:rPr>
        <w:fldChar w:fldCharType="begin" w:fldLock="1"/>
      </w:r>
      <w:r w:rsidR="00E11394">
        <w:rPr>
          <w:rFonts w:asciiTheme="minorHAnsi" w:hAnsiTheme="minorHAnsi" w:cstheme="minorHAnsi"/>
        </w:rPr>
        <w:instrText>ADDIN CSL_CITATION {"citationItems":[{"id":"ITEM-1","itemData":{"author":[{"dropping-particle":"","family":"Poage","given":"Michael A.","non-dropping-particle":"","parse-names":false,"suffix":""},{"dropping-particle":"","family":"Chamberlain","given":"C. Page","non-dropping-particle":"","parse-names":false,"suffix":""}],"container-title":"American Journal of Science","id":"ITEM-1","issue":"1","issued":{"date-parts":[["2001"]]},"page":"1–15","title":"Empirical relationships between elevation and the stable isotope composition of precipitation and surface waters: Considerations for studies of paleoelevation change","title-short":"Empirical relationships between elevation and the ","type":"article-journal","volume":"301"},"uris":["http://www.mendeley.com/documents/?uuid=768c5b98-8876-4982-af56-441a3d7781a3"]}],"mendeley":{"formattedCitation":"(Poage and Chamberlain, 2001)","manualFormatting":"(Poage and Chamberlain, 2001; ","plainTextFormattedCitation":"(Poage and Chamberlain, 2001)","previouslyFormattedCitation":"(Poage and Chamberlain, 2001)"},"properties":{"noteIndex":0},"schema":"https://github.com/citation-style-language/schema/raw/master/csl-citation.json"}</w:instrText>
      </w:r>
      <w:r w:rsidR="00E11394">
        <w:rPr>
          <w:rFonts w:asciiTheme="minorHAnsi" w:hAnsiTheme="minorHAnsi" w:cstheme="minorHAnsi"/>
        </w:rPr>
        <w:fldChar w:fldCharType="separate"/>
      </w:r>
      <w:r w:rsidR="00E11394" w:rsidRPr="00E11394">
        <w:rPr>
          <w:rFonts w:asciiTheme="minorHAnsi" w:hAnsiTheme="minorHAnsi" w:cstheme="minorHAnsi"/>
          <w:noProof/>
        </w:rPr>
        <w:t>(Poage and Chamberlain, 2001</w:t>
      </w:r>
      <w:r w:rsidR="00E11394">
        <w:rPr>
          <w:rFonts w:asciiTheme="minorHAnsi" w:hAnsiTheme="minorHAnsi" w:cstheme="minorHAnsi"/>
          <w:noProof/>
        </w:rPr>
        <w:t xml:space="preserve">; </w:t>
      </w:r>
      <w:r w:rsidR="00E11394">
        <w:rPr>
          <w:rFonts w:asciiTheme="minorHAnsi" w:hAnsiTheme="minorHAnsi" w:cstheme="minorHAnsi"/>
        </w:rPr>
        <w:fldChar w:fldCharType="end"/>
      </w:r>
      <w:r w:rsidRPr="002B782F">
        <w:rPr>
          <w:rFonts w:asciiTheme="minorHAnsi" w:hAnsiTheme="minorHAnsi" w:cstheme="minorHAnsi"/>
        </w:rPr>
        <w:noBreakHyphen/>
        <w:t xml:space="preserve">0.21‰/ 100 m). For </w:t>
      </w:r>
      <w:r w:rsidRPr="002B782F">
        <w:rPr>
          <w:rFonts w:asciiTheme="minorHAnsi" w:hAnsiTheme="minorHAnsi" w:cstheme="minorHAnsi"/>
        </w:rPr>
        <w:lastRenderedPageBreak/>
        <w:t xml:space="preserve">comparison we also give paleoelevations calculated with the </w:t>
      </w:r>
      <w:r w:rsidRPr="002B782F">
        <w:rPr>
          <w:rFonts w:asciiTheme="minorHAnsi" w:eastAsiaTheme="minorEastAsia" w:hAnsiTheme="minorHAnsi" w:cstheme="minorHAnsi"/>
        </w:rPr>
        <w:t xml:space="preserve">ECHAM5-wiso iGCM oxygen isotope lapse rate </w:t>
      </w:r>
      <w:r w:rsidR="00E11394">
        <w:rPr>
          <w:rFonts w:asciiTheme="minorHAnsi" w:eastAsiaTheme="minorEastAsia" w:hAnsiTheme="minorHAnsi" w:cstheme="minorHAnsi"/>
        </w:rPr>
        <w:fldChar w:fldCharType="begin" w:fldLock="1"/>
      </w:r>
      <w:r w:rsidR="00E11394">
        <w:rPr>
          <w:rFonts w:asciiTheme="minorHAnsi" w:eastAsiaTheme="minorEastAsia" w:hAnsiTheme="minorHAnsi" w:cstheme="minorHAnsi"/>
        </w:rPr>
        <w:instrText>ADDIN CSL_CITATION {"citationItems":[{"id":"ITEM-1","itemData":{"DOI":"10.1029/2019GL086046","ISSN":"19448007","abstract":"Many stable isotope paleoaltimetry studies have focused on paleoelevation reconstructions of orogenic plateaus such as the Tibetan or Andean Plateaus. We address the opportunities and challenges of applying stable isotope paleoaltimetry to “smaller” orogens. We do this using a high-resolution isotope tracking general circulation model (ECHAM5-wiso) and explore the precipitation δ18O (δ18Op) signal of Cenozoic paleoclimate and topographic change in the European Alps. Results predict a maximum δ18Op change of 4–5‰ (relative to present day) during topographic development of the Alps. This signal of topographic change has the same magnitude as changes in δ18Op values resulting from Pliocene and Last Glacial Maximum global climatic change. Despite the similar magnitude of the isotopic signals resulting from topographic and paleoclimate changes, their spatial patterns across central Europe differ. Our results suggest that an integration of paleoclimate modeling, multiproxy approaches, and low-elevation reference proxy records distal from an orogen improve topographic reconstructions.","author":[{"dropping-particle":"","family":"Botsyun","given":"S.","non-dropping-particle":"","parse-names":false,"suffix":""},{"dropping-particle":"","family":"Ehlers","given":"T. A.","non-dropping-particle":"","parse-names":false,"suffix":""},{"dropping-particle":"","family":"Mutz","given":"S. G.","non-dropping-particle":"","parse-names":false,"suffix":""},{"dropping-particle":"","family":"Methner","given":"K.","non-dropping-particle":"","parse-names":false,"suffix":""},{"dropping-particle":"","family":"Krsnik","given":"E.","non-dropping-particle":"","parse-names":false,"suffix":""},{"dropping-particle":"","family":"Mulch","given":"A.","non-dropping-particle":"","parse-names":false,"suffix":""}],"container-title":"Geophysical Research Letters","id":"ITEM-1","issue":"4","issued":{"date-parts":[["2020"]]},"title":"Opportunities and Challenges for Paleoaltimetry in “Small” Orogens: Insights From the European Alps","type":"article-journal","volume":"47"},"uris":["http://www.mendeley.com/documents/?uuid=ff7d1a13-a459-41e1-93ee-1b3908a79792"]}],"mendeley":{"formattedCitation":"(Botsyun et al., 2020)","manualFormatting":"(Botsyun et al., 2020; ","plainTextFormattedCitation":"(Botsyun et al., 2020)","previouslyFormattedCitation":"(Botsyun et al., 2020)"},"properties":{"noteIndex":0},"schema":"https://github.com/citation-style-language/schema/raw/master/csl-citation.json"}</w:instrText>
      </w:r>
      <w:r w:rsidR="00E11394">
        <w:rPr>
          <w:rFonts w:asciiTheme="minorHAnsi" w:eastAsiaTheme="minorEastAsia" w:hAnsiTheme="minorHAnsi" w:cstheme="minorHAnsi"/>
        </w:rPr>
        <w:fldChar w:fldCharType="separate"/>
      </w:r>
      <w:r w:rsidR="00E11394" w:rsidRPr="00E11394">
        <w:rPr>
          <w:rFonts w:asciiTheme="minorHAnsi" w:eastAsiaTheme="minorEastAsia" w:hAnsiTheme="minorHAnsi" w:cstheme="minorHAnsi"/>
          <w:noProof/>
        </w:rPr>
        <w:t>(Botsyun et al., 2020</w:t>
      </w:r>
      <w:r w:rsidR="00E11394">
        <w:rPr>
          <w:rFonts w:asciiTheme="minorHAnsi" w:eastAsiaTheme="minorEastAsia" w:hAnsiTheme="minorHAnsi" w:cstheme="minorHAnsi"/>
          <w:noProof/>
        </w:rPr>
        <w:t xml:space="preserve">; </w:t>
      </w:r>
      <w:r w:rsidR="00E11394">
        <w:rPr>
          <w:rFonts w:asciiTheme="minorHAnsi" w:eastAsiaTheme="minorEastAsia" w:hAnsiTheme="minorHAnsi" w:cstheme="minorHAnsi"/>
        </w:rPr>
        <w:fldChar w:fldCharType="end"/>
      </w:r>
      <w:r w:rsidRPr="002B782F">
        <w:rPr>
          <w:rFonts w:asciiTheme="minorHAnsi" w:hAnsiTheme="minorHAnsi" w:cstheme="minorHAnsi"/>
        </w:rPr>
        <w:noBreakHyphen/>
        <w:t>0.24‰/ 100 m)</w:t>
      </w:r>
      <w:r w:rsidR="00E11394">
        <w:rPr>
          <w:rFonts w:asciiTheme="minorHAnsi" w:eastAsiaTheme="minorEastAsia" w:hAnsiTheme="minorHAnsi" w:cstheme="minorHAnsi"/>
        </w:rPr>
        <w:t xml:space="preserve"> </w:t>
      </w:r>
      <w:r w:rsidRPr="002B782F">
        <w:rPr>
          <w:rFonts w:asciiTheme="minorHAnsi" w:hAnsiTheme="minorHAnsi" w:cstheme="minorHAnsi"/>
        </w:rPr>
        <w:t xml:space="preserve">and the thermodynamic </w:t>
      </w:r>
      <w:r w:rsidRPr="002B782F">
        <w:rPr>
          <w:rFonts w:asciiTheme="minorHAnsi" w:eastAsiaTheme="minorEastAsia" w:hAnsiTheme="minorHAnsi" w:cstheme="minorHAnsi"/>
        </w:rPr>
        <w:t>model based lapse rate</w:t>
      </w:r>
      <w:r w:rsidRPr="002B782F">
        <w:rPr>
          <w:rFonts w:asciiTheme="minorHAnsi" w:hAnsiTheme="minorHAnsi" w:cstheme="minorHAnsi"/>
        </w:rPr>
        <w:t xml:space="preserve"> after </w:t>
      </w:r>
      <w:r w:rsidR="00E11394">
        <w:rPr>
          <w:rFonts w:asciiTheme="minorHAnsi" w:hAnsiTheme="minorHAnsi" w:cstheme="minorHAnsi"/>
        </w:rPr>
        <w:fldChar w:fldCharType="begin" w:fldLock="1"/>
      </w:r>
      <w:r w:rsidR="00E11394">
        <w:rPr>
          <w:rFonts w:asciiTheme="minorHAnsi" w:hAnsiTheme="minorHAnsi" w:cstheme="minorHAnsi"/>
        </w:rPr>
        <w:instrText>ADDIN CSL_CITATION {"citationItems":[{"id":"ITEM-1","itemData":{"DOI":"10.1016/S0012-821X(01)00324-7","ISSN":"0012821X","abstract":"The change in oxygen isotopic composition of precipitation is modeled using equilibrium fractionation during Rayleigh distillation linked to the thermodynamics of atmospheric ascent and water vapor condensation. The primary controllers of the vertical variation in isotopic composition with elevation are the low elevation temperature and relative humidity as these control the vertical distribution of condensation. An empirical fit of precipitation versus model condensation based on Alpine stations is derived. This fit is represented in the model as the weighted mean composition of condensation within a 1000 m thick air parcel 1500±500 m above the ground surface and is used for all other regions. Comparison of model versus observed modern precipitation reveals a close fit, particularly of more highly elevated sites. Comparison of modern waters in the Himalayas and southern Tibet with model predictions, particularly as revealed by comparison of observed and predicted hypsometry provides additional support to the validity of the model. Finally, application of this model to estimates of paleo-waters in the Himalayas and southern Tibet reveals that this region had already achieved its present hypsometry by the Late Miocene, about 10 Ma ago. © 2001 Published by Elsevier Science B.V.","author":[{"dropping-particle":"","family":"Rowley","given":"David B.","non-dropping-particle":"","parse-names":false,"suffix":""},{"dropping-particle":"","family":"Pierrehumbert","given":"Raymond T.","non-dropping-particle":"","parse-names":false,"suffix":""},{"dropping-particle":"","family":"Currie","given":"Brian S.","non-dropping-particle":"","parse-names":false,"suffix":""}],"container-title":"Earth and Planetary Science Letters","id":"ITEM-1","issue":"1-2","issued":{"date-parts":[["2001"]]},"page":"253-268","title":"A new approach to stable isotope-based paleoaltimetry: Implications for paleoaltimetry and paleohypsometry of the High Himalaya since the late Miocene","type":"article-journal","volume":"188"},"uris":["http://www.mendeley.com/documents/?uuid=bd597b11-1208-4271-a3c7-4305a97fbe47"]}],"mendeley":{"formattedCitation":"(Rowley et al., 2001)","plainTextFormattedCitation":"(Rowley et al., 2001)","previouslyFormattedCitation":"(Rowley et al., 2001)"},"properties":{"noteIndex":0},"schema":"https://github.com/citation-style-language/schema/raw/master/csl-citation.json"}</w:instrText>
      </w:r>
      <w:r w:rsidR="00E11394">
        <w:rPr>
          <w:rFonts w:asciiTheme="minorHAnsi" w:hAnsiTheme="minorHAnsi" w:cstheme="minorHAnsi"/>
        </w:rPr>
        <w:fldChar w:fldCharType="separate"/>
      </w:r>
      <w:r w:rsidR="00E11394" w:rsidRPr="00E11394">
        <w:rPr>
          <w:rFonts w:asciiTheme="minorHAnsi" w:hAnsiTheme="minorHAnsi" w:cstheme="minorHAnsi"/>
          <w:noProof/>
        </w:rPr>
        <w:t>(Rowley et al., 2001)</w:t>
      </w:r>
      <w:r w:rsidR="00E11394">
        <w:rPr>
          <w:rFonts w:asciiTheme="minorHAnsi" w:hAnsiTheme="minorHAnsi" w:cstheme="minorHAnsi"/>
        </w:rPr>
        <w:fldChar w:fldCharType="end"/>
      </w:r>
      <w:r w:rsidRPr="002B782F">
        <w:rPr>
          <w:rFonts w:asciiTheme="minorHAnsi" w:hAnsiTheme="minorHAnsi" w:cstheme="minorHAnsi"/>
        </w:rPr>
        <w:t xml:space="preserve"> (see also </w:t>
      </w:r>
      <w:r w:rsidR="00E11394">
        <w:rPr>
          <w:rFonts w:asciiTheme="minorHAnsi" w:hAnsiTheme="minorHAnsi" w:cstheme="minorHAnsi"/>
        </w:rPr>
        <w:fldChar w:fldCharType="begin" w:fldLock="1"/>
      </w:r>
      <w:r w:rsidR="00E11394">
        <w:rPr>
          <w:rFonts w:asciiTheme="minorHAnsi" w:hAnsiTheme="minorHAnsi" w:cstheme="minorHAnsi"/>
        </w:rPr>
        <w:instrText>ADDIN CSL_CITATION {"citationItems":[{"id":"ITEM-1","itemData":{"DOI":"10.1146/annurev.earth.35.031306.140155","ISBN":"0824320352","ISSN":"00846597","abstract":"The quantitative estimation of paleoaltitude has become an increasing focus of Earth scientists because surface elevation provides constraints on the geodynamic mechanisms operating in mountain belts, as well as the influence of mountain belt growth on regional and global climate. The general observation of decreasing δ18O and δ 2H values in rainfall as elevation increases has been used in both empirical and theoretical approaches to estimate paleoelevation. These studies rely on the preservation of ancient surface water compositions in authigenic minerals to reconstruct the elevation at the time the minerals were forming. In this review we provide a theory behind the application of stable isotope-based approaches to paleoaltimetry. We apply this theory to test cases using modern precipitation and surface water isotopic compositions to demonstrate that it generally accords well with observations. Examples of the application of paleoaltimetry techniques to Himalaya-Tibet and the Andes are discussed with implications for processes that cause surface uplift. Copyright © 2007 by Annual Reviews. All rights reserved.","author":[{"dropping-particle":"","family":"Rowley","given":"David B.","non-dropping-particle":"","parse-names":false,"suffix":""},{"dropping-particle":"","family":"Garzione","given":"Carmala N.","non-dropping-particle":"","parse-names":false,"suffix":""}],"container-title":"Annual Review of Earth and Planetary Sciences","id":"ITEM-1","issue":"January","issued":{"date-parts":[["2007"]]},"page":"463-508","title":"Stable isotope-based paleoaltimetry","type":"article-journal","volume":"35"},"uris":["http://www.mendeley.com/documents/?uuid=836af5c2-e3e2-4ddb-adcd-615c74436a79"]}],"mendeley":{"formattedCitation":"(Rowley and Garzione, 2007)","manualFormatting":"Rowley and Garzione, 2007)","plainTextFormattedCitation":"(Rowley and Garzione, 2007)","previouslyFormattedCitation":"(Rowley and Garzione, 2007)"},"properties":{"noteIndex":0},"schema":"https://github.com/citation-style-language/schema/raw/master/csl-citation.json"}</w:instrText>
      </w:r>
      <w:r w:rsidR="00E11394">
        <w:rPr>
          <w:rFonts w:asciiTheme="minorHAnsi" w:hAnsiTheme="minorHAnsi" w:cstheme="minorHAnsi"/>
        </w:rPr>
        <w:fldChar w:fldCharType="separate"/>
      </w:r>
      <w:r w:rsidR="00E11394" w:rsidRPr="00E11394">
        <w:rPr>
          <w:rFonts w:asciiTheme="minorHAnsi" w:hAnsiTheme="minorHAnsi" w:cstheme="minorHAnsi"/>
          <w:noProof/>
        </w:rPr>
        <w:t>Rowley and Garzione, 2007)</w:t>
      </w:r>
      <w:r w:rsidR="00E11394">
        <w:rPr>
          <w:rFonts w:asciiTheme="minorHAnsi" w:hAnsiTheme="minorHAnsi" w:cstheme="minorHAnsi"/>
        </w:rPr>
        <w:fldChar w:fldCharType="end"/>
      </w:r>
      <w:r w:rsidRPr="002B782F">
        <w:rPr>
          <w:rFonts w:asciiTheme="minorHAnsi" w:hAnsiTheme="minorHAnsi" w:cstheme="minorHAnsi"/>
        </w:rPr>
        <w:t xml:space="preserve"> which was defined in </w:t>
      </w:r>
      <w:r w:rsidR="00E11394">
        <w:rPr>
          <w:rFonts w:asciiTheme="minorHAnsi" w:hAnsiTheme="minorHAnsi" w:cstheme="minorHAnsi"/>
        </w:rPr>
        <w:fldChar w:fldCharType="begin" w:fldLock="1"/>
      </w:r>
      <w:r w:rsidR="009E2765">
        <w:rPr>
          <w:rFonts w:asciiTheme="minorHAnsi" w:hAnsiTheme="minorHAnsi" w:cstheme="minorHAnsi"/>
        </w:rPr>
        <w:instrText xml:space="preserve">ADDIN CSL_CITATION {"citationItems":[{"id":"ITEM-1","itemData":{"DOI":"10.1130/G21170.1","ISSN":"00917613","abstract":"The stable isotope composition of pedogenic and early diagenetic carbonates from the Oiyug Basin of southern Tibet allows model estimates of the paleoaltimetry of the Tibetan Plateau for the middle Miocene. Pedogenic calcium carbonate nodules have average δ18Occ values of - 19.61‰, whereas nodular lacustrine dolomites range in composition from -7.61‰ to -5.5‰. The most negative of the carbonate isotope values can be used to constrain the oxygen isotope composition of paleoprecipitation, from which model estimates of paleoaltimetry can be made. Model results indicate that the southern Tibetan Plateau achieved elevations of </w:instrText>
      </w:r>
      <w:r w:rsidR="009E2765">
        <w:rPr>
          <w:rFonts w:ascii="Cambria Math" w:hAnsi="Cambria Math" w:cs="Cambria Math"/>
        </w:rPr>
        <w:instrText>∼</w:instrText>
      </w:r>
      <w:r w:rsidR="009E2765">
        <w:rPr>
          <w:rFonts w:asciiTheme="minorHAnsi" w:hAnsiTheme="minorHAnsi" w:cstheme="minorHAnsi"/>
        </w:rPr>
        <w:instrText xml:space="preserve"> 5200 + 1370/-605 m by at least 15 Ma. Our results are identical within uncertainty to previous workers' paleoelevation estimates based on Oiyug Basin fossil floral physiognomy. This is the first time that two paleoaltimeters have been directly compared and are in accord. Collectively, these data strongly support tectonic models in which thickening of mantle lithosphere beneath the domain of crustal thickening and subsequent detachment of the mantle lithosphere plays an indiscernible role in the elevation history of this part of the Himalaya-Tibet orogenic system. © 2005 Geological Society of America.","author":[{"dropping-particle":"","family":"Currie","given":"Brian S.","non-dropping-particle":"","parse-names":false,"suffix":""},{"dropping-particle":"","family":"Rowley","given":"David B.","non-dropping-particle":"","parse-names":false,"suffix":""},{"dropping-particle":"","family":"Tabor","given":"Neil J.","non-dropping-particle":"","parse-names":false,"suffix":""}],"container-title":"Geology","id":"ITEM-1","issue":"3","issued":{"date-parts":[["2005"]]},"page":"181-184","title":"Middle Miocene paleoaltimetry of southern Tibet: Implications for the role of mantle thickening and delamination in the Himalayan orogen","type":"article-journal","volume":"33"},"uris":["http://www.mendeley.com/documents/?uuid=71f20f42-75be-4156-ad28-c04b191eb42a"]}],"mendeley":{"formattedCitation":"(Currie et al., 2005)","plainTextFormattedCitation":"(Currie et al., 2005)","previouslyFormattedCitation":"(Currie et al., 2005)"},"properties":{"noteIndex":0},"schema":"https://github.com/citation-style-language/schema/raw/master/csl-citation.json"}</w:instrText>
      </w:r>
      <w:r w:rsidR="00E11394">
        <w:rPr>
          <w:rFonts w:asciiTheme="minorHAnsi" w:hAnsiTheme="minorHAnsi" w:cstheme="minorHAnsi"/>
        </w:rPr>
        <w:fldChar w:fldCharType="separate"/>
      </w:r>
      <w:r w:rsidR="00E11394" w:rsidRPr="00E11394">
        <w:rPr>
          <w:rFonts w:asciiTheme="minorHAnsi" w:hAnsiTheme="minorHAnsi" w:cstheme="minorHAnsi"/>
          <w:noProof/>
        </w:rPr>
        <w:t>(Currie et al., 2005)</w:t>
      </w:r>
      <w:r w:rsidR="00E11394">
        <w:rPr>
          <w:rFonts w:asciiTheme="minorHAnsi" w:hAnsiTheme="minorHAnsi" w:cstheme="minorHAnsi"/>
        </w:rPr>
        <w:fldChar w:fldCharType="end"/>
      </w:r>
      <w:r w:rsidRPr="002B782F">
        <w:rPr>
          <w:rFonts w:asciiTheme="minorHAnsi" w:hAnsiTheme="minorHAnsi" w:cstheme="minorHAnsi"/>
        </w:rPr>
        <w:t xml:space="preserve"> as: </w:t>
      </w:r>
    </w:p>
    <w:p w14:paraId="63CD623A" w14:textId="645BB7E1" w:rsidR="002B782F" w:rsidRPr="002B782F" w:rsidRDefault="002B782F" w:rsidP="002B782F">
      <w:pPr>
        <w:jc w:val="center"/>
        <w:rPr>
          <w:rFonts w:asciiTheme="minorHAnsi" w:hAnsiTheme="minorHAnsi" w:cstheme="minorHAnsi"/>
        </w:rPr>
      </w:pPr>
      <w:r w:rsidRPr="002B782F">
        <w:rPr>
          <w:rFonts w:asciiTheme="minorHAnsi" w:hAnsiTheme="minorHAnsi" w:cstheme="minorHAnsi"/>
        </w:rPr>
        <w:t>h = (-6.14 * 1/1000) Δ(δ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w:t>
      </w:r>
      <w:r w:rsidRPr="002B782F">
        <w:rPr>
          <w:rFonts w:asciiTheme="minorHAnsi" w:hAnsiTheme="minorHAnsi" w:cstheme="minorHAnsi"/>
          <w:vertAlign w:val="superscript"/>
        </w:rPr>
        <w:t>4</w:t>
      </w:r>
      <w:r>
        <w:rPr>
          <w:rFonts w:asciiTheme="minorHAnsi" w:hAnsiTheme="minorHAnsi" w:cstheme="minorHAnsi"/>
        </w:rPr>
        <w:t xml:space="preserve"> </w:t>
      </w:r>
      <w:r>
        <w:rPr>
          <w:rFonts w:asciiTheme="minorHAnsi" w:hAnsiTheme="minorHAnsi" w:cstheme="minorHAnsi"/>
        </w:rPr>
        <w:sym w:font="Symbol" w:char="F02D"/>
      </w:r>
      <w:r w:rsidRPr="002B782F">
        <w:rPr>
          <w:rFonts w:asciiTheme="minorHAnsi" w:hAnsiTheme="minorHAnsi" w:cstheme="minorHAnsi"/>
        </w:rPr>
        <w:t xml:space="preserve"> 0.6765Δ(δ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w:t>
      </w:r>
      <w:r w:rsidRPr="002B782F">
        <w:rPr>
          <w:rFonts w:asciiTheme="minorHAnsi" w:hAnsiTheme="minorHAnsi" w:cstheme="minorHAnsi"/>
          <w:vertAlign w:val="superscript"/>
        </w:rPr>
        <w:t>3</w:t>
      </w:r>
      <w:r>
        <w:rPr>
          <w:rFonts w:asciiTheme="minorHAnsi" w:hAnsiTheme="minorHAnsi" w:cstheme="minorHAnsi"/>
        </w:rPr>
        <w:t xml:space="preserve"> </w:t>
      </w:r>
      <w:r>
        <w:rPr>
          <w:rFonts w:asciiTheme="minorHAnsi" w:hAnsiTheme="minorHAnsi" w:cstheme="minorHAnsi"/>
        </w:rPr>
        <w:sym w:font="Symbol" w:char="F02D"/>
      </w:r>
      <w:r w:rsidRPr="002B782F">
        <w:rPr>
          <w:rFonts w:asciiTheme="minorHAnsi" w:hAnsiTheme="minorHAnsi" w:cstheme="minorHAnsi"/>
        </w:rPr>
        <w:t xml:space="preserve"> 28.623Δ(δ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w:t>
      </w:r>
      <w:r w:rsidRPr="002B782F">
        <w:rPr>
          <w:rFonts w:asciiTheme="minorHAnsi" w:hAnsiTheme="minorHAnsi" w:cstheme="minorHAnsi"/>
          <w:vertAlign w:val="superscript"/>
        </w:rPr>
        <w:t>2</w:t>
      </w:r>
      <w:r>
        <w:rPr>
          <w:rFonts w:asciiTheme="minorHAnsi" w:hAnsiTheme="minorHAnsi" w:cstheme="minorHAnsi"/>
        </w:rPr>
        <w:t xml:space="preserve"> </w:t>
      </w:r>
      <w:r>
        <w:rPr>
          <w:rFonts w:asciiTheme="minorHAnsi" w:hAnsiTheme="minorHAnsi" w:cstheme="minorHAnsi"/>
        </w:rPr>
        <w:sym w:font="Symbol" w:char="F02D"/>
      </w:r>
      <w:r w:rsidRPr="002B782F">
        <w:rPr>
          <w:rFonts w:asciiTheme="minorHAnsi" w:hAnsiTheme="minorHAnsi" w:cstheme="minorHAnsi"/>
        </w:rPr>
        <w:t xml:space="preserve"> 650.66Δ(δ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w:t>
      </w:r>
      <w:r w:rsidRPr="002B782F">
        <w:rPr>
          <w:rFonts w:asciiTheme="minorHAnsi" w:hAnsiTheme="minorHAnsi" w:cstheme="minorHAnsi"/>
        </w:rPr>
        <w:tab/>
        <w:t>(6)</w:t>
      </w:r>
    </w:p>
    <w:p w14:paraId="593E3E3C" w14:textId="77777777" w:rsidR="002B782F" w:rsidRPr="002B782F" w:rsidRDefault="002B782F" w:rsidP="002B782F">
      <w:pPr>
        <w:rPr>
          <w:rFonts w:asciiTheme="minorHAnsi" w:hAnsiTheme="minorHAnsi" w:cstheme="minorHAnsi"/>
          <w:color w:val="000000"/>
        </w:rPr>
      </w:pPr>
      <w:r w:rsidRPr="002B782F">
        <w:rPr>
          <w:rFonts w:asciiTheme="minorHAnsi" w:hAnsiTheme="minorHAnsi" w:cstheme="minorHAnsi"/>
        </w:rPr>
        <w:t>where h describes the altitude difference between the near sea elevation and the high-elevation sites.</w:t>
      </w:r>
    </w:p>
    <w:p w14:paraId="43E6649B" w14:textId="77777777" w:rsidR="002B782F" w:rsidRPr="002B782F" w:rsidRDefault="002B782F" w:rsidP="002B782F">
      <w:pPr>
        <w:rPr>
          <w:rFonts w:asciiTheme="minorHAnsi" w:hAnsiTheme="minorHAnsi" w:cstheme="minorHAnsi"/>
          <w:color w:val="000000"/>
        </w:rPr>
      </w:pPr>
    </w:p>
    <w:p w14:paraId="78AE5BDB" w14:textId="77777777" w:rsidR="002B782F" w:rsidRPr="002B782F" w:rsidRDefault="002B782F" w:rsidP="002B782F">
      <w:pPr>
        <w:rPr>
          <w:rFonts w:asciiTheme="minorHAnsi" w:hAnsiTheme="minorHAnsi" w:cstheme="minorHAnsi"/>
          <w:u w:val="single"/>
        </w:rPr>
      </w:pPr>
      <w:r w:rsidRPr="002B782F">
        <w:rPr>
          <w:rFonts w:asciiTheme="minorHAnsi" w:hAnsiTheme="minorHAnsi" w:cstheme="minorHAnsi"/>
          <w:u w:val="single"/>
        </w:rPr>
        <w:t xml:space="preserve">Error calculation </w:t>
      </w:r>
    </w:p>
    <w:p w14:paraId="5406E0AF" w14:textId="00238308" w:rsidR="002B782F" w:rsidRDefault="002B782F" w:rsidP="002B782F">
      <w:pPr>
        <w:rPr>
          <w:rFonts w:asciiTheme="minorHAnsi" w:hAnsiTheme="minorHAnsi" w:cstheme="minorHAnsi"/>
        </w:rPr>
      </w:pPr>
      <w:r w:rsidRPr="002B782F">
        <w:rPr>
          <w:rFonts w:asciiTheme="minorHAnsi" w:hAnsiTheme="minorHAnsi" w:cstheme="minorHAnsi"/>
        </w:rPr>
        <w:t>The propagated paleoelevation error is composed of combined errors of oxygen isotope composition analyses for the low-elevation sites precipitation (SMB 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 the high-elevation site precipitation (SFZ δ</w:t>
      </w:r>
      <w:r w:rsidRPr="002B782F">
        <w:rPr>
          <w:rFonts w:asciiTheme="minorHAnsi" w:hAnsiTheme="minorHAnsi" w:cstheme="minorHAnsi"/>
          <w:vertAlign w:val="superscript"/>
        </w:rPr>
        <w:t>18</w:t>
      </w:r>
      <w:r w:rsidRPr="002B782F">
        <w:rPr>
          <w:rFonts w:asciiTheme="minorHAnsi" w:hAnsiTheme="minorHAnsi" w:cstheme="minorHAnsi"/>
        </w:rPr>
        <w:t>O</w:t>
      </w:r>
      <w:r w:rsidRPr="002B782F">
        <w:rPr>
          <w:rFonts w:asciiTheme="minorHAnsi" w:hAnsiTheme="minorHAnsi" w:cstheme="minorHAnsi"/>
          <w:vertAlign w:val="subscript"/>
        </w:rPr>
        <w:t>w</w:t>
      </w:r>
      <w:r w:rsidRPr="002B782F">
        <w:rPr>
          <w:rFonts w:asciiTheme="minorHAnsi" w:hAnsiTheme="minorHAnsi" w:cstheme="minorHAnsi"/>
        </w:rPr>
        <w:t>), the SMB Δ</w:t>
      </w:r>
      <w:r w:rsidRPr="002B782F">
        <w:rPr>
          <w:rFonts w:asciiTheme="minorHAnsi" w:hAnsiTheme="minorHAnsi" w:cstheme="minorHAnsi"/>
          <w:vertAlign w:val="subscript"/>
        </w:rPr>
        <w:t>47</w:t>
      </w:r>
      <w:r w:rsidRPr="002B782F">
        <w:rPr>
          <w:rFonts w:asciiTheme="minorHAnsi" w:hAnsiTheme="minorHAnsi" w:cstheme="minorHAnsi"/>
        </w:rPr>
        <w:t xml:space="preserve">-based carbonate formation temperatures, and the error of the oxygen isotope lapse rate (here we restrict only to the regional isotope lapse rate of -0.2 ± 0.04‰/ 100 m given in Campani et al., 2012). We calculated a paleoelevation estimate error of </w:t>
      </w:r>
      <w:r w:rsidR="00575B65">
        <w:rPr>
          <w:rFonts w:asciiTheme="minorHAnsi" w:hAnsiTheme="minorHAnsi" w:cstheme="minorHAnsi"/>
        </w:rPr>
        <w:t xml:space="preserve">± </w:t>
      </w:r>
      <w:r w:rsidR="00575B65" w:rsidRPr="00575B65">
        <w:rPr>
          <w:rFonts w:asciiTheme="minorHAnsi" w:hAnsiTheme="minorHAnsi" w:cstheme="minorHAnsi"/>
        </w:rPr>
        <w:t>870</w:t>
      </w:r>
      <w:r w:rsidRPr="00575B65">
        <w:rPr>
          <w:rFonts w:asciiTheme="minorHAnsi" w:hAnsiTheme="minorHAnsi" w:cstheme="minorHAnsi"/>
        </w:rPr>
        <w:t xml:space="preserve"> m for</w:t>
      </w:r>
      <w:r w:rsidRPr="002B782F">
        <w:rPr>
          <w:rFonts w:asciiTheme="minorHAnsi" w:hAnsiTheme="minorHAnsi" w:cstheme="minorHAnsi"/>
        </w:rPr>
        <w:t xml:space="preserve"> the obtained relative elevation difference bas</w:t>
      </w:r>
      <w:r w:rsidR="003052BE">
        <w:rPr>
          <w:rFonts w:asciiTheme="minorHAnsi" w:hAnsiTheme="minorHAnsi" w:cstheme="minorHAnsi"/>
        </w:rPr>
        <w:t xml:space="preserve">ed on the SMB Fontannen section, </w:t>
      </w:r>
      <w:r w:rsidR="00627832">
        <w:rPr>
          <w:rFonts w:asciiTheme="minorHAnsi" w:hAnsiTheme="minorHAnsi" w:cstheme="minorHAnsi"/>
        </w:rPr>
        <w:t xml:space="preserve">of </w:t>
      </w:r>
      <w:r w:rsidR="00575B65" w:rsidRPr="00575B65">
        <w:rPr>
          <w:rFonts w:asciiTheme="minorHAnsi" w:hAnsiTheme="minorHAnsi" w:cstheme="minorHAnsi"/>
        </w:rPr>
        <w:t>± 7</w:t>
      </w:r>
      <w:r w:rsidRPr="00575B65">
        <w:rPr>
          <w:rFonts w:asciiTheme="minorHAnsi" w:hAnsiTheme="minorHAnsi" w:cstheme="minorHAnsi"/>
        </w:rPr>
        <w:t xml:space="preserve">70 m </w:t>
      </w:r>
      <w:r w:rsidR="00627832">
        <w:rPr>
          <w:rFonts w:asciiTheme="minorHAnsi" w:hAnsiTheme="minorHAnsi" w:cstheme="minorHAnsi"/>
        </w:rPr>
        <w:t xml:space="preserve">and ± 520 m </w:t>
      </w:r>
      <w:r w:rsidRPr="00575B65">
        <w:rPr>
          <w:rFonts w:asciiTheme="minorHAnsi" w:hAnsiTheme="minorHAnsi" w:cstheme="minorHAnsi"/>
        </w:rPr>
        <w:t>based</w:t>
      </w:r>
      <w:r w:rsidRPr="002B782F">
        <w:rPr>
          <w:rFonts w:asciiTheme="minorHAnsi" w:hAnsiTheme="minorHAnsi" w:cstheme="minorHAnsi"/>
        </w:rPr>
        <w:t xml:space="preserve"> </w:t>
      </w:r>
      <w:r w:rsidR="00575B65">
        <w:rPr>
          <w:rFonts w:asciiTheme="minorHAnsi" w:hAnsiTheme="minorHAnsi" w:cstheme="minorHAnsi"/>
        </w:rPr>
        <w:t>on</w:t>
      </w:r>
      <w:r w:rsidR="00627832">
        <w:rPr>
          <w:rFonts w:asciiTheme="minorHAnsi" w:hAnsiTheme="minorHAnsi" w:cstheme="minorHAnsi"/>
        </w:rPr>
        <w:t xml:space="preserve"> the SMB Jona and</w:t>
      </w:r>
      <w:r w:rsidR="003052BE">
        <w:rPr>
          <w:rFonts w:asciiTheme="minorHAnsi" w:hAnsiTheme="minorHAnsi" w:cstheme="minorHAnsi"/>
        </w:rPr>
        <w:t xml:space="preserve"> Aabach section</w:t>
      </w:r>
      <w:r w:rsidR="00627832">
        <w:rPr>
          <w:rFonts w:asciiTheme="minorHAnsi" w:hAnsiTheme="minorHAnsi" w:cstheme="minorHAnsi"/>
        </w:rPr>
        <w:t>s, respectively</w:t>
      </w:r>
      <w:r w:rsidR="003052BE">
        <w:rPr>
          <w:rFonts w:asciiTheme="minorHAnsi" w:hAnsiTheme="minorHAnsi" w:cstheme="minorHAnsi"/>
        </w:rPr>
        <w:t xml:space="preserve"> </w:t>
      </w:r>
      <w:r w:rsidRPr="002B782F">
        <w:rPr>
          <w:rFonts w:asciiTheme="minorHAnsi" w:hAnsiTheme="minorHAnsi" w:cstheme="minorHAnsi"/>
        </w:rPr>
        <w:t xml:space="preserve">(Table </w:t>
      </w:r>
      <w:r w:rsidR="0048155E">
        <w:rPr>
          <w:rFonts w:asciiTheme="minorHAnsi" w:hAnsiTheme="minorHAnsi" w:cstheme="minorHAnsi"/>
        </w:rPr>
        <w:t>S5</w:t>
      </w:r>
      <w:r w:rsidRPr="002B782F">
        <w:rPr>
          <w:rFonts w:asciiTheme="minorHAnsi" w:hAnsiTheme="minorHAnsi" w:cstheme="minorHAnsi"/>
        </w:rPr>
        <w:t>).</w:t>
      </w:r>
    </w:p>
    <w:p w14:paraId="42058312" w14:textId="77777777" w:rsidR="00BF4415" w:rsidRDefault="00BF4415" w:rsidP="002B782F">
      <w:pPr>
        <w:rPr>
          <w:rFonts w:asciiTheme="minorHAnsi" w:hAnsiTheme="minorHAnsi" w:cstheme="minorHAnsi"/>
        </w:rPr>
      </w:pPr>
    </w:p>
    <w:p w14:paraId="2DA22A38" w14:textId="6A43D55A" w:rsidR="00BF4415" w:rsidRPr="002B782F" w:rsidRDefault="0048155E" w:rsidP="00BF4415">
      <w:pPr>
        <w:pStyle w:val="berschrift2"/>
      </w:pPr>
      <w:r>
        <w:t>S4</w:t>
      </w:r>
      <w:r w:rsidR="002F3A4A">
        <w:t xml:space="preserve"> Diagenetic </w:t>
      </w:r>
      <w:r w:rsidR="00BF4415">
        <w:t>implications on c</w:t>
      </w:r>
      <w:r w:rsidR="00BF4415" w:rsidRPr="002B782F">
        <w:t>arbonate clumped isotope (Δ</w:t>
      </w:r>
      <w:r w:rsidR="00BF4415" w:rsidRPr="00BF4415">
        <w:rPr>
          <w:vertAlign w:val="subscript"/>
        </w:rPr>
        <w:t>47</w:t>
      </w:r>
      <w:r w:rsidR="00BF4415" w:rsidRPr="002B782F">
        <w:t>) analyses</w:t>
      </w:r>
    </w:p>
    <w:p w14:paraId="4493DB70" w14:textId="62FCCFB0" w:rsidR="00F46A6F" w:rsidRDefault="00F46A6F" w:rsidP="00020BA1">
      <w:pPr>
        <w:rPr>
          <w:rFonts w:asciiTheme="minorHAnsi" w:hAnsiTheme="minorHAnsi" w:cstheme="minorHAnsi"/>
        </w:rPr>
      </w:pPr>
      <w:r w:rsidRPr="00847C76">
        <w:rPr>
          <w:lang w:val="en-US"/>
        </w:rPr>
        <w:t>Clumped isotope compositions in carbonate minerals are susceptible to alteration by solid-state C–O bond reordering in the mineral lattice caused by high burial temperatures</w:t>
      </w:r>
      <w:r w:rsidR="00CD21B5" w:rsidRPr="00847C76">
        <w:rPr>
          <w:lang w:val="en-US"/>
        </w:rPr>
        <w:t xml:space="preserve"> </w:t>
      </w:r>
      <w:r w:rsidR="00CD21B5" w:rsidRPr="00847C76">
        <w:rPr>
          <w:lang w:val="en-US"/>
        </w:rPr>
        <w:fldChar w:fldCharType="begin" w:fldLock="1"/>
      </w:r>
      <w:r w:rsidR="00271271" w:rsidRPr="00D30337">
        <w:rPr>
          <w:lang w:val="en-US"/>
        </w:rPr>
        <w:instrText>ADDIN CSL_CITATION {"citationItems":[{"id":"ITEM-1","itemData":{"DOI":"10.1016/j.gloplacha.2020.103194","ISSN":"0921-8181","author":[{"dropping-particle":"","family":"Quade","given":"J","non-dropping-particle":"","parse-names":false,"suffix":""},{"dropping-particle":"","family":"Leary","given":"R","non-dropping-particle":"","parse-names":false,"suffix":""},{"dropping-particle":"","family":"Dettinger","given":"M P","non-dropping-particle":"","parse-names":false,"suffix":""},{"dropping-particle":"","family":"Orme","given":"D","non-dropping-particle":"","parse-names":false,"suffix":""},{"dropping-particle":"","family":"Krupa","given":"A","non-dropping-particle":"","parse-names":false,"suffix":""},{"dropping-particle":"","family":"Decelles","given":"P G","non-dropping-particle":"","parse-names":false,"suffix":""},{"dropping-particle":"","family":"Kano","given":"A","non-dropping-particle":"","parse-names":false,"suffix":""},{"dropping-particle":"","family":"Kato","given":"H","non-dropping-particle":"","parse-names":false,"suffix":""},{"dropping-particle":"","family":"Waldrip","given":"R","non-dropping-particle":"","parse-names":false,"suffix":""},{"dropping-particle":"","family":"Huang","given":"W","non-dropping-particle":"","parse-names":false,"suffix":""},{"dropping-particle":"","family":"Kapp","given":"P","non-dropping-particle":"","parse-names":false,"suffix":""}],"container-title":"Global and Planetary Change","id":"ITEM-1","issue":"April","issued":{"date-parts":[["2020"]]},"page":"103194","publisher":"Elsevier","title":"Resetting Southern Tibet : The serious challenge of obtaining primary records of Paleoaltimetry","type":"article-journal","volume":"191"},"uris":["http://www.mendeley.com/documents/?uuid=44e763a7-ad3c-4619-af87-148366916b13"]}],"mendeley":{"formattedCitation":"(Quade et al., 2020)","plainTextFormattedCitation":"(Quade et al., 2020)","previouslyFormattedCitation":"(Quade et al., 2020)"},"properties":{"noteIndex":0},"schema":"https://github.com/citation-style-language/schema/raw/master/csl-citation.json"}</w:instrText>
      </w:r>
      <w:r w:rsidR="00CD21B5" w:rsidRPr="00847C76">
        <w:rPr>
          <w:lang w:val="en-US"/>
        </w:rPr>
        <w:fldChar w:fldCharType="separate"/>
      </w:r>
      <w:r w:rsidR="00CD21B5" w:rsidRPr="00D30337">
        <w:rPr>
          <w:noProof/>
          <w:lang w:val="en-US"/>
        </w:rPr>
        <w:t>(Quade et al., 2020)</w:t>
      </w:r>
      <w:r w:rsidR="00CD21B5" w:rsidRPr="00847C76">
        <w:rPr>
          <w:lang w:val="en-US"/>
        </w:rPr>
        <w:fldChar w:fldCharType="end"/>
      </w:r>
      <w:r w:rsidRPr="00D30337">
        <w:rPr>
          <w:lang w:val="en-US"/>
        </w:rPr>
        <w:t xml:space="preserve">. </w:t>
      </w:r>
      <w:r w:rsidRPr="00847C76">
        <w:rPr>
          <w:lang w:val="en-US"/>
        </w:rPr>
        <w:t>The reordering can reset primary clumped isotope compositions</w:t>
      </w:r>
      <w:r w:rsidR="00945456">
        <w:rPr>
          <w:lang w:val="en-US"/>
        </w:rPr>
        <w:t xml:space="preserve"> of these minerals </w:t>
      </w:r>
      <w:r w:rsidRPr="00847C76">
        <w:rPr>
          <w:lang w:val="en-US"/>
        </w:rPr>
        <w:t>and therefore impact Δ</w:t>
      </w:r>
      <w:r w:rsidRPr="00847C76">
        <w:rPr>
          <w:vertAlign w:val="subscript"/>
          <w:lang w:val="en-US"/>
        </w:rPr>
        <w:t>47</w:t>
      </w:r>
      <w:r w:rsidR="00840116">
        <w:rPr>
          <w:lang w:val="en-US"/>
        </w:rPr>
        <w:t>-</w:t>
      </w:r>
      <w:r w:rsidRPr="00847C76">
        <w:rPr>
          <w:lang w:val="en-US"/>
        </w:rPr>
        <w:t xml:space="preserve">derived temperatures. </w:t>
      </w:r>
      <w:r w:rsidR="00CB3B8F" w:rsidRPr="00847C76">
        <w:rPr>
          <w:lang w:val="en-US"/>
        </w:rPr>
        <w:t>For the post-Molasse erosion</w:t>
      </w:r>
      <w:r w:rsidR="00661D95" w:rsidRPr="00847C76">
        <w:rPr>
          <w:lang w:val="en-US"/>
        </w:rPr>
        <w:t xml:space="preserve"> thickness </w:t>
      </w:r>
      <w:r w:rsidR="00020BA1" w:rsidRPr="00847C76">
        <w:rPr>
          <w:lang w:val="en-US"/>
        </w:rPr>
        <w:t xml:space="preserve">of </w:t>
      </w:r>
      <w:r w:rsidR="0007377B" w:rsidRPr="00847C76">
        <w:rPr>
          <w:lang w:val="en-US"/>
        </w:rPr>
        <w:t xml:space="preserve">the eroded </w:t>
      </w:r>
      <w:r w:rsidR="00020BA1" w:rsidRPr="00847C76">
        <w:rPr>
          <w:lang w:val="en-US"/>
        </w:rPr>
        <w:t xml:space="preserve">section </w:t>
      </w:r>
      <w:r w:rsidR="00661D95" w:rsidRPr="00847C76">
        <w:rPr>
          <w:lang w:val="en-US"/>
        </w:rPr>
        <w:t>has been</w:t>
      </w:r>
      <w:r w:rsidR="006E6372" w:rsidRPr="00847C76">
        <w:rPr>
          <w:lang w:val="en-US"/>
        </w:rPr>
        <w:t xml:space="preserve"> inferred from apatite fission track and </w:t>
      </w:r>
      <w:r w:rsidR="00BC222E" w:rsidRPr="00847C76">
        <w:rPr>
          <w:lang w:val="en-US"/>
        </w:rPr>
        <w:t>vitrinite reflectance</w:t>
      </w:r>
      <w:r w:rsidR="000E48B5" w:rsidRPr="00847C76">
        <w:rPr>
          <w:lang w:val="en-US"/>
        </w:rPr>
        <w:t xml:space="preserve"> </w:t>
      </w:r>
      <w:r w:rsidR="006E6372" w:rsidRPr="00847C76">
        <w:rPr>
          <w:lang w:val="en-US"/>
        </w:rPr>
        <w:t>data and range from</w:t>
      </w:r>
      <w:r w:rsidR="00661D95" w:rsidRPr="00847C76">
        <w:rPr>
          <w:lang w:val="en-US"/>
        </w:rPr>
        <w:t xml:space="preserve"> </w:t>
      </w:r>
      <w:r w:rsidR="00020BA1" w:rsidRPr="00847C76">
        <w:rPr>
          <w:lang w:val="en-US"/>
        </w:rPr>
        <w:t xml:space="preserve">1100–2100 </w:t>
      </w:r>
      <w:r w:rsidR="00020BA1" w:rsidRPr="00BF4415">
        <w:rPr>
          <w:lang w:val="en-US"/>
        </w:rPr>
        <w:t xml:space="preserve">m </w:t>
      </w:r>
      <w:r w:rsidR="0007377B" w:rsidRPr="00BF4415">
        <w:rPr>
          <w:lang w:val="en-US"/>
        </w:rPr>
        <w:fldChar w:fldCharType="begin" w:fldLock="1"/>
      </w:r>
      <w:r w:rsidR="0007377B" w:rsidRPr="00BF4415">
        <w:rPr>
          <w:lang w:val="en-US"/>
        </w:rPr>
        <w:instrText>ADDIN CSL_CITATION {"citationItems":[{"id":"ITEM-1","itemData":{"DOI":"https://doi.org/10.1111/j.1365-2117.2011.00501.x","ISSN":"0950-091X","abstract":"ABSTRACT An extensive low-temperature thermochronology study of the Swiss part of the North Alpine Foreland Basin has been conducted with the aim of deciphering the late Neogene basin development. Apatite fission-track (AFT) ages from wells located in the distal and weakly deformed Plateau Molasse reveal rapid, km-scale erosion with an onset in early Pliocene times. The distribution of erosion implies that there was a strong gradient in late Miocene deposition rates along the strike of the basin, with an increase towards the northeast. Additionally, renewed tectonic activity and km-scale out-of-sequence thrusting during Plio-Pleistocene times is indicated by AFT data from wells within the thrusted, proximal Subalpine Molasse. Several different mechanisms driving late Neogene basin erosion and accelerated erosional discharge from the European Alps have been considered in the literature. Based on our AFT results, we reevaluate previously published hypotheses, and suggest that a change in climate and/or drainage reorganisation coincided and possibly interacted with preexisting tectonic and geodynamic forces in the Alpine region.","author":[{"dropping-particle":"","family":"Cederbom","given":"Charlotte E","non-dropping-particle":"","parse-names":false,"suffix":""},{"dropping-particle":"","family":"Beek","given":"Peter","non-dropping-particle":"van der","parse-names":false,"suffix":""},{"dropping-particle":"","family":"Schlunegger","given":"Fritz","non-dropping-particle":"","parse-names":false,"suffix":""},{"dropping-particle":"","family":"Sinclair","given":"Hugh D","non-dropping-particle":"","parse-names":false,"suffix":""},{"dropping-particle":"","family":"Oncken","given":"Onno","non-dropping-particle":"","parse-names":false,"suffix":""}],"container-title":"Basin Research","id":"ITEM-1","issue":"5","issued":{"date-parts":[["2011"]]},"page":"528-550","title":"Rapid extensive erosion of the North Alpine foreland basin at 5–4 Ma","type":"article-journal","volume":"23"},"uris":["http://www.mendeley.com/documents/?uuid=19ae879e-eab8-456a-bfa4-ea57c2787827"]}],"mendeley":{"formattedCitation":"(Cederbom et al., 2011)","plainTextFormattedCitation":"(Cederbom et al., 2011)","previouslyFormattedCitation":"(Cederbom et al., 2011)"},"properties":{"noteIndex":0},"schema":"https://github.com/citation-style-language/schema/raw/master/csl-citation.json"}</w:instrText>
      </w:r>
      <w:r w:rsidR="0007377B" w:rsidRPr="00BF4415">
        <w:rPr>
          <w:lang w:val="en-US"/>
        </w:rPr>
        <w:fldChar w:fldCharType="separate"/>
      </w:r>
      <w:r w:rsidR="0007377B" w:rsidRPr="00BF4415">
        <w:rPr>
          <w:noProof/>
          <w:lang w:val="en-US"/>
        </w:rPr>
        <w:t>(Cederbom et al., 2011)</w:t>
      </w:r>
      <w:r w:rsidR="0007377B" w:rsidRPr="00BF4415">
        <w:rPr>
          <w:lang w:val="en-US"/>
        </w:rPr>
        <w:fldChar w:fldCharType="end"/>
      </w:r>
      <w:r w:rsidR="00D87A21">
        <w:rPr>
          <w:lang w:val="en-US"/>
        </w:rPr>
        <w:t xml:space="preserve"> and </w:t>
      </w:r>
      <w:r w:rsidR="00020BA1" w:rsidRPr="00BF4415">
        <w:rPr>
          <w:lang w:val="en-US"/>
        </w:rPr>
        <w:t xml:space="preserve">750–1050 m </w:t>
      </w:r>
      <w:r w:rsidR="0007377B" w:rsidRPr="00BF4415">
        <w:rPr>
          <w:lang w:val="en-US"/>
        </w:rPr>
        <w:fldChar w:fldCharType="begin" w:fldLock="1"/>
      </w:r>
      <w:r w:rsidR="0007377B" w:rsidRPr="00BF4415">
        <w:rPr>
          <w:lang w:val="en-US"/>
        </w:rPr>
        <w:instrText>ADDIN CSL_CITATION {"citationItems":[{"id":"ITEM-1","itemData":{"DOI":"https://doi.org/10.1111/j.1365-2117.2006.00286.x","ISSN":"0950-091X","abstract":"ABSTRACT A complex basin evolution was studied using various methods, including thermal constraints based on apatite fission-track (AFT) analysis, vitrinite reflectance (VR) and biomarker isomerisation, in addition to a detailed analysis of the regional stratigraphic record and of the lithological properties. The study indicates that (1) given the substantial amount of data, the distinction and characterisation of successive stages of heating and burial in the same area are feasible, and (2) the three thermal indicators (AFT, VR and biomarkers) yield internally consistent thermal histories, which supports the validity of the underlying kinetic algorithms and their applicability to natural basins. All data pertaining to burial and thermal evolution were integrated in a basin model, which provides constraints on the thickness of eroded sections and on heat flow over geologic time. Three stages of basin evolution occurred in northern Switzerland. The Permo-Carboniferous strike?slip basin was characterised by high geothermal gradients (80?100°C?km?1) and maximum temperature up to 160°C. After the erosion of a few hundreds of metres in the Permian, the post-orogenic, epicontinental Mesozoic basin developed in Central Europe, with subsidence triggered by several stages of rifting. Geothermal gradients in northern Switzerland during Cretaceous burial were relatively high (35?40°C?km?1), and maximum temperature typically reached 75°C (top middle Jurassic) to 100°C (base Mesozoic). At least in the early Cretaceous, a stage of increased heat flow is needed to explain the observed maturity level. After erosion of 600?700?m of Cretaceous and late Jurassic strata during the Paleocene, the wedge-shaped Molasse Foreland Basin developed. Geothermal gradients were low at this time (≤20°C?km?1). Maximum temperature of Miocene burial exceeded that of Cretaceous burial in proximal parts (&lt;35?km from the Alpine front), but was lower in more distal parts (&gt;45?km). Thus, maximum temperature as well as maximum burial depth ever reached in Mesozoic strata occurred at different times in different regions. Since the Miocene, 750?1050?m were eroded, a process that still continues in the proximal parts of the basin. Current average geothermal gradients in the uppermost 2500?m are elevated (32?47°C?km?1). They are due to a Quaternary increase of heat flow, most probably triggered by limited advective heat transport along Paleozoic faults in the crystalline basement.","author":[{"dropping-particle":"","family":"Mazurek","given":"Martin","non-dropping-particle":"","parse-names":false,"suffix":""},{"dropping-particle":"","family":"Hurford","given":"Anthony J","non-dropping-particle":"","parse-names":false,"suffix":""},{"dropping-particle":"","family":"Leu","given":"Werner","non-dropping-particle":"","parse-names":false,"suffix":""}],"container-title":"Basin Research","id":"ITEM-1","issue":"1","issued":{"date-parts":[["2006"]]},"page":"27-50","title":"Unravelling the multi-stage burial history of the Swiss Molasse Basin: integration of apatite fission track, vitrinite reflectance and biomarker isomerisation analysis","type":"article-journal","volume":"18"},"uris":["http://www.mendeley.com/documents/?uuid=345f884e-db34-49a0-8010-8db5fad6951a"]}],"mendeley":{"formattedCitation":"(Mazurek et al., 2006)","plainTextFormattedCitation":"(Mazurek et al., 2006)","previouslyFormattedCitation":"(Mazurek et al., 2006)"},"properties":{"noteIndex":0},"schema":"https://github.com/citation-style-language/schema/raw/master/csl-citation.json"}</w:instrText>
      </w:r>
      <w:r w:rsidR="0007377B" w:rsidRPr="00BF4415">
        <w:rPr>
          <w:lang w:val="en-US"/>
        </w:rPr>
        <w:fldChar w:fldCharType="separate"/>
      </w:r>
      <w:r w:rsidR="0007377B" w:rsidRPr="00BF4415">
        <w:rPr>
          <w:noProof/>
          <w:lang w:val="en-US"/>
        </w:rPr>
        <w:t>(Mazurek et al., 2006)</w:t>
      </w:r>
      <w:r w:rsidR="0007377B" w:rsidRPr="00BF4415">
        <w:rPr>
          <w:lang w:val="en-US"/>
        </w:rPr>
        <w:fldChar w:fldCharType="end"/>
      </w:r>
      <w:r w:rsidR="00020BA1" w:rsidRPr="00BF4415">
        <w:rPr>
          <w:lang w:val="en-US"/>
        </w:rPr>
        <w:t xml:space="preserve"> for Central and Eastern Switzerland</w:t>
      </w:r>
      <w:r w:rsidR="00D87A21">
        <w:rPr>
          <w:lang w:val="en-US"/>
        </w:rPr>
        <w:t>,</w:t>
      </w:r>
      <w:r w:rsidR="00020BA1" w:rsidRPr="00BF4415">
        <w:rPr>
          <w:lang w:val="en-US"/>
        </w:rPr>
        <w:t xml:space="preserve"> and from </w:t>
      </w:r>
      <w:r w:rsidR="00661D95" w:rsidRPr="00BF4415">
        <w:rPr>
          <w:lang w:val="en-US"/>
        </w:rPr>
        <w:t xml:space="preserve">1500–3000 m in the </w:t>
      </w:r>
      <w:r w:rsidR="0007377B" w:rsidRPr="00BF4415">
        <w:rPr>
          <w:lang w:val="en-US"/>
        </w:rPr>
        <w:t>Southwestern</w:t>
      </w:r>
      <w:r w:rsidR="00661D95" w:rsidRPr="00BF4415">
        <w:rPr>
          <w:lang w:val="en-US"/>
        </w:rPr>
        <w:t xml:space="preserve"> to 350–700 in the </w:t>
      </w:r>
      <w:r w:rsidR="0007377B" w:rsidRPr="00BF4415">
        <w:rPr>
          <w:lang w:val="en-US"/>
        </w:rPr>
        <w:t xml:space="preserve">Northeastern </w:t>
      </w:r>
      <w:r w:rsidR="0007377B" w:rsidRPr="00BF4415">
        <w:rPr>
          <w:lang w:val="en-US"/>
        </w:rPr>
        <w:fldChar w:fldCharType="begin" w:fldLock="1"/>
      </w:r>
      <w:r w:rsidR="000E48B5">
        <w:rPr>
          <w:lang w:val="en-US"/>
        </w:rPr>
        <w:instrText>ADDIN CSL_CITATION {"citationItems":[{"id":"ITEM-1","itemData":{"DOI":"10.1144/GSL.SP.1998.141.01.09","ISSN":"03058719","abstract":"This paper is included in the Special Publication entitled 'Basin modelling: practice and Progress', edited by S.J. Duppenbecker and J.E. Iliffe. For basin modelling purposes, uplift and erosion analysis is as important as subsidence analysis. Within the North Alpine Foreland Basin of Switzerland (NAFB) three major interregional unconformities separate the sedimentary succession: the late Palaeozoic, the base Tertiary and the base Quaternary unconformity. The amount of missing section depends on the palaeogeographic basin position and on different inversion mechanisms (thermal uplift, intraplate stress, tectonic uplift or isostatic rebound movements). Several techniques exist to determine the magnitude and timing of maximum palaeotemperatures and palaeogradients, facilitating direct estimation of missing section. In our study coalification and fission track data are analysed and compared with recently published models concerning erosion in the NAFB. The results indicate that each inversion episode is accompanied by significant erosion (up to several km). The following range of removed section values were reconstructed: (i) late Palaeozoic unconformity: 1000-1200 m; (ii) base Tertiary unconformity: 800-1800 m; (iii) base Quaternary unconformity: 1500-3000 m in the SW, up to 700 m in the NE and 4100-4400 m in parts close to the Alpine front. The reconstruction techniques provide only rough estimates as each approach is based on certain assumptions and calibration uncertainties. Also, the obtained values are higher than those expected from simple evaluation of the preserved stratigraphic record. Calculated palaeogeothermal gradients are very high (80-90 °C km -1) during the late Palaeozoic, slightly higher than normal during the late Cretaceous (30-50 °C km -1) and lower than normal (15-30 °C km -1) during the Cenozoic.","author":[{"dropping-particle":"","family":"Schegg","given":"R.","non-dropping-particle":"","parse-names":false,"suffix":""},{"dropping-particle":"","family":"Leu","given":"W.","non-dropping-particle":"","parse-names":false,"suffix":""}],"container-title":"Geological Society Special Publication","id":"ITEM-1","issued":{"date-parts":[["1998"]]},"page":"137-155","title":"Analysis of erosion events and palaeogeothermal gradients in the North Alpine Foreland Basin of Switzerland","type":"article-journal","volume":"141"},"uris":["http://www.mendeley.com/documents/?uuid=d88ba98e-0e0d-48d3-bb38-79ad17fd0a34"]}],"mendeley":{"formattedCitation":"(Schegg and Leu, 1998)","manualFormatting":"(Schegg and Leu, 1998, and references herein)","plainTextFormattedCitation":"(Schegg and Leu, 1998)","previouslyFormattedCitation":"(Schegg and Leu, 1998)"},"properties":{"noteIndex":0},"schema":"https://github.com/citation-style-language/schema/raw/master/csl-citation.json"}</w:instrText>
      </w:r>
      <w:r w:rsidR="0007377B" w:rsidRPr="00BF4415">
        <w:rPr>
          <w:lang w:val="en-US"/>
        </w:rPr>
        <w:fldChar w:fldCharType="separate"/>
      </w:r>
      <w:r w:rsidR="0007377B" w:rsidRPr="00BF4415">
        <w:rPr>
          <w:noProof/>
          <w:lang w:val="en-US"/>
        </w:rPr>
        <w:t>(Schegg and Leu, 1998, and references herein)</w:t>
      </w:r>
      <w:r w:rsidR="0007377B" w:rsidRPr="00BF4415">
        <w:rPr>
          <w:lang w:val="en-US"/>
        </w:rPr>
        <w:fldChar w:fldCharType="end"/>
      </w:r>
      <w:r w:rsidR="00020BA1">
        <w:rPr>
          <w:color w:val="00B050"/>
          <w:lang w:val="en-US"/>
        </w:rPr>
        <w:t xml:space="preserve">. </w:t>
      </w:r>
      <w:r w:rsidR="00020BA1">
        <w:rPr>
          <w:rFonts w:asciiTheme="minorHAnsi" w:hAnsiTheme="minorHAnsi" w:cstheme="minorHAnsi"/>
        </w:rPr>
        <w:t xml:space="preserve">Paleo-geothermal gradients </w:t>
      </w:r>
      <w:r w:rsidR="008A0D08">
        <w:rPr>
          <w:rFonts w:asciiTheme="minorHAnsi" w:hAnsiTheme="minorHAnsi" w:cstheme="minorHAnsi"/>
        </w:rPr>
        <w:t xml:space="preserve">were estimated </w:t>
      </w:r>
      <w:r w:rsidR="00D87A21">
        <w:rPr>
          <w:rFonts w:asciiTheme="minorHAnsi" w:hAnsiTheme="minorHAnsi" w:cstheme="minorHAnsi"/>
        </w:rPr>
        <w:t xml:space="preserve">based on </w:t>
      </w:r>
      <w:r w:rsidR="00020BA1">
        <w:rPr>
          <w:rFonts w:asciiTheme="minorHAnsi" w:hAnsiTheme="minorHAnsi" w:cstheme="minorHAnsi"/>
        </w:rPr>
        <w:t>v</w:t>
      </w:r>
      <w:r w:rsidR="0007377B">
        <w:rPr>
          <w:rFonts w:asciiTheme="minorHAnsi" w:hAnsiTheme="minorHAnsi" w:cstheme="minorHAnsi"/>
        </w:rPr>
        <w:t>itrinite reflectance data</w:t>
      </w:r>
      <w:r w:rsidR="008A0D08">
        <w:rPr>
          <w:rFonts w:asciiTheme="minorHAnsi" w:hAnsiTheme="minorHAnsi" w:cstheme="minorHAnsi"/>
        </w:rPr>
        <w:t>,</w:t>
      </w:r>
      <w:r w:rsidR="0007377B">
        <w:rPr>
          <w:rFonts w:asciiTheme="minorHAnsi" w:hAnsiTheme="minorHAnsi" w:cstheme="minorHAnsi"/>
        </w:rPr>
        <w:t xml:space="preserve"> </w:t>
      </w:r>
      <w:r w:rsidR="008A0D08">
        <w:rPr>
          <w:rFonts w:asciiTheme="minorHAnsi" w:hAnsiTheme="minorHAnsi" w:cstheme="minorHAnsi"/>
        </w:rPr>
        <w:t xml:space="preserve">which </w:t>
      </w:r>
      <w:r w:rsidR="00E7207B">
        <w:rPr>
          <w:rFonts w:asciiTheme="minorHAnsi" w:hAnsiTheme="minorHAnsi" w:cstheme="minorHAnsi"/>
        </w:rPr>
        <w:t>suggest</w:t>
      </w:r>
      <w:r w:rsidR="00020BA1">
        <w:rPr>
          <w:rFonts w:asciiTheme="minorHAnsi" w:hAnsiTheme="minorHAnsi" w:cstheme="minorHAnsi"/>
        </w:rPr>
        <w:t xml:space="preserve"> a geothermal regime of 15–30°C/ km</w:t>
      </w:r>
      <w:r w:rsidR="0033651D">
        <w:rPr>
          <w:rFonts w:asciiTheme="minorHAnsi" w:hAnsiTheme="minorHAnsi" w:cstheme="minorHAnsi"/>
        </w:rPr>
        <w:t xml:space="preserve"> for Southwestern Switzerland</w:t>
      </w:r>
      <w:r w:rsidR="00E7207B">
        <w:rPr>
          <w:rFonts w:asciiTheme="minorHAnsi" w:hAnsiTheme="minorHAnsi" w:cstheme="minorHAnsi"/>
        </w:rPr>
        <w:t xml:space="preserve"> (Schegg an </w:t>
      </w:r>
      <w:proofErr w:type="spellStart"/>
      <w:r w:rsidR="00E7207B">
        <w:rPr>
          <w:rFonts w:asciiTheme="minorHAnsi" w:hAnsiTheme="minorHAnsi" w:cstheme="minorHAnsi"/>
        </w:rPr>
        <w:t>Leu</w:t>
      </w:r>
      <w:proofErr w:type="spellEnd"/>
      <w:r w:rsidR="00E7207B">
        <w:rPr>
          <w:rFonts w:asciiTheme="minorHAnsi" w:hAnsiTheme="minorHAnsi" w:cstheme="minorHAnsi"/>
        </w:rPr>
        <w:t>, 1998),</w:t>
      </w:r>
      <w:r w:rsidR="00020BA1">
        <w:rPr>
          <w:rFonts w:asciiTheme="minorHAnsi" w:hAnsiTheme="minorHAnsi" w:cstheme="minorHAnsi"/>
        </w:rPr>
        <w:t xml:space="preserve"> and 20–25°C/ km</w:t>
      </w:r>
      <w:r w:rsidR="00E7207B">
        <w:rPr>
          <w:rFonts w:asciiTheme="minorHAnsi" w:hAnsiTheme="minorHAnsi" w:cstheme="minorHAnsi"/>
        </w:rPr>
        <w:t xml:space="preserve"> for Eastern Switzerland </w:t>
      </w:r>
      <w:r w:rsidR="0007377B">
        <w:rPr>
          <w:rFonts w:asciiTheme="minorHAnsi" w:hAnsiTheme="minorHAnsi" w:cstheme="minorHAnsi"/>
        </w:rPr>
        <w:fldChar w:fldCharType="begin" w:fldLock="1"/>
      </w:r>
      <w:r w:rsidR="0007377B">
        <w:rPr>
          <w:rFonts w:asciiTheme="minorHAnsi" w:hAnsiTheme="minorHAnsi" w:cstheme="minorHAnsi"/>
        </w:rPr>
        <w:instrText>ADDIN CSL_CITATION {"citationItems":[{"id":"ITEM-1","itemData":{"abstract":"The geothermal field along the Swiss Geotraverse between Basel and Luzern. Geothermal information available for the section Basel-Luzern has been compiled, with emphasis on deep drillhole data. Corrections were applied to account for effects of mud circulation. Temperature-depth curves in the northern Alpine Foreland exhibit a common feature: below about 400 m depth they form straight lines. The temperature field is characterized by a general decrease of the geothermal gradient from the Rhinegraben/Jura area across the Molasse basin towards the Alps (from about 35°C/km at Basel to &lt;20°C/km at Luzern). The paleogeothermal conditions have been investigated by means of coalification studies (measurement of vitrinite reflectivity R,). Cuttings from the drillholes Küsnacht 1 and Hünenberg 1 in the Molasse basin revealed low degree of coalification (&lt;0.6% R,) and only a slight increase of coalification with depth (&lt; 0.008% Rm/ 100 m). These data suggest a low-temperature geothermal regime which apparently prevailed since the deposition of the Molasse Sediments. Like today’s geothermal gradient, the paleogradient decreases towards the Alps as well.","author":[{"dropping-particle":"","family":"Rybach","given":"L","non-dropping-particle":"","parse-names":false,"suffix":""},{"dropping-particle":"","family":"Bodmer","given":"Ph.","non-dropping-particle":"","parse-names":false,"suffix":""}],"container-title":"Eclogae geologicae Helveticae","id":"ITEM-1","issued":{"date-parts":[["1980"]]},"page":"501-512","title":"Die geothermischen Verhältnisse der Schweizer Geotraverse im Abschnitt Basel-Luzern","type":"article-journal","volume":"73/2"},"uris":["http://www.mendeley.com/documents/?uuid=e59b95aa-aafa-4d23-93ee-b4aa7badffcc"]}],"mendeley":{"formattedCitation":"(Rybach and Bodmer, 1980)","plainTextFormattedCitation":"(Rybach and Bodmer, 1980)","previouslyFormattedCitation":"(Rybach and Bodmer, 1980)"},"properties":{"noteIndex":0},"schema":"https://github.com/citation-style-language/schema/raw/master/csl-citation.json"}</w:instrText>
      </w:r>
      <w:r w:rsidR="0007377B">
        <w:rPr>
          <w:rFonts w:asciiTheme="minorHAnsi" w:hAnsiTheme="minorHAnsi" w:cstheme="minorHAnsi"/>
        </w:rPr>
        <w:fldChar w:fldCharType="separate"/>
      </w:r>
      <w:r w:rsidR="0007377B" w:rsidRPr="0007377B">
        <w:rPr>
          <w:rFonts w:asciiTheme="minorHAnsi" w:hAnsiTheme="minorHAnsi" w:cstheme="minorHAnsi"/>
          <w:noProof/>
        </w:rPr>
        <w:t>(Rybach and Bodmer, 1980)</w:t>
      </w:r>
      <w:r w:rsidR="0007377B">
        <w:rPr>
          <w:rFonts w:asciiTheme="minorHAnsi" w:hAnsiTheme="minorHAnsi" w:cstheme="minorHAnsi"/>
        </w:rPr>
        <w:fldChar w:fldCharType="end"/>
      </w:r>
      <w:r w:rsidR="0007377B">
        <w:rPr>
          <w:rFonts w:asciiTheme="minorHAnsi" w:hAnsiTheme="minorHAnsi" w:cstheme="minorHAnsi"/>
        </w:rPr>
        <w:t xml:space="preserve">. </w:t>
      </w:r>
      <w:r w:rsidR="009B682C">
        <w:rPr>
          <w:rFonts w:asciiTheme="minorHAnsi" w:hAnsiTheme="minorHAnsi" w:cstheme="minorHAnsi"/>
        </w:rPr>
        <w:t xml:space="preserve">With an averaged paleo-geothermal gradient of 25°C/ km and a maximum </w:t>
      </w:r>
      <w:r w:rsidR="0007377B">
        <w:rPr>
          <w:rFonts w:asciiTheme="minorHAnsi" w:hAnsiTheme="minorHAnsi" w:cstheme="minorHAnsi"/>
        </w:rPr>
        <w:t>amount</w:t>
      </w:r>
      <w:r w:rsidR="009B682C">
        <w:rPr>
          <w:rFonts w:asciiTheme="minorHAnsi" w:hAnsiTheme="minorHAnsi" w:cstheme="minorHAnsi"/>
        </w:rPr>
        <w:t xml:space="preserve"> of erosion of ~2000</w:t>
      </w:r>
      <w:r w:rsidR="0007377B">
        <w:rPr>
          <w:rFonts w:asciiTheme="minorHAnsi" w:hAnsiTheme="minorHAnsi" w:cstheme="minorHAnsi"/>
        </w:rPr>
        <w:t xml:space="preserve"> </w:t>
      </w:r>
      <w:r w:rsidR="009B682C">
        <w:rPr>
          <w:rFonts w:asciiTheme="minorHAnsi" w:hAnsiTheme="minorHAnsi" w:cstheme="minorHAnsi"/>
        </w:rPr>
        <w:t>m</w:t>
      </w:r>
      <w:r w:rsidR="00D87A21">
        <w:rPr>
          <w:rFonts w:asciiTheme="minorHAnsi" w:hAnsiTheme="minorHAnsi" w:cstheme="minorHAnsi"/>
        </w:rPr>
        <w:t>,</w:t>
      </w:r>
      <w:r w:rsidR="009B682C">
        <w:rPr>
          <w:rFonts w:asciiTheme="minorHAnsi" w:hAnsiTheme="minorHAnsi" w:cstheme="minorHAnsi"/>
        </w:rPr>
        <w:t xml:space="preserve"> this </w:t>
      </w:r>
      <w:r w:rsidR="00945456">
        <w:rPr>
          <w:rFonts w:asciiTheme="minorHAnsi" w:hAnsiTheme="minorHAnsi" w:cstheme="minorHAnsi"/>
        </w:rPr>
        <w:t xml:space="preserve">gradient </w:t>
      </w:r>
      <w:r w:rsidR="009B682C">
        <w:rPr>
          <w:rFonts w:asciiTheme="minorHAnsi" w:hAnsiTheme="minorHAnsi" w:cstheme="minorHAnsi"/>
        </w:rPr>
        <w:t xml:space="preserve">results in </w:t>
      </w:r>
      <w:r w:rsidR="00D87A21">
        <w:rPr>
          <w:rFonts w:asciiTheme="minorHAnsi" w:hAnsiTheme="minorHAnsi" w:cstheme="minorHAnsi"/>
        </w:rPr>
        <w:t xml:space="preserve">calculated </w:t>
      </w:r>
      <w:r w:rsidR="009B682C">
        <w:rPr>
          <w:rFonts w:asciiTheme="minorHAnsi" w:hAnsiTheme="minorHAnsi" w:cstheme="minorHAnsi"/>
        </w:rPr>
        <w:t xml:space="preserve">maximum burial temperatures of ~50°C for the </w:t>
      </w:r>
      <w:r w:rsidR="0007377B">
        <w:rPr>
          <w:rFonts w:asciiTheme="minorHAnsi" w:hAnsiTheme="minorHAnsi" w:cstheme="minorHAnsi"/>
        </w:rPr>
        <w:t>OSM</w:t>
      </w:r>
      <w:r w:rsidR="009B682C">
        <w:rPr>
          <w:rFonts w:asciiTheme="minorHAnsi" w:hAnsiTheme="minorHAnsi" w:cstheme="minorHAnsi"/>
        </w:rPr>
        <w:t xml:space="preserve"> deposits</w:t>
      </w:r>
      <w:r w:rsidR="0007377B">
        <w:rPr>
          <w:rFonts w:asciiTheme="minorHAnsi" w:hAnsiTheme="minorHAnsi" w:cstheme="minorHAnsi"/>
        </w:rPr>
        <w:t xml:space="preserve"> (youngest stage of basin fill in the Northern Alpine Foreland Basin) in Central and Eastern Switzerland</w:t>
      </w:r>
      <w:r w:rsidR="009B682C">
        <w:rPr>
          <w:rFonts w:asciiTheme="minorHAnsi" w:hAnsiTheme="minorHAnsi" w:cstheme="minorHAnsi"/>
        </w:rPr>
        <w:t>.</w:t>
      </w:r>
    </w:p>
    <w:p w14:paraId="0BF661F6" w14:textId="40D01CD9" w:rsidR="00F46A6F" w:rsidRPr="00D30337" w:rsidRDefault="00F46A6F" w:rsidP="0019738B">
      <w:pPr>
        <w:rPr>
          <w:rFonts w:asciiTheme="minorHAnsi" w:hAnsiTheme="minorHAnsi" w:cstheme="minorHAnsi"/>
          <w:sz w:val="16"/>
        </w:rPr>
      </w:pPr>
      <w:r w:rsidRPr="00D30337">
        <w:rPr>
          <w:rFonts w:asciiTheme="minorHAnsi" w:hAnsiTheme="minorHAnsi" w:cstheme="minorHAnsi"/>
        </w:rPr>
        <w:t>Furthermore</w:t>
      </w:r>
      <w:r w:rsidR="007D2A47" w:rsidRPr="00D30337">
        <w:rPr>
          <w:rFonts w:asciiTheme="minorHAnsi" w:hAnsiTheme="minorHAnsi" w:cstheme="minorHAnsi"/>
        </w:rPr>
        <w:t xml:space="preserve">, </w:t>
      </w:r>
      <w:r w:rsidRPr="00D30337">
        <w:rPr>
          <w:rFonts w:asciiTheme="minorHAnsi" w:hAnsiTheme="minorHAnsi" w:cstheme="minorHAnsi"/>
        </w:rPr>
        <w:t xml:space="preserve">paleotemperatures </w:t>
      </w:r>
      <w:r w:rsidR="000E48B5" w:rsidRPr="00D30337">
        <w:rPr>
          <w:rFonts w:asciiTheme="minorHAnsi" w:hAnsiTheme="minorHAnsi" w:cstheme="minorHAnsi"/>
        </w:rPr>
        <w:t xml:space="preserve">inferred </w:t>
      </w:r>
      <w:r w:rsidR="007D2A47" w:rsidRPr="00D30337">
        <w:rPr>
          <w:rFonts w:asciiTheme="minorHAnsi" w:hAnsiTheme="minorHAnsi" w:cstheme="minorHAnsi"/>
        </w:rPr>
        <w:t xml:space="preserve">from </w:t>
      </w:r>
      <w:r w:rsidR="000E48B5" w:rsidRPr="00D30337">
        <w:rPr>
          <w:rFonts w:asciiTheme="minorHAnsi" w:hAnsiTheme="minorHAnsi" w:cstheme="minorHAnsi"/>
        </w:rPr>
        <w:t>vitrinite reflectance</w:t>
      </w:r>
      <w:r w:rsidR="007D2A47" w:rsidRPr="00D30337">
        <w:rPr>
          <w:rFonts w:asciiTheme="minorHAnsi" w:hAnsiTheme="minorHAnsi" w:cstheme="minorHAnsi"/>
        </w:rPr>
        <w:t xml:space="preserve"> data </w:t>
      </w:r>
      <w:r w:rsidR="007D2A47" w:rsidRPr="00847C76">
        <w:rPr>
          <w:lang w:val="en-US"/>
        </w:rPr>
        <w:t xml:space="preserve">yield max. ~50°C for the OSM east of Lake Thun </w:t>
      </w:r>
      <w:r w:rsidR="000E48B5" w:rsidRPr="00847C76">
        <w:rPr>
          <w:lang w:val="en-US"/>
        </w:rPr>
        <w:t>(ca.</w:t>
      </w:r>
      <w:r w:rsidR="007D2A47" w:rsidRPr="00847C76">
        <w:rPr>
          <w:lang w:val="en-US"/>
        </w:rPr>
        <w:t xml:space="preserve"> 40 km west of the Fontannen section</w:t>
      </w:r>
      <w:r w:rsidR="000E48B5" w:rsidRPr="00D30337">
        <w:rPr>
          <w:lang w:val="en-US"/>
        </w:rPr>
        <w:t xml:space="preserve">; </w:t>
      </w:r>
      <w:r w:rsidR="000E48B5" w:rsidRPr="00847C76">
        <w:rPr>
          <w:lang w:val="en-US"/>
        </w:rPr>
        <w:fldChar w:fldCharType="begin" w:fldLock="1"/>
      </w:r>
      <w:r w:rsidR="00CD21B5" w:rsidRPr="00D30337">
        <w:rPr>
          <w:lang w:val="en-US"/>
        </w:rPr>
        <w:instrText>ADDIN CSL_CITATION {"citationItems":[{"id":"ITEM-1","itemData":{"author":[{"dropping-particle":"","family":"Burkhard","given":"Martin","non-dropping-particle":"","parse-names":false,"suffix":""},{"dropping-particle":"","family":"Kalkreuth","given":"Wolfgang","non-dropping-particle":"","parse-names":false,"suffix":""}],"id":"ITEM-1","issue":"1","issued":{"date-parts":[["1989"]]},"page":"47-64","title":"Coalification in the northern Wildhorn nappe and adjacent units, western Switzerland. Implications for tectonic burial hostories","type":"article-journal"},"uris":["http://www.mendeley.com/documents/?uuid=3a41c266-0ef2-4881-9ca9-73e35036c1ec"]}],"mendeley":{"formattedCitation":"(Burkhard and Kalkreuth, 1989)","manualFormatting":"Burkhard and Kalkreuth, 1989)","plainTextFormattedCitation":"(Burkhard and Kalkreuth, 1989)","previouslyFormattedCitation":"(Burkhard and Kalkreuth, 1989)"},"properties":{"noteIndex":0},"schema":"https://github.com/citation-style-language/schema/raw/master/csl-citation.json"}</w:instrText>
      </w:r>
      <w:r w:rsidR="000E48B5" w:rsidRPr="00847C76">
        <w:rPr>
          <w:lang w:val="en-US"/>
        </w:rPr>
        <w:fldChar w:fldCharType="separate"/>
      </w:r>
      <w:r w:rsidR="000E48B5" w:rsidRPr="00D30337">
        <w:rPr>
          <w:noProof/>
          <w:lang w:val="en-US"/>
        </w:rPr>
        <w:t>Burkhard and Kalkreuth, 1989)</w:t>
      </w:r>
      <w:r w:rsidR="000E48B5" w:rsidRPr="00847C76">
        <w:rPr>
          <w:lang w:val="en-US"/>
        </w:rPr>
        <w:fldChar w:fldCharType="end"/>
      </w:r>
      <w:r w:rsidR="000E48B5" w:rsidRPr="00847C76">
        <w:rPr>
          <w:lang w:val="en-US"/>
        </w:rPr>
        <w:t xml:space="preserve">, </w:t>
      </w:r>
      <w:r w:rsidR="007D2A47" w:rsidRPr="00847C76">
        <w:rPr>
          <w:lang w:val="en-US"/>
        </w:rPr>
        <w:t xml:space="preserve">and </w:t>
      </w:r>
      <w:r w:rsidR="007D2A47" w:rsidRPr="00D30337">
        <w:rPr>
          <w:rFonts w:asciiTheme="minorHAnsi" w:hAnsiTheme="minorHAnsi" w:cstheme="minorHAnsi"/>
        </w:rPr>
        <w:t xml:space="preserve">range from 40°C to 110°C for Central and Eastern Switzerland </w:t>
      </w:r>
      <w:r w:rsidR="0019738B" w:rsidRPr="00D30337">
        <w:rPr>
          <w:rFonts w:asciiTheme="minorHAnsi" w:hAnsiTheme="minorHAnsi" w:cstheme="minorHAnsi"/>
        </w:rPr>
        <w:t>(sampling cites of the sections Jona and Aabach</w:t>
      </w:r>
      <w:r w:rsidR="000E48B5" w:rsidRPr="00D30337">
        <w:rPr>
          <w:rFonts w:asciiTheme="minorHAnsi" w:hAnsiTheme="minorHAnsi" w:cstheme="minorHAnsi"/>
        </w:rPr>
        <w:t xml:space="preserve">; </w:t>
      </w:r>
      <w:r w:rsidR="000E48B5" w:rsidRPr="00847C76">
        <w:rPr>
          <w:rFonts w:asciiTheme="minorHAnsi" w:hAnsiTheme="minorHAnsi" w:cstheme="minorHAnsi"/>
        </w:rPr>
        <w:fldChar w:fldCharType="begin" w:fldLock="1"/>
      </w:r>
      <w:r w:rsidR="00CD21B5" w:rsidRPr="00D30337">
        <w:rPr>
          <w:rFonts w:asciiTheme="minorHAnsi" w:hAnsiTheme="minorHAnsi" w:cstheme="minorHAnsi"/>
        </w:rPr>
        <w:instrText>ADDIN CSL_CITATION {"citationItems":[{"id":"ITEM-1","itemData":{"author":[{"dropping-particle":"","family":"Schegg","given":"Roland","non-dropping-particle":"","parse-names":false,"suffix":""}],"id":"ITEM-1","issued":{"date-parts":[["1992"]]},"title":"Thermal maturity of the Swiss Molasse Basin : indications for paleogeothermal anomalies ? Thermal maturity ofthe Swiss Molasse Basin : Indications for paleogeothermal anomalies ? 1 ) By","type":"article-journal"},"uris":["http://www.mendeley.com/documents/?uuid=b8131f8a-33a3-49f3-b65a-4428c7e6e595"]}],"mendeley":{"formattedCitation":"(Schegg, 1992)","manualFormatting":"Schegg, 1992)","plainTextFormattedCitation":"(Schegg, 1992)","previouslyFormattedCitation":"(Schegg, 1992)"},"properties":{"noteIndex":0},"schema":"https://github.com/citation-style-language/schema/raw/master/csl-citation.json"}</w:instrText>
      </w:r>
      <w:r w:rsidR="000E48B5" w:rsidRPr="00847C76">
        <w:rPr>
          <w:rFonts w:asciiTheme="minorHAnsi" w:hAnsiTheme="minorHAnsi" w:cstheme="minorHAnsi"/>
        </w:rPr>
        <w:fldChar w:fldCharType="separate"/>
      </w:r>
      <w:r w:rsidR="000E48B5" w:rsidRPr="00D30337">
        <w:rPr>
          <w:rFonts w:asciiTheme="minorHAnsi" w:hAnsiTheme="minorHAnsi" w:cstheme="minorHAnsi"/>
          <w:noProof/>
        </w:rPr>
        <w:t>Schegg, 1992)</w:t>
      </w:r>
      <w:r w:rsidR="000E48B5" w:rsidRPr="00847C76">
        <w:rPr>
          <w:rFonts w:asciiTheme="minorHAnsi" w:hAnsiTheme="minorHAnsi" w:cstheme="minorHAnsi"/>
        </w:rPr>
        <w:fldChar w:fldCharType="end"/>
      </w:r>
      <w:r w:rsidR="0019738B" w:rsidRPr="00D30337">
        <w:rPr>
          <w:rFonts w:asciiTheme="minorHAnsi" w:hAnsiTheme="minorHAnsi" w:cstheme="minorHAnsi"/>
        </w:rPr>
        <w:t>.</w:t>
      </w:r>
    </w:p>
    <w:p w14:paraId="5E6CA326" w14:textId="6CC59F80" w:rsidR="003F7852" w:rsidRPr="00D30337" w:rsidRDefault="00271271" w:rsidP="002F3A4A">
      <w:pPr>
        <w:rPr>
          <w:rFonts w:asciiTheme="minorHAnsi" w:hAnsiTheme="minorHAnsi" w:cstheme="minorHAnsi"/>
          <w:sz w:val="16"/>
        </w:rPr>
      </w:pPr>
      <w:r w:rsidRPr="00847C76">
        <w:rPr>
          <w:lang w:val="en-US"/>
        </w:rPr>
        <w:fldChar w:fldCharType="begin" w:fldLock="1"/>
      </w:r>
      <w:r w:rsidR="00FE722C" w:rsidRPr="00D30337">
        <w:rPr>
          <w:lang w:val="en-US"/>
        </w:rPr>
        <w:instrText>ADDIN CSL_CITATION {"citationItems":[{"id":"ITEM-1","itemData":{"DOI":"10.1016/j.gca.2014.04.040","ISSN":"00167037","abstract":"Solid-state reordering of C-O bonds in the calcite lattice can alter the clumped isotope composition of paleotemperature archives such as fossil brachiopod shells without inducing significant changes in shell microstructure and trace element concentrations, metrics commonly used to gauge preservation quality. To correctly interpret the paleoenvironmental significance of clumped isotope-derived paleotemperatures, it is necessary to understand the temperature-time domain in which solid-state C-O bond reordering is important. We address this question using a combination of laboratory and natural geological experiments on Paleozoic brachiopod shells. The laboratory experiments involve heating fossil brachiopod calcite at different temperatures and times to directly observe rates of 13C-18O bond reordering. The resulting Arrhenius parameters are indistinguishable from values previously determined for an optical calcite with similar trace element compositions. We develop an alternative kinetic model for reordering that accounts for non-first-order reaction progress observed during the initial several hundred minutes of laboratory heating experiments, and show that the simplified first-order approximation model (Passey and Henkes, 2012) predicts reaction progress equally well for temperatures and timescales relevant to sedimentary basins. We evaluate our laboratory-based rate predictions by studying brachiopod calcite from several sedimentary basins with independently constrained burial temperature histories. Specifically, we use the laboratory-derived Arrhenius parameters to predict the evolution of brachiopod calcite clumped isotope compositions during successive one million-year time steps reflecting the burial and exhumation temperature paths of each basin. While this exercise is limited by the relatively large uncertainties in the temperature histories of these basins, we find general correspondence, within error, between predicted and observed clumped isotope values. We present simplified temperature-time diagrams for calcite showing domains where primary clumped isotope compositions will be preserved, partially reordered, and fully reordered. In conclusion, calcite samples dwelling at ~100°C or lower for 106-108 year timescales should not be affected by solid-state C-O bond reordering. © 2014 Elsevier Ltd.","author":[{"dropping-particle":"","family":"Henkes","given":"Gregory A.","non-dropping-particle":"","parse-names":false,"suffix":""},{"dropping-particle":"","family":"Passey","given":"Benjamin H.","non-dropping-particle":"","parse-names":false,"suffix":""},{"dropping-particle":"","family":"Grossman","given":"Ethan L.","non-dropping-particle":"","parse-names":false,"suffix":""},{"dropping-particle":"","family":"Shenton","given":"Brock J.","non-dropping-particle":"","parse-names":false,"suffix":""},{"dropping-particle":"","family":"Pérez-Huerta","given":"Alberto","non-dropping-particle":"","parse-names":false,"suffix":""},{"dropping-particle":"","family":"Yancey","given":"Thomas E.","non-dropping-particle":"","parse-names":false,"suffix":""}],"container-title":"Geochimica et Cosmochimica Acta","id":"ITEM-1","issued":{"date-parts":[["2014"]]},"page":"362-382","title":"Temperature limits for preservation of primary calcite clumped isotope paleotemperatures","type":"article-journal","volume":"139"},"uris":["http://www.mendeley.com/documents/?uuid=89e96b85-82dc-4dba-a011-e1e7319652fa"]}],"mendeley":{"formattedCitation":"(Henkes et al., 2014)","manualFormatting":"Henkes et al. (2014)","plainTextFormattedCitation":"(Henkes et al., 2014)","previouslyFormattedCitation":"(Henkes et al., 2014)"},"properties":{"noteIndex":0},"schema":"https://github.com/citation-style-language/schema/raw/master/csl-citation.json"}</w:instrText>
      </w:r>
      <w:r w:rsidRPr="00847C76">
        <w:rPr>
          <w:lang w:val="en-US"/>
        </w:rPr>
        <w:fldChar w:fldCharType="separate"/>
      </w:r>
      <w:r w:rsidRPr="00D30337">
        <w:rPr>
          <w:noProof/>
          <w:lang w:val="en-US"/>
        </w:rPr>
        <w:t>Henkes et al. (2014)</w:t>
      </w:r>
      <w:r w:rsidRPr="00847C76">
        <w:rPr>
          <w:lang w:val="en-US"/>
        </w:rPr>
        <w:fldChar w:fldCharType="end"/>
      </w:r>
      <w:r w:rsidR="001245F1" w:rsidRPr="00D30337">
        <w:rPr>
          <w:lang w:val="en-US"/>
        </w:rPr>
        <w:t xml:space="preserve"> </w:t>
      </w:r>
      <w:r w:rsidR="001245F1" w:rsidRPr="00847C76">
        <w:rPr>
          <w:lang w:val="en-US"/>
        </w:rPr>
        <w:t xml:space="preserve">studied temperature-time </w:t>
      </w:r>
      <w:r w:rsidR="00D87A21" w:rsidRPr="00847C76">
        <w:rPr>
          <w:lang w:val="en-US"/>
        </w:rPr>
        <w:t>related conditions</w:t>
      </w:r>
      <w:r w:rsidR="001245F1" w:rsidRPr="00847C76">
        <w:rPr>
          <w:lang w:val="en-US"/>
        </w:rPr>
        <w:t xml:space="preserve"> necessary to fully (or partially) reorder C–O bonds in paleotemperature archives</w:t>
      </w:r>
      <w:r w:rsidR="00D87A21" w:rsidRPr="00847C76">
        <w:rPr>
          <w:lang w:val="en-US"/>
        </w:rPr>
        <w:t>, such as terrestrial soil carbonates</w:t>
      </w:r>
      <w:r w:rsidR="001245F1" w:rsidRPr="00847C76">
        <w:rPr>
          <w:lang w:val="en-US"/>
        </w:rPr>
        <w:t xml:space="preserve">. According to their model, carbonate samples which </w:t>
      </w:r>
      <w:r w:rsidR="00D87A21" w:rsidRPr="00847C76">
        <w:rPr>
          <w:lang w:val="en-US"/>
        </w:rPr>
        <w:t>are</w:t>
      </w:r>
      <w:r w:rsidR="001245F1" w:rsidRPr="00847C76">
        <w:rPr>
          <w:lang w:val="en-US"/>
        </w:rPr>
        <w:t xml:space="preserve"> exposed to burial temperatures of ~100°C for periods of 10</w:t>
      </w:r>
      <w:r w:rsidR="001245F1" w:rsidRPr="00847C76">
        <w:rPr>
          <w:vertAlign w:val="superscript"/>
          <w:lang w:val="en-US"/>
        </w:rPr>
        <w:t>6</w:t>
      </w:r>
      <w:r w:rsidR="001245F1" w:rsidRPr="00847C76">
        <w:rPr>
          <w:lang w:val="en-US"/>
        </w:rPr>
        <w:t>–10</w:t>
      </w:r>
      <w:r w:rsidR="001245F1" w:rsidRPr="00847C76">
        <w:rPr>
          <w:vertAlign w:val="superscript"/>
          <w:lang w:val="en-US"/>
        </w:rPr>
        <w:t>8</w:t>
      </w:r>
      <w:r w:rsidR="001245F1" w:rsidRPr="00847C76">
        <w:rPr>
          <w:lang w:val="en-US"/>
        </w:rPr>
        <w:t xml:space="preserve"> years, do not experience relevant changes in their original Δ</w:t>
      </w:r>
      <w:r w:rsidR="001245F1" w:rsidRPr="00847C76">
        <w:rPr>
          <w:vertAlign w:val="subscript"/>
          <w:lang w:val="en-US"/>
        </w:rPr>
        <w:t>47</w:t>
      </w:r>
      <w:r w:rsidR="001245F1" w:rsidRPr="00847C76">
        <w:rPr>
          <w:lang w:val="en-US"/>
        </w:rPr>
        <w:t xml:space="preserve"> temperatures. </w:t>
      </w:r>
      <w:r w:rsidR="00B910FE" w:rsidRPr="00847C76">
        <w:rPr>
          <w:lang w:val="en-US"/>
        </w:rPr>
        <w:t>Sedimentation of the youngest basin fill (OSM) ended between ~10 Ma and ~5</w:t>
      </w:r>
      <w:r w:rsidR="00C84458">
        <w:rPr>
          <w:lang w:val="en-US"/>
        </w:rPr>
        <w:t xml:space="preserve"> </w:t>
      </w:r>
      <w:r w:rsidR="00B910FE" w:rsidRPr="00847C76">
        <w:rPr>
          <w:lang w:val="en-US"/>
        </w:rPr>
        <w:t>Ma in the Swiss Molasse Basin</w:t>
      </w:r>
      <w:r w:rsidR="001477C2" w:rsidRPr="00847C76">
        <w:rPr>
          <w:lang w:val="en-US"/>
        </w:rPr>
        <w:t>.</w:t>
      </w:r>
      <w:r w:rsidR="00B910FE" w:rsidRPr="00847C76">
        <w:rPr>
          <w:sz w:val="16"/>
          <w:lang w:val="en-US"/>
        </w:rPr>
        <w:t xml:space="preserve"> </w:t>
      </w:r>
      <w:r w:rsidR="007A4CF6">
        <w:rPr>
          <w:lang w:val="en-US"/>
        </w:rPr>
        <w:lastRenderedPageBreak/>
        <w:t xml:space="preserve">Considering </w:t>
      </w:r>
      <w:r w:rsidR="00D87A21" w:rsidRPr="00847C76">
        <w:rPr>
          <w:lang w:val="en-US"/>
        </w:rPr>
        <w:t>max</w:t>
      </w:r>
      <w:r w:rsidR="007A4CF6">
        <w:rPr>
          <w:lang w:val="en-US"/>
        </w:rPr>
        <w:t>imum</w:t>
      </w:r>
      <w:r w:rsidR="00D87A21" w:rsidRPr="00847C76">
        <w:rPr>
          <w:lang w:val="en-US"/>
        </w:rPr>
        <w:t xml:space="preserve"> </w:t>
      </w:r>
      <w:r w:rsidR="007A4CF6">
        <w:rPr>
          <w:lang w:val="en-US"/>
        </w:rPr>
        <w:t xml:space="preserve">burial temperatures (40–110°C) </w:t>
      </w:r>
      <w:r w:rsidR="00D87A21" w:rsidRPr="00847C76">
        <w:rPr>
          <w:lang w:val="en-US"/>
        </w:rPr>
        <w:t xml:space="preserve">for </w:t>
      </w:r>
      <w:r w:rsidR="001245F1" w:rsidRPr="00847C76">
        <w:rPr>
          <w:lang w:val="en-US"/>
        </w:rPr>
        <w:t xml:space="preserve">the </w:t>
      </w:r>
      <w:r w:rsidR="00D87A21" w:rsidRPr="00847C76">
        <w:rPr>
          <w:lang w:val="en-US"/>
        </w:rPr>
        <w:t xml:space="preserve">Swiss </w:t>
      </w:r>
      <w:r w:rsidR="001245F1" w:rsidRPr="00847C76">
        <w:rPr>
          <w:lang w:val="en-US"/>
        </w:rPr>
        <w:t>Molasse Basin</w:t>
      </w:r>
      <w:r w:rsidR="007A4CF6">
        <w:rPr>
          <w:lang w:val="en-US"/>
        </w:rPr>
        <w:t xml:space="preserve"> and the rather short time interval of max. 10 million years</w:t>
      </w:r>
      <w:r w:rsidR="001245F1" w:rsidRPr="00847C76">
        <w:rPr>
          <w:lang w:val="en-US"/>
        </w:rPr>
        <w:t xml:space="preserve"> </w:t>
      </w:r>
      <w:r w:rsidR="007A4CF6">
        <w:rPr>
          <w:lang w:val="en-US"/>
        </w:rPr>
        <w:t>of burial, during</w:t>
      </w:r>
      <w:r w:rsidR="001245F1" w:rsidRPr="00847C76">
        <w:rPr>
          <w:lang w:val="en-US"/>
        </w:rPr>
        <w:t xml:space="preserve"> which OSM sediments were </w:t>
      </w:r>
      <w:r w:rsidR="007A4CF6">
        <w:rPr>
          <w:lang w:val="en-US"/>
        </w:rPr>
        <w:t>overburden</w:t>
      </w:r>
      <w:r w:rsidR="001245F1" w:rsidRPr="00847C76">
        <w:rPr>
          <w:lang w:val="en-US"/>
        </w:rPr>
        <w:t xml:space="preserve">, </w:t>
      </w:r>
      <w:r w:rsidR="007A4CF6">
        <w:rPr>
          <w:lang w:val="en-US"/>
        </w:rPr>
        <w:t>this indicates</w:t>
      </w:r>
      <w:r w:rsidR="001245F1" w:rsidRPr="00847C76">
        <w:rPr>
          <w:lang w:val="en-US"/>
        </w:rPr>
        <w:t xml:space="preserve"> that the sampled </w:t>
      </w:r>
      <w:r w:rsidR="007A4CF6">
        <w:rPr>
          <w:lang w:val="en-US"/>
        </w:rPr>
        <w:t xml:space="preserve">Swiss Molasse Basin </w:t>
      </w:r>
      <w:r w:rsidR="001245F1" w:rsidRPr="00847C76">
        <w:rPr>
          <w:lang w:val="en-US"/>
        </w:rPr>
        <w:t xml:space="preserve">pedogenic carbonate nodules were most probably not affected by </w:t>
      </w:r>
      <w:r w:rsidR="007A4CF6">
        <w:rPr>
          <w:lang w:val="en-US"/>
        </w:rPr>
        <w:t>solid-state C–O bond reordering, as time and temperature of burial are not sufficient.</w:t>
      </w:r>
    </w:p>
    <w:p w14:paraId="13D1DD49" w14:textId="0E275E53" w:rsidR="00210F4C" w:rsidRDefault="0048155E" w:rsidP="00210F4C">
      <w:pPr>
        <w:pStyle w:val="berschrift1"/>
        <w:rPr>
          <w:lang w:val="en-US"/>
        </w:rPr>
      </w:pPr>
      <w:r>
        <w:rPr>
          <w:lang w:val="en-US"/>
        </w:rPr>
        <w:lastRenderedPageBreak/>
        <w:t>S5</w:t>
      </w:r>
      <w:r w:rsidR="002F3A4A">
        <w:rPr>
          <w:lang w:val="en-US"/>
        </w:rPr>
        <w:t xml:space="preserve"> </w:t>
      </w:r>
      <w:r w:rsidR="00210F4C">
        <w:rPr>
          <w:lang w:val="en-US"/>
        </w:rPr>
        <w:t>Figures</w:t>
      </w:r>
    </w:p>
    <w:p w14:paraId="6F11FA1B" w14:textId="0E3FDACF" w:rsidR="00522921" w:rsidRDefault="008672B2" w:rsidP="00847C76">
      <w:pPr>
        <w:rPr>
          <w:lang w:val="en-US"/>
        </w:rPr>
      </w:pPr>
      <w:r>
        <w:rPr>
          <w:noProof/>
          <w:lang w:val="de-DE"/>
        </w:rPr>
        <w:drawing>
          <wp:inline distT="0" distB="0" distL="0" distR="0" wp14:anchorId="42B9F59D" wp14:editId="66F0837D">
            <wp:extent cx="4661765" cy="6837528"/>
            <wp:effectExtent l="0" t="0" r="571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 constraints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3338" cy="6839835"/>
                    </a:xfrm>
                    <a:prstGeom prst="rect">
                      <a:avLst/>
                    </a:prstGeom>
                  </pic:spPr>
                </pic:pic>
              </a:graphicData>
            </a:graphic>
          </wp:inline>
        </w:drawing>
      </w:r>
    </w:p>
    <w:p w14:paraId="3B98B944" w14:textId="02E1C74B" w:rsidR="008672B2" w:rsidRPr="00FE722C" w:rsidRDefault="008672B2" w:rsidP="00847C76">
      <w:pPr>
        <w:spacing w:line="240" w:lineRule="auto"/>
        <w:rPr>
          <w:sz w:val="18"/>
          <w:lang w:val="en-US"/>
        </w:rPr>
      </w:pPr>
      <w:r w:rsidRPr="00D30337">
        <w:rPr>
          <w:b/>
          <w:sz w:val="18"/>
        </w:rPr>
        <w:lastRenderedPageBreak/>
        <w:t xml:space="preserve">Figure </w:t>
      </w:r>
      <w:r w:rsidR="0048155E">
        <w:rPr>
          <w:b/>
          <w:color w:val="000000" w:themeColor="text1"/>
          <w:sz w:val="18"/>
          <w:lang w:val="en-US"/>
        </w:rPr>
        <w:t>S1</w:t>
      </w:r>
      <w:r w:rsidRPr="00D30337">
        <w:rPr>
          <w:b/>
          <w:color w:val="000000" w:themeColor="text1"/>
          <w:sz w:val="18"/>
          <w:lang w:val="en-US"/>
        </w:rPr>
        <w:t>:</w:t>
      </w:r>
      <w:r w:rsidRPr="00FE722C">
        <w:rPr>
          <w:b/>
          <w:color w:val="000000" w:themeColor="text1"/>
          <w:sz w:val="18"/>
          <w:lang w:val="en-US"/>
        </w:rPr>
        <w:t xml:space="preserve"> </w:t>
      </w:r>
      <w:r>
        <w:rPr>
          <w:b/>
          <w:sz w:val="18"/>
          <w:lang w:val="en-US"/>
        </w:rPr>
        <w:t xml:space="preserve">Pedogenic carbonate nodule ages </w:t>
      </w:r>
      <w:r w:rsidR="00FE722C">
        <w:rPr>
          <w:b/>
          <w:sz w:val="18"/>
          <w:lang w:val="en-US"/>
        </w:rPr>
        <w:t xml:space="preserve">of Swiss Molasse Basin </w:t>
      </w:r>
      <w:r>
        <w:rPr>
          <w:b/>
          <w:sz w:val="18"/>
          <w:lang w:val="en-US"/>
        </w:rPr>
        <w:t>section</w:t>
      </w:r>
      <w:r w:rsidR="00FE722C">
        <w:rPr>
          <w:b/>
          <w:sz w:val="18"/>
          <w:lang w:val="en-US"/>
        </w:rPr>
        <w:t>s</w:t>
      </w:r>
      <w:r>
        <w:rPr>
          <w:b/>
          <w:sz w:val="18"/>
          <w:lang w:val="en-US"/>
        </w:rPr>
        <w:t xml:space="preserve"> were calculated based on local magnetostratigraphy. A) </w:t>
      </w:r>
      <w:r w:rsidR="00FE722C">
        <w:rPr>
          <w:b/>
          <w:sz w:val="18"/>
          <w:lang w:val="en-US"/>
        </w:rPr>
        <w:t xml:space="preserve">Local </w:t>
      </w:r>
      <w:proofErr w:type="spellStart"/>
      <w:r w:rsidR="00FE722C">
        <w:rPr>
          <w:b/>
          <w:sz w:val="18"/>
          <w:lang w:val="en-US"/>
        </w:rPr>
        <w:t>magnetostratigraphies</w:t>
      </w:r>
      <w:proofErr w:type="spellEnd"/>
      <w:r w:rsidR="00FE722C">
        <w:rPr>
          <w:b/>
          <w:sz w:val="18"/>
          <w:lang w:val="en-US"/>
        </w:rPr>
        <w:t xml:space="preserve">, sampling locations of pedogenic carbonates and </w:t>
      </w:r>
      <w:proofErr w:type="spellStart"/>
      <w:r w:rsidR="00FE722C">
        <w:rPr>
          <w:b/>
          <w:sz w:val="18"/>
          <w:lang w:val="en-US"/>
        </w:rPr>
        <w:t>lithostratigraphies</w:t>
      </w:r>
      <w:proofErr w:type="spellEnd"/>
      <w:r w:rsidR="00FE722C">
        <w:rPr>
          <w:b/>
          <w:sz w:val="18"/>
          <w:lang w:val="en-US"/>
        </w:rPr>
        <w:t xml:space="preserve"> for each section. </w:t>
      </w:r>
      <w:proofErr w:type="spellStart"/>
      <w:r w:rsidR="00FE722C">
        <w:rPr>
          <w:b/>
          <w:sz w:val="18"/>
          <w:lang w:val="en-US"/>
        </w:rPr>
        <w:t>Magnetostratigraphies</w:t>
      </w:r>
      <w:proofErr w:type="spellEnd"/>
      <w:r w:rsidR="00FE722C">
        <w:rPr>
          <w:b/>
          <w:sz w:val="18"/>
          <w:lang w:val="en-US"/>
        </w:rPr>
        <w:t xml:space="preserve"> from </w:t>
      </w:r>
      <w:r w:rsidR="00FE722C">
        <w:rPr>
          <w:b/>
          <w:sz w:val="18"/>
          <w:lang w:val="en-US"/>
        </w:rPr>
        <w:fldChar w:fldCharType="begin" w:fldLock="1"/>
      </w:r>
      <w:r w:rsidR="00FE722C">
        <w:rPr>
          <w:b/>
          <w:sz w:val="18"/>
          <w:lang w:val="en-US"/>
        </w:rPr>
        <w:instrText>ADDIN CSL_CITATION {"citationItems":[{"id":"ITEM-1","itemData":{"DOI":"10.5169/seals-167923","ISSN":"00129402","abstract":"Across the broad spatial and temporal expanse of the Alpine foreland basin, reconstruction of the relationships between basin subsidence, facies distribution and unroofing history of the Alpine wedge has been thwarted by the absence of a detailed chronologic framework. High resolution magnetostratigraphies, established on eight fossiliferous sections in the Lake Thun, Napf and Lake Zürich areas as well as in the Jura Mountains, provide the most complete temporal calibration of the Late Oligocene to Middle Miocene (30-15 Ma) mammal biozonation. The average duration of the 22 assemblage zones calibrated in this paper varies from 300 kyr in the Late Chattian to approximately 800 kyr in the Aquitanian to Langhian and in the Early Chattian. Furthermore the magnetic chronology suggests that the Paleogene/Neogene boundary should be placed within the mammal assemblage zone of Brochene Fluh 53. The presented magnetostratigraphies greatly improve the temporal calibration of the depositional sequences in the North Alpine foreland basin between 30-15 Ma. The Lower Marine Molasse (UMM) regression in central Switzerland is dated with 30 Ma, which coincides with an eustatic sea level fall. The Upper Marine Molasse (OMM) transgression is strongly heterochronous and is calibrated with 21 Ma in Haute Savoie and 20 Ma in the Napf area, suggesting that the perialpine sea way expanded from west to east. The transition from marine OMM to continental Upper Freshwater Molasse (OSM) is time transgressive as well. In the center of the Napf fan, OSM conglomerates rest directly on Lower Freshwater Molasse (USM) with no OMM in between. 10 kilometers farther east the OMM regression is calibrated with 18.7 Ma as compared to 17 Ma in the interfan are-.","author":[{"dropping-particle":"","family":"Schlunegger","given":"Fritz","non-dropping-particle":"","parse-names":false,"suffix":""},{"dropping-particle":"","family":"Burbank","given":"Douglas W.","non-dropping-particle":"","parse-names":false,"suffix":""},{"dropping-particle":"","family":"Matter","given":"Albert","non-dropping-particle":"","parse-names":false,"suffix":""},{"dropping-particle":"","family":"Engesser","given":"Burkhart","non-dropping-particle":"","parse-names":false,"suffix":""},{"dropping-particle":"","family":"Mödden","given":"Clemens","non-dropping-particle":"","parse-names":false,"suffix":""}],"container-title":"Eclogae Geologicae Helvetiae","id":"ITEM-1","issue":"2","issued":{"date-parts":[["1996"]]},"page":"753-788","title":"Magnetostratigraphic calibration of the Oligocence to Middle Miocene (30-15 Ma) mammal biozones and depositional sequences of the Swiss Molasse Basin","type":"article-journal","volume":"89"},"uris":["http://www.mendeley.com/documents/?uuid=55e62dde-7b80-46c1-812a-6a8ea77d2b15"]},{"id":"ITEM-2","itemData":{"DOI":"10.5169/seals-168650","ISSN":"00129402","abstract":"Four magnetostratigraphic sections provide detailed insight into the depositional history of the Upper Freshwater Molasse (OSM) of eastern Switzerland between 17-13 Ma (Middle Miocene). The individual magnetostratigraphic sections are constrained by biostratigraphic data as well as radiometric ages of bentonites. A comparison of distal and proximal sections shows that sedimentation over the investigated time period is relatively uniform with an average rate of 0.25 mm/a. Before 15 Ma, however, the average sedimentation rates are significantly lower in both settings: &lt;0.1 mm/a in the distal area (ca. 16.5-15 Ma) and 0.15 mm/a in the proximal area (ca. 16-15 Ma). Our data suggest strongly varying sedimentation rates and erosional phases particularly in the distal area. The stratigraphic evolution of the eastern Swiss OSM is thus linked to a thrusting event at 15 Ma, following a phase of relative tectonic quiescence.","author":[{"dropping-particle":"","family":"Kempf","given":"Oliver","non-dropping-particle":"","parse-names":false,"suffix":""},{"dropping-particle":"","family":"Matter","given":"Albert","non-dropping-particle":"","parse-names":false,"suffix":""}],"container-title":"Eclogae Geologicae Helvetiae","id":"ITEM-2","issue":"1","issued":{"date-parts":[["1999"]]},"page":"97-103","title":"Magnetostratigraphy and depositional history of the Upper Freshwater Molasse (OSM) of eastern Switzerland","type":"article-journal","volume":"92"},"uris":["http://www.mendeley.com/documents/?uuid=e2937111-55a5-4324-81e9-2806edd35221"]},{"id":"ITEM-3","itemData":{"author":[{"dropping-particle":"","family":"Kempf","given":"Oliver","non-dropping-particle":"","parse-names":false,"suffix":""},{"dropping-particle":"","family":"Bolliger","given":"Thomas","non-dropping-particle":"","parse-names":false,"suffix":""},{"dropping-particle":"","family":"Kalin","given":"Daniel","non-dropping-particle":"","parse-names":false,"suffix":""},{"dropping-particle":"","family":"Engesser","given":"Burkart","non-dropping-particle":"","parse-names":false,"suffix":""},{"dropping-particle":"","family":"Matter","given":"Albert","non-dropping-particle":"","parse-names":false,"suffix":""},{"dropping-particle":"","family":"Moyen","given":"Inferieur A","non-dropping-particle":"","parse-names":false,"suffix":""},{"dropping-particle":"","family":"Avant","given":"D E L","non-dropping-particle":"","parse-names":false,"suffix":""}],"id":"ITEM-3","issued":{"date-parts":[["1997"]]},"page":"547-561","title":"New Magnetostratigraphic Calibration of Early to Middle Miocene Mammal Biozones of the North Alpine Foreland Basin","type":"article-journal"},"uris":["http://www.mendeley.com/documents/?uuid=bb9391d7-d89b-451c-81a8-774a77d940e5"]}],"mendeley":{"formattedCitation":"(Kempf et al., 1997; Kempf and Matter, 1999; Schlunegger et al., 1996)","plainTextFormattedCitation":"(Kempf et al., 1997; Kempf and Matter, 1999; Schlunegger et al., 1996)","previouslyFormattedCitation":"(Kempf et al., 1997; Kempf and Matter, 1999; Schlunegger et al., 1996)"},"properties":{"noteIndex":0},"schema":"https://github.com/citation-style-language/schema/raw/master/csl-citation.json"}</w:instrText>
      </w:r>
      <w:r w:rsidR="00FE722C">
        <w:rPr>
          <w:b/>
          <w:sz w:val="18"/>
          <w:lang w:val="en-US"/>
        </w:rPr>
        <w:fldChar w:fldCharType="separate"/>
      </w:r>
      <w:r w:rsidR="00FE722C" w:rsidRPr="00847C76">
        <w:rPr>
          <w:noProof/>
          <w:sz w:val="18"/>
          <w:lang w:val="en-US"/>
        </w:rPr>
        <w:t>(Kempf et al., 1997; Kempf and Matter, 1999; Schlunegger et al., 1996)</w:t>
      </w:r>
      <w:r w:rsidR="00FE722C">
        <w:rPr>
          <w:b/>
          <w:sz w:val="18"/>
          <w:lang w:val="en-US"/>
        </w:rPr>
        <w:fldChar w:fldCharType="end"/>
      </w:r>
      <w:r w:rsidR="00FE722C">
        <w:rPr>
          <w:b/>
          <w:sz w:val="18"/>
          <w:lang w:val="en-US"/>
        </w:rPr>
        <w:t xml:space="preserve">. Also shown are stratigraphic positions of marker beds and mammal </w:t>
      </w:r>
      <w:r w:rsidR="00FE722C" w:rsidRPr="00FE722C">
        <w:rPr>
          <w:b/>
          <w:sz w:val="18"/>
          <w:szCs w:val="18"/>
          <w:lang w:val="en-US"/>
        </w:rPr>
        <w:t xml:space="preserve">sites </w:t>
      </w:r>
      <w:r w:rsidR="00FE722C" w:rsidRPr="00FE722C">
        <w:rPr>
          <w:rFonts w:cstheme="minorHAnsi"/>
          <w:b/>
          <w:sz w:val="18"/>
          <w:szCs w:val="18"/>
        </w:rPr>
        <w:t>(*</w:t>
      </w:r>
      <w:r w:rsidR="00FE722C" w:rsidRPr="00FE722C">
        <w:rPr>
          <w:rFonts w:cstheme="minorHAnsi"/>
          <w:b/>
          <w:sz w:val="18"/>
          <w:szCs w:val="18"/>
          <w:vertAlign w:val="superscript"/>
        </w:rPr>
        <w:t>1</w:t>
      </w:r>
      <w:r w:rsidR="00FE722C" w:rsidRPr="00FE722C">
        <w:rPr>
          <w:rFonts w:cstheme="minorHAnsi"/>
          <w:b/>
          <w:sz w:val="18"/>
          <w:szCs w:val="18"/>
        </w:rPr>
        <w:t xml:space="preserve"> projected </w:t>
      </w:r>
      <w:proofErr w:type="spellStart"/>
      <w:r w:rsidR="00FE722C" w:rsidRPr="00FE722C">
        <w:rPr>
          <w:rFonts w:cstheme="minorHAnsi"/>
          <w:b/>
          <w:sz w:val="18"/>
          <w:szCs w:val="18"/>
        </w:rPr>
        <w:t>Oeschgraben</w:t>
      </w:r>
      <w:proofErr w:type="spellEnd"/>
      <w:r w:rsidR="00FE722C" w:rsidRPr="00FE722C">
        <w:rPr>
          <w:rFonts w:cstheme="minorHAnsi"/>
          <w:b/>
          <w:sz w:val="18"/>
          <w:szCs w:val="18"/>
        </w:rPr>
        <w:t xml:space="preserve"> (MN 6), *</w:t>
      </w:r>
      <w:r w:rsidR="00FE722C" w:rsidRPr="00FE722C">
        <w:rPr>
          <w:rFonts w:cstheme="minorHAnsi"/>
          <w:b/>
          <w:sz w:val="18"/>
          <w:szCs w:val="18"/>
          <w:vertAlign w:val="superscript"/>
        </w:rPr>
        <w:t>2</w:t>
      </w:r>
      <w:r w:rsidR="00FE722C" w:rsidRPr="00FE722C">
        <w:rPr>
          <w:rFonts w:cstheme="minorHAnsi"/>
          <w:b/>
          <w:sz w:val="18"/>
          <w:szCs w:val="18"/>
        </w:rPr>
        <w:t xml:space="preserve"> </w:t>
      </w:r>
      <w:proofErr w:type="spellStart"/>
      <w:r w:rsidR="00FE722C" w:rsidRPr="00FE722C">
        <w:rPr>
          <w:rFonts w:cstheme="minorHAnsi"/>
          <w:b/>
          <w:sz w:val="18"/>
          <w:szCs w:val="18"/>
        </w:rPr>
        <w:t>Chatzloch</w:t>
      </w:r>
      <w:proofErr w:type="spellEnd"/>
      <w:r w:rsidR="00FE722C" w:rsidRPr="00FE722C">
        <w:rPr>
          <w:rFonts w:cstheme="minorHAnsi"/>
          <w:b/>
          <w:sz w:val="18"/>
          <w:szCs w:val="18"/>
        </w:rPr>
        <w:t xml:space="preserve"> (</w:t>
      </w:r>
      <w:proofErr w:type="spellStart"/>
      <w:r w:rsidR="00FE722C" w:rsidRPr="00FE722C">
        <w:rPr>
          <w:rFonts w:cstheme="minorHAnsi"/>
          <w:b/>
          <w:sz w:val="18"/>
          <w:szCs w:val="18"/>
        </w:rPr>
        <w:t>Frohberg</w:t>
      </w:r>
      <w:proofErr w:type="spellEnd"/>
      <w:r w:rsidR="00FE722C" w:rsidRPr="00FE722C">
        <w:rPr>
          <w:rFonts w:cstheme="minorHAnsi"/>
          <w:b/>
          <w:sz w:val="18"/>
          <w:szCs w:val="18"/>
        </w:rPr>
        <w:t>, MN 5), *</w:t>
      </w:r>
      <w:r w:rsidR="00FE722C" w:rsidRPr="00FE722C">
        <w:rPr>
          <w:rFonts w:cstheme="minorHAnsi"/>
          <w:b/>
          <w:sz w:val="18"/>
          <w:szCs w:val="18"/>
          <w:vertAlign w:val="superscript"/>
        </w:rPr>
        <w:t>3</w:t>
      </w:r>
      <w:r w:rsidR="00FE722C" w:rsidRPr="00FE722C">
        <w:rPr>
          <w:rFonts w:cstheme="minorHAnsi"/>
          <w:b/>
          <w:sz w:val="18"/>
          <w:szCs w:val="18"/>
        </w:rPr>
        <w:t xml:space="preserve"> Vermes 1 (MN 5), *</w:t>
      </w:r>
      <w:r w:rsidR="00FE722C" w:rsidRPr="00FE722C">
        <w:rPr>
          <w:rFonts w:cstheme="minorHAnsi"/>
          <w:b/>
          <w:sz w:val="18"/>
          <w:szCs w:val="18"/>
          <w:vertAlign w:val="superscript"/>
        </w:rPr>
        <w:t>4</w:t>
      </w:r>
      <w:r w:rsidR="00FE722C" w:rsidRPr="00FE722C">
        <w:rPr>
          <w:rFonts w:cstheme="minorHAnsi"/>
          <w:b/>
          <w:sz w:val="18"/>
          <w:szCs w:val="18"/>
        </w:rPr>
        <w:t xml:space="preserve"> </w:t>
      </w:r>
      <w:proofErr w:type="spellStart"/>
      <w:r w:rsidR="00FE722C" w:rsidRPr="00FE722C">
        <w:rPr>
          <w:rFonts w:cstheme="minorHAnsi"/>
          <w:b/>
          <w:sz w:val="18"/>
          <w:szCs w:val="18"/>
        </w:rPr>
        <w:t>Tägermaustrasse</w:t>
      </w:r>
      <w:proofErr w:type="spellEnd"/>
      <w:r w:rsidR="00FE722C" w:rsidRPr="00FE722C">
        <w:rPr>
          <w:rFonts w:cstheme="minorHAnsi"/>
          <w:b/>
          <w:sz w:val="18"/>
          <w:szCs w:val="18"/>
        </w:rPr>
        <w:t xml:space="preserve"> (MN 4), *</w:t>
      </w:r>
      <w:r w:rsidR="00FE722C" w:rsidRPr="00FE722C">
        <w:rPr>
          <w:rFonts w:cstheme="minorHAnsi"/>
          <w:b/>
          <w:sz w:val="18"/>
          <w:szCs w:val="18"/>
          <w:vertAlign w:val="superscript"/>
        </w:rPr>
        <w:t>5</w:t>
      </w:r>
      <w:r w:rsidR="00FE722C" w:rsidRPr="00FE722C">
        <w:rPr>
          <w:rFonts w:cstheme="minorHAnsi"/>
          <w:b/>
          <w:sz w:val="18"/>
          <w:szCs w:val="18"/>
        </w:rPr>
        <w:t xml:space="preserve"> projected </w:t>
      </w:r>
      <w:proofErr w:type="spellStart"/>
      <w:r w:rsidR="00FE722C" w:rsidRPr="00FE722C">
        <w:rPr>
          <w:rFonts w:cstheme="minorHAnsi"/>
          <w:b/>
          <w:sz w:val="18"/>
          <w:szCs w:val="18"/>
        </w:rPr>
        <w:t>Hirschengrabentunnel</w:t>
      </w:r>
      <w:proofErr w:type="spellEnd"/>
      <w:r w:rsidR="00FE722C" w:rsidRPr="00FE722C">
        <w:rPr>
          <w:rFonts w:cstheme="minorHAnsi"/>
          <w:b/>
          <w:sz w:val="18"/>
          <w:szCs w:val="18"/>
        </w:rPr>
        <w:t xml:space="preserve"> (uppermost MN 5), *6 </w:t>
      </w:r>
      <w:proofErr w:type="spellStart"/>
      <w:r w:rsidR="00FE722C" w:rsidRPr="00FE722C">
        <w:rPr>
          <w:rFonts w:cstheme="minorHAnsi"/>
          <w:b/>
          <w:sz w:val="18"/>
          <w:szCs w:val="18"/>
        </w:rPr>
        <w:t>Tobelholz</w:t>
      </w:r>
      <w:proofErr w:type="spellEnd"/>
      <w:r w:rsidR="00FE722C" w:rsidRPr="00FE722C">
        <w:rPr>
          <w:rFonts w:cstheme="minorHAnsi"/>
          <w:b/>
          <w:sz w:val="18"/>
          <w:szCs w:val="18"/>
        </w:rPr>
        <w:t xml:space="preserve"> (middle/ upper MN 5), *7 Aabach 2 (middle MN 5), *8 Aabach 3 (middle MN 5), *9 </w:t>
      </w:r>
      <w:proofErr w:type="spellStart"/>
      <w:r w:rsidR="00FE722C" w:rsidRPr="00FE722C">
        <w:rPr>
          <w:rFonts w:cstheme="minorHAnsi"/>
          <w:b/>
          <w:sz w:val="18"/>
          <w:szCs w:val="18"/>
        </w:rPr>
        <w:t>Käpfnach-Rotwegstollen</w:t>
      </w:r>
      <w:proofErr w:type="spellEnd"/>
      <w:r w:rsidR="00FE722C" w:rsidRPr="00FE722C">
        <w:rPr>
          <w:rFonts w:cstheme="minorHAnsi"/>
          <w:b/>
          <w:sz w:val="18"/>
          <w:szCs w:val="18"/>
        </w:rPr>
        <w:t xml:space="preserve"> (middle MN5), *</w:t>
      </w:r>
      <w:r w:rsidR="00FE722C" w:rsidRPr="00FE722C">
        <w:rPr>
          <w:rFonts w:cstheme="minorHAnsi"/>
          <w:b/>
          <w:sz w:val="18"/>
          <w:szCs w:val="18"/>
          <w:vertAlign w:val="superscript"/>
        </w:rPr>
        <w:t>10</w:t>
      </w:r>
      <w:r w:rsidR="00FE722C" w:rsidRPr="00FE722C">
        <w:rPr>
          <w:rFonts w:cstheme="minorHAnsi"/>
          <w:b/>
          <w:sz w:val="18"/>
          <w:szCs w:val="18"/>
        </w:rPr>
        <w:t xml:space="preserve"> </w:t>
      </w:r>
      <w:proofErr w:type="spellStart"/>
      <w:r w:rsidR="00FE722C" w:rsidRPr="00FE722C">
        <w:rPr>
          <w:rFonts w:cstheme="minorHAnsi"/>
          <w:b/>
          <w:sz w:val="18"/>
          <w:szCs w:val="18"/>
        </w:rPr>
        <w:t>Bachtel-Ornberg</w:t>
      </w:r>
      <w:proofErr w:type="spellEnd"/>
      <w:r w:rsidR="00FE722C" w:rsidRPr="00FE722C">
        <w:rPr>
          <w:rFonts w:cstheme="minorHAnsi"/>
          <w:b/>
          <w:sz w:val="18"/>
          <w:szCs w:val="18"/>
        </w:rPr>
        <w:t xml:space="preserve"> (uppermost MN 6), *11 </w:t>
      </w:r>
      <w:proofErr w:type="spellStart"/>
      <w:r w:rsidR="00FE722C" w:rsidRPr="00FE722C">
        <w:rPr>
          <w:rFonts w:cstheme="minorHAnsi"/>
          <w:b/>
          <w:sz w:val="18"/>
          <w:szCs w:val="18"/>
        </w:rPr>
        <w:t>Frohberg</w:t>
      </w:r>
      <w:proofErr w:type="spellEnd"/>
      <w:r w:rsidR="00FE722C" w:rsidRPr="00FE722C">
        <w:rPr>
          <w:rFonts w:cstheme="minorHAnsi"/>
          <w:b/>
          <w:sz w:val="18"/>
          <w:szCs w:val="18"/>
        </w:rPr>
        <w:t xml:space="preserve"> (MN 5), *12 Tobel </w:t>
      </w:r>
      <w:proofErr w:type="spellStart"/>
      <w:r w:rsidR="00FE722C" w:rsidRPr="00FE722C">
        <w:rPr>
          <w:rFonts w:cstheme="minorHAnsi"/>
          <w:b/>
          <w:sz w:val="18"/>
          <w:szCs w:val="18"/>
        </w:rPr>
        <w:t>Hombrechtikon</w:t>
      </w:r>
      <w:proofErr w:type="spellEnd"/>
      <w:r w:rsidR="00FE722C" w:rsidRPr="00FE722C">
        <w:rPr>
          <w:rFonts w:cstheme="minorHAnsi"/>
          <w:b/>
          <w:sz w:val="18"/>
          <w:szCs w:val="18"/>
        </w:rPr>
        <w:t xml:space="preserve"> (upper MN 5), *13 </w:t>
      </w:r>
      <w:proofErr w:type="spellStart"/>
      <w:r w:rsidR="00FE722C" w:rsidRPr="00FE722C">
        <w:rPr>
          <w:rFonts w:cstheme="minorHAnsi"/>
          <w:b/>
          <w:sz w:val="18"/>
          <w:szCs w:val="18"/>
        </w:rPr>
        <w:t>Güntisberg</w:t>
      </w:r>
      <w:proofErr w:type="spellEnd"/>
      <w:r w:rsidR="00FE722C" w:rsidRPr="00FE722C">
        <w:rPr>
          <w:rFonts w:cstheme="minorHAnsi"/>
          <w:b/>
          <w:sz w:val="18"/>
          <w:szCs w:val="18"/>
        </w:rPr>
        <w:t xml:space="preserve"> (middle MN 5), *14 </w:t>
      </w:r>
      <w:proofErr w:type="spellStart"/>
      <w:r w:rsidR="00FE722C" w:rsidRPr="00FE722C">
        <w:rPr>
          <w:rFonts w:cstheme="minorHAnsi"/>
          <w:b/>
          <w:sz w:val="18"/>
          <w:szCs w:val="18"/>
        </w:rPr>
        <w:t>Martinsbrünneli</w:t>
      </w:r>
      <w:proofErr w:type="spellEnd"/>
      <w:r w:rsidR="00FE722C" w:rsidRPr="00FE722C">
        <w:rPr>
          <w:rFonts w:cstheme="minorHAnsi"/>
          <w:b/>
          <w:sz w:val="18"/>
          <w:szCs w:val="18"/>
        </w:rPr>
        <w:t xml:space="preserve"> (middle MN 5), *15 </w:t>
      </w:r>
      <w:proofErr w:type="spellStart"/>
      <w:r w:rsidR="00FE722C" w:rsidRPr="00FE722C">
        <w:rPr>
          <w:rFonts w:cstheme="minorHAnsi"/>
          <w:b/>
          <w:sz w:val="18"/>
          <w:szCs w:val="18"/>
        </w:rPr>
        <w:t>Hubertingen</w:t>
      </w:r>
      <w:proofErr w:type="spellEnd"/>
      <w:r w:rsidR="00FE722C" w:rsidRPr="00FE722C">
        <w:rPr>
          <w:rFonts w:cstheme="minorHAnsi"/>
          <w:b/>
          <w:sz w:val="18"/>
          <w:szCs w:val="18"/>
        </w:rPr>
        <w:t xml:space="preserve"> MN 4b). Mammal sites after </w:t>
      </w:r>
      <w:r w:rsidR="00FE722C" w:rsidRPr="00FE722C">
        <w:rPr>
          <w:rFonts w:cstheme="minorHAnsi"/>
          <w:b/>
          <w:sz w:val="18"/>
          <w:szCs w:val="18"/>
        </w:rPr>
        <w:fldChar w:fldCharType="begin" w:fldLock="1"/>
      </w:r>
      <w:r w:rsidR="00FE722C" w:rsidRPr="00FE722C">
        <w:rPr>
          <w:rFonts w:cstheme="minorHAnsi"/>
          <w:b/>
          <w:sz w:val="18"/>
          <w:szCs w:val="18"/>
        </w:rPr>
        <w:instrText>ADDIN CSL_CITATION {"citationItems":[{"id":"ITEM-1","itemData":{"abstract":"From Tägernaustrasse Carnivora indet. From Trub-Sältenach Carnivora indet. From Bierkeller Carnivora indet. From La Chaux 7 Mustelidae indet.","author":[{"dropping-particle":"","family":"Kälin","given":"D","non-dropping-particle":"","parse-names":false,"suffix":""}],"container-title":"In: Aguilar, J.-P., Legendre, S., Michaux, J. (Eds.), Actes du Congre`s BiochroM’97. Me´m. Trav. E.P.H.E. Montpellier 21 BiochroM'97","id":"ITEM-1","issue":"January 1997","issued":{"date-parts":[["1997"]]},"page":"515-535","title":"The Mammal zonation of the Upper Marine Molasse of Switzerland reconsidered. A local biozonation of MN 2-MN 5","type":"article-journal","volume":"21"},"uris":["http://www.mendeley.com/documents/?uuid=673138fa-af8e-4762-9ee3-497cdf8ec644"]}],"mendeley":{"formattedCitation":"(Kälin, 1997)","plainTextFormattedCitation":"(Kälin, 1997)","previouslyFormattedCitation":"(Kälin, 1997)"},"properties":{"noteIndex":0},"schema":"https://github.com/citation-style-language/schema/raw/master/csl-citation.json"}</w:instrText>
      </w:r>
      <w:r w:rsidR="00FE722C" w:rsidRPr="00FE722C">
        <w:rPr>
          <w:rFonts w:cstheme="minorHAnsi"/>
          <w:b/>
          <w:sz w:val="18"/>
          <w:szCs w:val="18"/>
        </w:rPr>
        <w:fldChar w:fldCharType="separate"/>
      </w:r>
      <w:r w:rsidR="00FE722C" w:rsidRPr="00FE722C">
        <w:rPr>
          <w:rFonts w:cstheme="minorHAnsi"/>
          <w:b/>
          <w:noProof/>
          <w:sz w:val="18"/>
          <w:szCs w:val="18"/>
        </w:rPr>
        <w:t>(Kälin, 1997)</w:t>
      </w:r>
      <w:r w:rsidR="00FE722C" w:rsidRPr="00FE722C">
        <w:rPr>
          <w:rFonts w:cstheme="minorHAnsi"/>
          <w:b/>
          <w:sz w:val="18"/>
          <w:szCs w:val="18"/>
        </w:rPr>
        <w:fldChar w:fldCharType="end"/>
      </w:r>
      <w:r w:rsidR="00FE722C" w:rsidRPr="00FE722C">
        <w:rPr>
          <w:rFonts w:cstheme="minorHAnsi"/>
          <w:b/>
          <w:sz w:val="18"/>
          <w:szCs w:val="18"/>
        </w:rPr>
        <w:t xml:space="preserve"> and </w:t>
      </w:r>
      <w:r w:rsidR="00FE722C" w:rsidRPr="00FE722C">
        <w:rPr>
          <w:rFonts w:cstheme="minorHAnsi"/>
          <w:b/>
          <w:sz w:val="18"/>
          <w:szCs w:val="18"/>
        </w:rPr>
        <w:fldChar w:fldCharType="begin" w:fldLock="1"/>
      </w:r>
      <w:r w:rsidR="00FE722C" w:rsidRPr="00FE722C">
        <w:rPr>
          <w:rFonts w:cstheme="minorHAnsi"/>
          <w:b/>
          <w:sz w:val="18"/>
          <w:szCs w:val="18"/>
        </w:rPr>
        <w:instrText>ADDIN CSL_CITATION {"citationItems":[{"id":"ITEM-1","itemData":{"author":[{"dropping-particle":"","family":"Bolliger","given":"Thomas","non-dropping-particle":"","parse-names":false,"suffix":""}],"container-title":"Documenta naturae 75.","id":"ITEM-1","issued":{"date-parts":[["1992"]]},"page":"1-296","title":"Kleinsäugerstratigraphie in der Miozänen Hörnlischüttung (Ostschweiz).","type":"article-journal"},"uris":["http://www.mendeley.com/documents/?uuid=4c15f98e-7008-4dce-8143-1c5c12f6b2c1"]}],"mendeley":{"formattedCitation":"(Bolliger, 1992)","plainTextFormattedCitation":"(Bolliger, 1992)","previouslyFormattedCitation":"(Bolliger, 1992)"},"properties":{"noteIndex":0},"schema":"https://github.com/citation-style-language/schema/raw/master/csl-citation.json"}</w:instrText>
      </w:r>
      <w:r w:rsidR="00FE722C" w:rsidRPr="00FE722C">
        <w:rPr>
          <w:rFonts w:cstheme="minorHAnsi"/>
          <w:b/>
          <w:sz w:val="18"/>
          <w:szCs w:val="18"/>
        </w:rPr>
        <w:fldChar w:fldCharType="separate"/>
      </w:r>
      <w:r w:rsidR="00FE722C" w:rsidRPr="00FE722C">
        <w:rPr>
          <w:rFonts w:cstheme="minorHAnsi"/>
          <w:b/>
          <w:noProof/>
          <w:sz w:val="18"/>
          <w:szCs w:val="18"/>
        </w:rPr>
        <w:t>(Bolliger, 1992)</w:t>
      </w:r>
      <w:r w:rsidR="00FE722C" w:rsidRPr="00FE722C">
        <w:rPr>
          <w:rFonts w:cstheme="minorHAnsi"/>
          <w:b/>
          <w:sz w:val="18"/>
          <w:szCs w:val="18"/>
        </w:rPr>
        <w:fldChar w:fldCharType="end"/>
      </w:r>
      <w:r w:rsidR="00FE722C" w:rsidRPr="00D30337">
        <w:rPr>
          <w:b/>
          <w:sz w:val="18"/>
          <w:lang w:val="en-US"/>
        </w:rPr>
        <w:t xml:space="preserve">. </w:t>
      </w:r>
      <w:r w:rsidR="00FE722C" w:rsidRPr="00FE722C">
        <w:rPr>
          <w:b/>
          <w:sz w:val="18"/>
          <w:lang w:val="en-US"/>
        </w:rPr>
        <w:t xml:space="preserve">B) Correlation of </w:t>
      </w:r>
      <w:proofErr w:type="spellStart"/>
      <w:r w:rsidR="00FE722C" w:rsidRPr="00FE722C">
        <w:rPr>
          <w:b/>
          <w:sz w:val="18"/>
          <w:lang w:val="en-US"/>
        </w:rPr>
        <w:t>magnetostratigraphies</w:t>
      </w:r>
      <w:proofErr w:type="spellEnd"/>
      <w:r w:rsidR="00FE722C" w:rsidRPr="00FE722C">
        <w:rPr>
          <w:b/>
          <w:sz w:val="18"/>
          <w:lang w:val="en-US"/>
        </w:rPr>
        <w:t xml:space="preserve"> with the astronomically tuned Neogene timescale ATNTS</w:t>
      </w:r>
      <w:r w:rsidR="00FE722C">
        <w:rPr>
          <w:b/>
          <w:sz w:val="18"/>
          <w:lang w:val="en-US"/>
        </w:rPr>
        <w:t xml:space="preserve">2012 </w:t>
      </w:r>
      <w:r w:rsidR="00EF7A54">
        <w:rPr>
          <w:b/>
          <w:sz w:val="18"/>
          <w:lang w:val="en-US"/>
        </w:rPr>
        <w:t xml:space="preserve">after </w:t>
      </w:r>
      <w:r w:rsidR="00FE722C">
        <w:rPr>
          <w:b/>
          <w:sz w:val="18"/>
          <w:lang w:val="en-US"/>
        </w:rPr>
        <w:t>(</w:t>
      </w:r>
      <w:r w:rsidR="00FE722C">
        <w:rPr>
          <w:b/>
          <w:sz w:val="18"/>
          <w:lang w:val="en-US"/>
        </w:rPr>
        <w:fldChar w:fldCharType="begin" w:fldLock="1"/>
      </w:r>
      <w:r w:rsidR="00847C76">
        <w:rPr>
          <w:b/>
          <w:sz w:val="18"/>
          <w:lang w:val="en-US"/>
        </w:rPr>
        <w:instrText>ADDIN CSL_CITATION {"citationItems":[{"id":"ITEM-1","itemData":{"DOI":"10.1016/B978-0-444-59425-9.00029-9","ISBN":"9780444594259","ISSN":"0444594256","abstract":"An Astronomically Tuned Neogene Time Scale (ATNTS2012) is presented, as an update of ATNTS2004 in GTS2004. The new scale is not fundamentally different from its predecessor and the numerical ages are identical or almost so. Astronomical tuning has in principle the potential of generating a stable Neogene time scale as a function of the accuracy of the La2004 astronomical solution used for both scales. Minor problems remain in the tuning of the Lower Miocene. In GTS2012 we will summarize what has been modified or added since the publication of ATNTS2004 for incorpo-ration in its successor, ATNTS2012. Mammal biostratig-raphy and its chronology are elaborated, and the regional Neogene stages of the Paratethys and New Zealand are briefy discussed. To keep changes to ATNTS2004 trans-parent we maintain its subdivision into headings as much as possible.","author":[{"dropping-particle":"","family":"Hilgen","given":"Frederik J.","non-dropping-particle":"","parse-names":false,"suffix":""},{"dropping-particle":"","family":"Lourens","given":"Lucas J.","non-dropping-particle":"","parse-names":false,"suffix":""},{"dropping-particle":"","family":"Dam","given":"Jan A.","non-dropping-particle":"Van","parse-names":false,"suffix":""},{"dropping-particle":"","family":"Beu","given":"Alan G.","non-dropping-particle":"","parse-names":false,"suffix":""},{"dropping-particle":"","family":"Boyes","given":"Andrew F.","non-dropping-particle":"","parse-names":false,"suffix":""},{"dropping-particle":"","family":"Cooper","given":"Roger A.","non-dropping-particle":"","parse-names":false,"suffix":""},{"dropping-particle":"","family":"Krijgsman","given":"Wout","non-dropping-particle":"","parse-names":false,"suffix":""},{"dropping-particle":"","family":"Ogg","given":"James G.","non-dropping-particle":"","parse-names":false,"suffix":""},{"dropping-particle":"","family":"Piller","given":"Werner E.","non-dropping-particle":"","parse-names":false,"suffix":""},{"dropping-particle":"","family":"Wilson","given":"Douglas S.","non-dropping-particle":"","parse-names":false,"suffix":""}],"container-title":"The Geologic Time Scale 2012","id":"ITEM-1","issued":{"date-parts":[["2012"]]},"number-of-pages":"923-978","title":"The Neogene Period","type":"book","volume":"1-2"},"uris":["http://www.mendeley.com/documents/?uuid=60648d9a-125d-4a5d-9a7c-d9f4c41dd19c"]}],"mendeley":{"formattedCitation":"(Hilgen et al., 2012)","plainTextFormattedCitation":"(Hilgen et al., 2012)","previouslyFormattedCitation":"(Hilgen et al., 2012)"},"properties":{"noteIndex":0},"schema":"https://github.com/citation-style-language/schema/raw/master/csl-citation.json"}</w:instrText>
      </w:r>
      <w:r w:rsidR="00FE722C">
        <w:rPr>
          <w:b/>
          <w:sz w:val="18"/>
          <w:lang w:val="en-US"/>
        </w:rPr>
        <w:fldChar w:fldCharType="separate"/>
      </w:r>
      <w:r w:rsidR="00FE722C" w:rsidRPr="00FE722C">
        <w:rPr>
          <w:noProof/>
          <w:sz w:val="18"/>
          <w:lang w:val="en-US"/>
        </w:rPr>
        <w:t>(Hilgen et al., 2012)</w:t>
      </w:r>
      <w:r w:rsidR="00FE722C">
        <w:rPr>
          <w:b/>
          <w:sz w:val="18"/>
          <w:lang w:val="en-US"/>
        </w:rPr>
        <w:fldChar w:fldCharType="end"/>
      </w:r>
      <w:r w:rsidR="00FE722C">
        <w:rPr>
          <w:b/>
          <w:sz w:val="18"/>
          <w:lang w:val="en-US"/>
        </w:rPr>
        <w:t>.</w:t>
      </w:r>
    </w:p>
    <w:p w14:paraId="1AEA19D2" w14:textId="77777777" w:rsidR="000515AC" w:rsidRPr="00FE722C" w:rsidRDefault="000515AC" w:rsidP="00847C76">
      <w:pPr>
        <w:rPr>
          <w:lang w:val="en-US"/>
        </w:rPr>
      </w:pPr>
    </w:p>
    <w:p w14:paraId="563E46CE" w14:textId="030D31B1" w:rsidR="00F5258E" w:rsidRPr="00D30337" w:rsidRDefault="00F5258E" w:rsidP="003D5288">
      <w:pPr>
        <w:rPr>
          <w:lang w:val="en-US"/>
        </w:rPr>
      </w:pPr>
    </w:p>
    <w:p w14:paraId="616F3FDD" w14:textId="1568F0DD" w:rsidR="000E09B0" w:rsidRDefault="00E330BA" w:rsidP="000E09B0">
      <w:r>
        <w:rPr>
          <w:noProof/>
          <w:lang w:val="de-DE"/>
        </w:rPr>
        <w:drawing>
          <wp:inline distT="0" distB="0" distL="0" distR="0" wp14:anchorId="75ED177D" wp14:editId="269C2D0F">
            <wp:extent cx="6372225" cy="3629660"/>
            <wp:effectExtent l="0" t="0" r="952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I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2225" cy="3629660"/>
                    </a:xfrm>
                    <a:prstGeom prst="rect">
                      <a:avLst/>
                    </a:prstGeom>
                  </pic:spPr>
                </pic:pic>
              </a:graphicData>
            </a:graphic>
          </wp:inline>
        </w:drawing>
      </w:r>
    </w:p>
    <w:p w14:paraId="32F994BF" w14:textId="4FB9EB46" w:rsidR="00F07C18" w:rsidRPr="00915457" w:rsidRDefault="00F07C18" w:rsidP="00F07C18">
      <w:pPr>
        <w:pStyle w:val="Beschriftung"/>
        <w:rPr>
          <w:lang w:val="en-US"/>
        </w:rPr>
      </w:pPr>
      <w:r w:rsidRPr="00D30337">
        <w:t xml:space="preserve">Figure </w:t>
      </w:r>
      <w:r w:rsidR="0048155E">
        <w:rPr>
          <w:color w:val="000000" w:themeColor="text1"/>
          <w:lang w:val="en-US"/>
        </w:rPr>
        <w:t>S2</w:t>
      </w:r>
      <w:r w:rsidRPr="00D30337">
        <w:rPr>
          <w:color w:val="000000" w:themeColor="text1"/>
          <w:lang w:val="en-US"/>
        </w:rPr>
        <w:t>:</w:t>
      </w:r>
      <w:r w:rsidRPr="00915457">
        <w:rPr>
          <w:color w:val="000000" w:themeColor="text1"/>
          <w:lang w:val="en-US"/>
        </w:rPr>
        <w:t xml:space="preserve"> </w:t>
      </w:r>
      <w:r w:rsidRPr="00915457">
        <w:rPr>
          <w:lang w:val="en-US"/>
        </w:rPr>
        <w:t xml:space="preserve">Pedogenic carbonate </w:t>
      </w:r>
      <w:r w:rsidRPr="00915457">
        <w:rPr>
          <w:lang w:val="en-US"/>
        </w:rPr>
        <w:sym w:font="Symbol" w:char="F064"/>
      </w:r>
      <w:r w:rsidRPr="00915457">
        <w:rPr>
          <w:vertAlign w:val="superscript"/>
          <w:lang w:val="en-US"/>
        </w:rPr>
        <w:t>18</w:t>
      </w:r>
      <w:r w:rsidRPr="00915457">
        <w:rPr>
          <w:lang w:val="en-US"/>
        </w:rPr>
        <w:t xml:space="preserve">O and </w:t>
      </w:r>
      <w:r w:rsidRPr="00915457">
        <w:rPr>
          <w:lang w:val="en-US"/>
        </w:rPr>
        <w:sym w:font="Symbol" w:char="F064"/>
      </w:r>
      <w:r w:rsidRPr="00915457">
        <w:rPr>
          <w:vertAlign w:val="superscript"/>
          <w:lang w:val="en-US"/>
        </w:rPr>
        <w:t>13</w:t>
      </w:r>
      <w:r w:rsidRPr="00915457">
        <w:rPr>
          <w:lang w:val="en-US"/>
        </w:rPr>
        <w:t xml:space="preserve">C values of the Swiss Molasse Basin sections plotted against their ages. We show only the mean value for each carbonate bearing horizon. A) </w:t>
      </w:r>
      <w:r w:rsidRPr="00915457">
        <w:rPr>
          <w:lang w:val="en-US"/>
        </w:rPr>
        <w:sym w:font="Symbol" w:char="F064"/>
      </w:r>
      <w:r w:rsidRPr="00915457">
        <w:rPr>
          <w:vertAlign w:val="superscript"/>
          <w:lang w:val="en-US"/>
        </w:rPr>
        <w:t>18</w:t>
      </w:r>
      <w:r w:rsidRPr="00915457">
        <w:rPr>
          <w:lang w:val="en-US"/>
        </w:rPr>
        <w:t xml:space="preserve">O values of the sections Fontannen (blue circles), Jona (green circles) and Aabach (orange circles). B–C) For purposes of visualization pedogenic carbonate </w:t>
      </w:r>
      <w:r w:rsidRPr="00915457">
        <w:rPr>
          <w:lang w:val="en-US"/>
        </w:rPr>
        <w:sym w:font="Symbol" w:char="F064"/>
      </w:r>
      <w:r w:rsidRPr="00915457">
        <w:rPr>
          <w:vertAlign w:val="superscript"/>
          <w:lang w:val="en-US"/>
        </w:rPr>
        <w:t>13</w:t>
      </w:r>
      <w:r w:rsidRPr="00915457">
        <w:rPr>
          <w:lang w:val="en-US"/>
        </w:rPr>
        <w:t>C values are shown separately for each section (B: Fontannen, C: Jona, and D: Aabach).</w:t>
      </w:r>
    </w:p>
    <w:p w14:paraId="2FDEB97D" w14:textId="77777777" w:rsidR="00E330BA" w:rsidRPr="00F07C18" w:rsidRDefault="00E330BA" w:rsidP="000E09B0">
      <w:pPr>
        <w:rPr>
          <w:lang w:val="en-US"/>
        </w:rPr>
      </w:pPr>
    </w:p>
    <w:p w14:paraId="1E2AE8D6" w14:textId="75FAA8EF" w:rsidR="00E330BA" w:rsidRDefault="000E0FB9" w:rsidP="000E09B0">
      <w:r>
        <w:rPr>
          <w:noProof/>
          <w:lang w:val="de-DE"/>
        </w:rPr>
        <w:lastRenderedPageBreak/>
        <w:drawing>
          <wp:inline distT="0" distB="0" distL="0" distR="0" wp14:anchorId="41632B3C" wp14:editId="4123A7DF">
            <wp:extent cx="5203129" cy="3336778"/>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342768" w14:textId="0F21AF8C" w:rsidR="00F07C18" w:rsidRPr="00847C76" w:rsidRDefault="00F07C18" w:rsidP="00F07C18">
      <w:pPr>
        <w:pStyle w:val="Beschriftung"/>
        <w:rPr>
          <w:rFonts w:cs="Arial"/>
        </w:rPr>
      </w:pPr>
      <w:r w:rsidRPr="00D30337">
        <w:rPr>
          <w:rFonts w:asciiTheme="minorHAnsi" w:hAnsiTheme="minorHAnsi" w:cstheme="minorHAnsi"/>
          <w:lang w:val="en-US"/>
        </w:rPr>
        <w:t xml:space="preserve">Figure </w:t>
      </w:r>
      <w:r w:rsidR="0048155E">
        <w:rPr>
          <w:rFonts w:asciiTheme="minorHAnsi" w:hAnsiTheme="minorHAnsi" w:cstheme="minorHAnsi"/>
          <w:lang w:val="en-US"/>
        </w:rPr>
        <w:t>S3</w:t>
      </w:r>
      <w:r w:rsidRPr="00D30337">
        <w:rPr>
          <w:rFonts w:asciiTheme="minorHAnsi" w:hAnsiTheme="minorHAnsi" w:cstheme="minorHAnsi"/>
          <w:lang w:val="en-US"/>
        </w:rPr>
        <w:t>:</w:t>
      </w:r>
      <w:r w:rsidRPr="00210F4C">
        <w:rPr>
          <w:rFonts w:asciiTheme="minorHAnsi" w:hAnsiTheme="minorHAnsi" w:cstheme="minorHAnsi"/>
          <w:lang w:val="en-US"/>
        </w:rPr>
        <w:t xml:space="preserve"> Pedogenic carbonate </w:t>
      </w:r>
      <w:r w:rsidR="00702A8B">
        <w:rPr>
          <w:rFonts w:asciiTheme="minorHAnsi" w:hAnsiTheme="minorHAnsi" w:cstheme="minorHAnsi"/>
          <w:lang w:val="en-US"/>
        </w:rPr>
        <w:t xml:space="preserve">mean </w:t>
      </w:r>
      <w:r w:rsidRPr="00210F4C">
        <w:rPr>
          <w:rFonts w:asciiTheme="minorHAnsi" w:hAnsiTheme="minorHAnsi" w:cstheme="minorHAnsi"/>
          <w:lang w:val="en-US"/>
        </w:rPr>
        <w:t>δ</w:t>
      </w:r>
      <w:r w:rsidRPr="00210F4C">
        <w:rPr>
          <w:rFonts w:asciiTheme="minorHAnsi" w:hAnsiTheme="minorHAnsi" w:cstheme="minorHAnsi"/>
          <w:vertAlign w:val="superscript"/>
          <w:lang w:val="en-US"/>
        </w:rPr>
        <w:t>18</w:t>
      </w:r>
      <w:r w:rsidRPr="00210F4C">
        <w:rPr>
          <w:rFonts w:asciiTheme="minorHAnsi" w:hAnsiTheme="minorHAnsi" w:cstheme="minorHAnsi"/>
          <w:lang w:val="en-US"/>
        </w:rPr>
        <w:t>O</w:t>
      </w:r>
      <w:r w:rsidR="00702A8B" w:rsidRPr="00847C76">
        <w:rPr>
          <w:rFonts w:asciiTheme="minorHAnsi" w:hAnsiTheme="minorHAnsi" w:cstheme="minorHAnsi"/>
          <w:vertAlign w:val="subscript"/>
          <w:lang w:val="en-US"/>
        </w:rPr>
        <w:t>c</w:t>
      </w:r>
      <w:r w:rsidRPr="00210F4C">
        <w:rPr>
          <w:rFonts w:asciiTheme="minorHAnsi" w:hAnsiTheme="minorHAnsi" w:cstheme="minorHAnsi"/>
          <w:lang w:val="en-US"/>
        </w:rPr>
        <w:t xml:space="preserve"> vs. δ</w:t>
      </w:r>
      <w:r w:rsidRPr="00210F4C">
        <w:rPr>
          <w:rFonts w:asciiTheme="minorHAnsi" w:hAnsiTheme="minorHAnsi" w:cstheme="minorHAnsi"/>
          <w:vertAlign w:val="superscript"/>
          <w:lang w:val="en-US"/>
        </w:rPr>
        <w:t>13</w:t>
      </w:r>
      <w:r w:rsidRPr="00210F4C">
        <w:rPr>
          <w:rFonts w:asciiTheme="minorHAnsi" w:hAnsiTheme="minorHAnsi" w:cstheme="minorHAnsi"/>
          <w:lang w:val="en-US"/>
        </w:rPr>
        <w:t xml:space="preserve">C values </w:t>
      </w:r>
      <w:r w:rsidR="00923C0C">
        <w:rPr>
          <w:rFonts w:asciiTheme="minorHAnsi" w:hAnsiTheme="minorHAnsi" w:cstheme="minorHAnsi"/>
          <w:lang w:val="en-US"/>
        </w:rPr>
        <w:t>of</w:t>
      </w:r>
      <w:r w:rsidR="00923C0C" w:rsidRPr="00210F4C">
        <w:rPr>
          <w:rFonts w:asciiTheme="minorHAnsi" w:hAnsiTheme="minorHAnsi" w:cstheme="minorHAnsi"/>
          <w:lang w:val="en-US"/>
        </w:rPr>
        <w:t xml:space="preserve"> </w:t>
      </w:r>
      <w:r w:rsidRPr="00210F4C">
        <w:rPr>
          <w:rFonts w:asciiTheme="minorHAnsi" w:hAnsiTheme="minorHAnsi" w:cstheme="minorHAnsi"/>
          <w:lang w:val="en-US"/>
        </w:rPr>
        <w:t>the Swiss Molasse Basin section</w:t>
      </w:r>
      <w:r w:rsidR="000E0FB9">
        <w:rPr>
          <w:rFonts w:asciiTheme="minorHAnsi" w:hAnsiTheme="minorHAnsi" w:cstheme="minorHAnsi"/>
          <w:lang w:val="en-US"/>
        </w:rPr>
        <w:t>s</w:t>
      </w:r>
      <w:r w:rsidR="00702A8B">
        <w:rPr>
          <w:rFonts w:asciiTheme="minorHAnsi" w:hAnsiTheme="minorHAnsi" w:cstheme="minorHAnsi"/>
          <w:lang w:val="en-US"/>
        </w:rPr>
        <w:t xml:space="preserve"> </w:t>
      </w:r>
      <w:r w:rsidR="00702A8B">
        <w:rPr>
          <w:rFonts w:cs="Arial"/>
        </w:rPr>
        <w:t xml:space="preserve">(averaged per horizon, blue, green, and orange circles) for the time interval 15.5–14.0 Ma. </w:t>
      </w:r>
      <w:r w:rsidR="00E96B58">
        <w:rPr>
          <w:rFonts w:cs="Arial"/>
        </w:rPr>
        <w:t>P</w:t>
      </w:r>
      <w:r w:rsidR="00702A8B">
        <w:rPr>
          <w:rFonts w:cs="Arial"/>
        </w:rPr>
        <w:t xml:space="preserve">aleoelevation </w:t>
      </w:r>
      <w:r w:rsidR="00E96B58">
        <w:rPr>
          <w:rFonts w:cs="Arial"/>
        </w:rPr>
        <w:t>estimates</w:t>
      </w:r>
      <w:r w:rsidR="00702A8B">
        <w:rPr>
          <w:rFonts w:cs="Arial"/>
        </w:rPr>
        <w:t xml:space="preserve"> </w:t>
      </w:r>
      <w:r w:rsidR="00E96B58">
        <w:rPr>
          <w:rFonts w:cs="Arial"/>
        </w:rPr>
        <w:t>are based</w:t>
      </w:r>
      <w:r w:rsidR="00702A8B">
        <w:rPr>
          <w:rFonts w:cs="Arial"/>
        </w:rPr>
        <w:t xml:space="preserve"> on the </w:t>
      </w:r>
      <w:r w:rsidR="00702A8B" w:rsidRPr="002643D4">
        <w:t xml:space="preserve">first quartile (lowest 25%) mean </w:t>
      </w:r>
      <w:r w:rsidR="00702A8B" w:rsidRPr="002643D4">
        <w:rPr>
          <w:rFonts w:cs="Arial"/>
        </w:rPr>
        <w:sym w:font="Symbol" w:char="F064"/>
      </w:r>
      <w:r w:rsidR="00702A8B" w:rsidRPr="002643D4">
        <w:rPr>
          <w:rFonts w:cs="Arial"/>
          <w:vertAlign w:val="superscript"/>
        </w:rPr>
        <w:t>18</w:t>
      </w:r>
      <w:r w:rsidR="00702A8B" w:rsidRPr="002643D4">
        <w:rPr>
          <w:rFonts w:cs="Arial"/>
        </w:rPr>
        <w:t>O</w:t>
      </w:r>
      <w:r w:rsidR="00702A8B" w:rsidRPr="002643D4">
        <w:rPr>
          <w:rFonts w:cs="Arial"/>
          <w:vertAlign w:val="subscript"/>
        </w:rPr>
        <w:t>c</w:t>
      </w:r>
      <w:r w:rsidR="00702A8B" w:rsidRPr="00FC6C14">
        <w:rPr>
          <w:rFonts w:cs="Arial"/>
        </w:rPr>
        <w:t xml:space="preserve"> values</w:t>
      </w:r>
      <w:r w:rsidR="00923C0C">
        <w:rPr>
          <w:rFonts w:cs="Arial"/>
        </w:rPr>
        <w:t xml:space="preserve">, which are highlighted in the same colour code, but with </w:t>
      </w:r>
      <w:r w:rsidR="00634569">
        <w:rPr>
          <w:rFonts w:cs="Arial"/>
        </w:rPr>
        <w:t xml:space="preserve">a </w:t>
      </w:r>
      <w:r w:rsidR="00923C0C">
        <w:rPr>
          <w:rFonts w:cs="Arial"/>
        </w:rPr>
        <w:t xml:space="preserve">black </w:t>
      </w:r>
      <w:r w:rsidR="00634569">
        <w:rPr>
          <w:rFonts w:cs="Arial"/>
        </w:rPr>
        <w:t xml:space="preserve">border. We also show </w:t>
      </w:r>
      <w:r w:rsidR="00A33B54">
        <w:rPr>
          <w:rFonts w:cs="Arial"/>
        </w:rPr>
        <w:t xml:space="preserve">values of </w:t>
      </w:r>
      <w:r w:rsidR="00634569">
        <w:rPr>
          <w:rFonts w:cs="Arial"/>
        </w:rPr>
        <w:t>individual nodules (grey circles, in total n=204 for all three sections). We link the positive covariance</w:t>
      </w:r>
      <w:r w:rsidRPr="00210F4C">
        <w:rPr>
          <w:rFonts w:asciiTheme="minorHAnsi" w:hAnsiTheme="minorHAnsi" w:cstheme="minorHAnsi"/>
          <w:lang w:val="en-US"/>
        </w:rPr>
        <w:t xml:space="preserve"> between δ</w:t>
      </w:r>
      <w:r w:rsidRPr="00210F4C">
        <w:rPr>
          <w:rFonts w:asciiTheme="minorHAnsi" w:hAnsiTheme="minorHAnsi" w:cstheme="minorHAnsi"/>
          <w:vertAlign w:val="superscript"/>
          <w:lang w:val="en-US"/>
        </w:rPr>
        <w:t>18</w:t>
      </w:r>
      <w:r w:rsidRPr="00210F4C">
        <w:rPr>
          <w:rFonts w:asciiTheme="minorHAnsi" w:hAnsiTheme="minorHAnsi" w:cstheme="minorHAnsi"/>
          <w:lang w:val="en-US"/>
        </w:rPr>
        <w:t>O</w:t>
      </w:r>
      <w:r w:rsidR="00E96B58" w:rsidRPr="00847C76">
        <w:rPr>
          <w:rFonts w:asciiTheme="minorHAnsi" w:hAnsiTheme="minorHAnsi" w:cstheme="minorHAnsi"/>
          <w:vertAlign w:val="subscript"/>
          <w:lang w:val="en-US"/>
        </w:rPr>
        <w:t>c</w:t>
      </w:r>
      <w:r w:rsidRPr="00210F4C">
        <w:rPr>
          <w:rFonts w:asciiTheme="minorHAnsi" w:hAnsiTheme="minorHAnsi" w:cstheme="minorHAnsi"/>
          <w:lang w:val="en-US"/>
        </w:rPr>
        <w:t xml:space="preserve"> and δ</w:t>
      </w:r>
      <w:r w:rsidRPr="00210F4C">
        <w:rPr>
          <w:rFonts w:asciiTheme="minorHAnsi" w:hAnsiTheme="minorHAnsi" w:cstheme="minorHAnsi"/>
          <w:vertAlign w:val="superscript"/>
          <w:lang w:val="en-US"/>
        </w:rPr>
        <w:t>13</w:t>
      </w:r>
      <w:r w:rsidRPr="00210F4C">
        <w:rPr>
          <w:rFonts w:asciiTheme="minorHAnsi" w:hAnsiTheme="minorHAnsi" w:cstheme="minorHAnsi"/>
          <w:lang w:val="en-US"/>
        </w:rPr>
        <w:t>C values to local environmental conditions prevailing</w:t>
      </w:r>
      <w:r w:rsidR="00634569">
        <w:rPr>
          <w:rFonts w:asciiTheme="minorHAnsi" w:hAnsiTheme="minorHAnsi" w:cstheme="minorHAnsi"/>
          <w:lang w:val="en-US"/>
        </w:rPr>
        <w:t xml:space="preserve"> during soil carbonate formation</w:t>
      </w:r>
      <w:r w:rsidRPr="00210F4C">
        <w:rPr>
          <w:rFonts w:asciiTheme="minorHAnsi" w:hAnsiTheme="minorHAnsi" w:cstheme="minorHAnsi"/>
          <w:lang w:val="en-US"/>
        </w:rPr>
        <w:t xml:space="preserve">. A </w:t>
      </w:r>
      <w:r w:rsidR="00634569">
        <w:rPr>
          <w:rFonts w:asciiTheme="minorHAnsi" w:hAnsiTheme="minorHAnsi" w:cstheme="minorHAnsi"/>
          <w:lang w:val="en-US"/>
        </w:rPr>
        <w:t xml:space="preserve">strong </w:t>
      </w:r>
      <w:r w:rsidRPr="00210F4C">
        <w:rPr>
          <w:rFonts w:asciiTheme="minorHAnsi" w:hAnsiTheme="minorHAnsi" w:cstheme="minorHAnsi"/>
          <w:lang w:val="en-US"/>
        </w:rPr>
        <w:t xml:space="preserve">positive correlation is typically found in pedogenic carbonates formed during dry conditions, when soil water evaporation and water stress in plants are intensified. Such conditions </w:t>
      </w:r>
      <w:r w:rsidR="00E96B58">
        <w:rPr>
          <w:rFonts w:asciiTheme="minorHAnsi" w:hAnsiTheme="minorHAnsi" w:cstheme="minorHAnsi"/>
          <w:lang w:val="en-US"/>
        </w:rPr>
        <w:t xml:space="preserve">can </w:t>
      </w:r>
      <w:r w:rsidRPr="00210F4C">
        <w:rPr>
          <w:rFonts w:asciiTheme="minorHAnsi" w:hAnsiTheme="minorHAnsi" w:cstheme="minorHAnsi"/>
          <w:lang w:val="en-US"/>
        </w:rPr>
        <w:t xml:space="preserve">promote </w:t>
      </w:r>
      <w:r w:rsidR="00E96B58">
        <w:rPr>
          <w:rFonts w:asciiTheme="minorHAnsi" w:hAnsiTheme="minorHAnsi" w:cstheme="minorHAnsi"/>
          <w:lang w:val="en-US"/>
        </w:rPr>
        <w:t>a bias to increased</w:t>
      </w:r>
      <w:r w:rsidRPr="00210F4C">
        <w:rPr>
          <w:rFonts w:asciiTheme="minorHAnsi" w:hAnsiTheme="minorHAnsi" w:cstheme="minorHAnsi"/>
          <w:lang w:val="en-US"/>
        </w:rPr>
        <w:t xml:space="preserve"> δ</w:t>
      </w:r>
      <w:r w:rsidRPr="00210F4C">
        <w:rPr>
          <w:rFonts w:asciiTheme="minorHAnsi" w:hAnsiTheme="minorHAnsi" w:cstheme="minorHAnsi"/>
          <w:vertAlign w:val="superscript"/>
          <w:lang w:val="en-US"/>
        </w:rPr>
        <w:t>18</w:t>
      </w:r>
      <w:r w:rsidRPr="00210F4C">
        <w:rPr>
          <w:rFonts w:asciiTheme="minorHAnsi" w:hAnsiTheme="minorHAnsi" w:cstheme="minorHAnsi"/>
          <w:lang w:val="en-US"/>
        </w:rPr>
        <w:t>O</w:t>
      </w:r>
      <w:r w:rsidR="00E96B58" w:rsidRPr="00847C76">
        <w:rPr>
          <w:rFonts w:asciiTheme="minorHAnsi" w:hAnsiTheme="minorHAnsi" w:cstheme="minorHAnsi"/>
          <w:vertAlign w:val="subscript"/>
          <w:lang w:val="en-US"/>
        </w:rPr>
        <w:t>c</w:t>
      </w:r>
      <w:r w:rsidR="00E96B58">
        <w:rPr>
          <w:rFonts w:asciiTheme="minorHAnsi" w:hAnsiTheme="minorHAnsi" w:cstheme="minorHAnsi"/>
          <w:lang w:val="en-US"/>
        </w:rPr>
        <w:t xml:space="preserve"> values</w:t>
      </w:r>
      <w:r w:rsidRPr="00210F4C">
        <w:rPr>
          <w:rFonts w:asciiTheme="minorHAnsi" w:hAnsiTheme="minorHAnsi" w:cstheme="minorHAnsi"/>
          <w:lang w:val="en-US"/>
        </w:rPr>
        <w:t xml:space="preserve">, which </w:t>
      </w:r>
      <w:r w:rsidR="00E96B58">
        <w:rPr>
          <w:rFonts w:asciiTheme="minorHAnsi" w:hAnsiTheme="minorHAnsi" w:cstheme="minorHAnsi"/>
          <w:lang w:val="en-US"/>
        </w:rPr>
        <w:t xml:space="preserve">would </w:t>
      </w:r>
      <w:r w:rsidRPr="00210F4C">
        <w:rPr>
          <w:rFonts w:asciiTheme="minorHAnsi" w:hAnsiTheme="minorHAnsi" w:cstheme="minorHAnsi"/>
          <w:lang w:val="en-US"/>
        </w:rPr>
        <w:t xml:space="preserve">lead to an overestimation of the paleoelevation. We therefore </w:t>
      </w:r>
      <w:r w:rsidR="00E96B58">
        <w:rPr>
          <w:rFonts w:asciiTheme="minorHAnsi" w:hAnsiTheme="minorHAnsi" w:cstheme="minorHAnsi"/>
          <w:lang w:val="en-US"/>
        </w:rPr>
        <w:t xml:space="preserve">rely only on the lowest 25% of averaged </w:t>
      </w:r>
      <w:r w:rsidR="00E96B58" w:rsidRPr="00210F4C">
        <w:rPr>
          <w:rFonts w:asciiTheme="minorHAnsi" w:hAnsiTheme="minorHAnsi" w:cstheme="minorHAnsi"/>
          <w:lang w:val="en-US"/>
        </w:rPr>
        <w:t>δ</w:t>
      </w:r>
      <w:r w:rsidR="00E96B58" w:rsidRPr="00210F4C">
        <w:rPr>
          <w:rFonts w:asciiTheme="minorHAnsi" w:hAnsiTheme="minorHAnsi" w:cstheme="minorHAnsi"/>
          <w:vertAlign w:val="superscript"/>
          <w:lang w:val="en-US"/>
        </w:rPr>
        <w:t>18</w:t>
      </w:r>
      <w:r w:rsidR="00E96B58" w:rsidRPr="00210F4C">
        <w:rPr>
          <w:rFonts w:asciiTheme="minorHAnsi" w:hAnsiTheme="minorHAnsi" w:cstheme="minorHAnsi"/>
          <w:lang w:val="en-US"/>
        </w:rPr>
        <w:t>O</w:t>
      </w:r>
      <w:r w:rsidR="00E96B58" w:rsidRPr="00847C76">
        <w:rPr>
          <w:rFonts w:asciiTheme="minorHAnsi" w:hAnsiTheme="minorHAnsi" w:cstheme="minorHAnsi"/>
          <w:vertAlign w:val="subscript"/>
          <w:lang w:val="en-US"/>
        </w:rPr>
        <w:t>c</w:t>
      </w:r>
      <w:r w:rsidR="00E96B58">
        <w:rPr>
          <w:rFonts w:asciiTheme="minorHAnsi" w:hAnsiTheme="minorHAnsi" w:cstheme="minorHAnsi"/>
          <w:lang w:val="en-US"/>
        </w:rPr>
        <w:t xml:space="preserve"> values for elevation calculation.</w:t>
      </w:r>
    </w:p>
    <w:p w14:paraId="39C6EBCA" w14:textId="342237C5" w:rsidR="00F71070" w:rsidRDefault="00F71070">
      <w:pPr>
        <w:spacing w:line="240" w:lineRule="auto"/>
        <w:jc w:val="left"/>
        <w:rPr>
          <w:lang w:val="en-US"/>
        </w:rPr>
      </w:pPr>
      <w:r>
        <w:rPr>
          <w:lang w:val="en-US"/>
        </w:rPr>
        <w:br w:type="page"/>
      </w:r>
    </w:p>
    <w:p w14:paraId="1FC24E92" w14:textId="77777777" w:rsidR="005113AE" w:rsidRDefault="005113AE" w:rsidP="005113AE">
      <w:pPr>
        <w:rPr>
          <w:lang w:val="en-US"/>
        </w:rPr>
      </w:pPr>
    </w:p>
    <w:tbl>
      <w:tblPr>
        <w:tblpPr w:leftFromText="141" w:rightFromText="141" w:vertAnchor="page" w:horzAnchor="margin" w:tblpY="2784"/>
        <w:tblW w:w="9487" w:type="dxa"/>
        <w:tblCellMar>
          <w:left w:w="70" w:type="dxa"/>
          <w:right w:w="70" w:type="dxa"/>
        </w:tblCellMar>
        <w:tblLook w:val="04A0" w:firstRow="1" w:lastRow="0" w:firstColumn="1" w:lastColumn="0" w:noHBand="0" w:noVBand="1"/>
      </w:tblPr>
      <w:tblGrid>
        <w:gridCol w:w="1701"/>
        <w:gridCol w:w="841"/>
        <w:gridCol w:w="1692"/>
        <w:gridCol w:w="2560"/>
        <w:gridCol w:w="2693"/>
      </w:tblGrid>
      <w:tr w:rsidR="00A94972" w:rsidRPr="00477FC0" w14:paraId="2B40AEBE" w14:textId="77777777" w:rsidTr="00A94972">
        <w:trPr>
          <w:trHeight w:val="315"/>
        </w:trPr>
        <w:tc>
          <w:tcPr>
            <w:tcW w:w="1701" w:type="dxa"/>
            <w:tcBorders>
              <w:top w:val="single" w:sz="12" w:space="0" w:color="auto"/>
              <w:bottom w:val="single" w:sz="8" w:space="0" w:color="auto"/>
            </w:tcBorders>
            <w:shd w:val="clear" w:color="auto" w:fill="auto"/>
            <w:noWrap/>
            <w:vAlign w:val="center"/>
            <w:hideMark/>
          </w:tcPr>
          <w:p w14:paraId="1D2DAD6F" w14:textId="77777777" w:rsidR="00A94972" w:rsidRPr="00477FC0" w:rsidRDefault="00A94972" w:rsidP="00A94972">
            <w:pPr>
              <w:spacing w:line="240" w:lineRule="auto"/>
              <w:ind w:firstLine="62"/>
              <w:jc w:val="center"/>
              <w:rPr>
                <w:b/>
                <w:bCs/>
                <w:color w:val="000000"/>
                <w:sz w:val="18"/>
                <w:szCs w:val="16"/>
              </w:rPr>
            </w:pPr>
            <w:r w:rsidRPr="00477FC0">
              <w:rPr>
                <w:b/>
                <w:bCs/>
                <w:color w:val="000000"/>
                <w:sz w:val="18"/>
                <w:szCs w:val="16"/>
              </w:rPr>
              <w:t>Site</w:t>
            </w:r>
          </w:p>
        </w:tc>
        <w:tc>
          <w:tcPr>
            <w:tcW w:w="841" w:type="dxa"/>
            <w:tcBorders>
              <w:top w:val="single" w:sz="12" w:space="0" w:color="auto"/>
              <w:bottom w:val="single" w:sz="8" w:space="0" w:color="auto"/>
            </w:tcBorders>
            <w:shd w:val="clear" w:color="auto" w:fill="auto"/>
            <w:noWrap/>
            <w:vAlign w:val="center"/>
            <w:hideMark/>
          </w:tcPr>
          <w:p w14:paraId="7C633C5C" w14:textId="77777777" w:rsidR="00A94972" w:rsidRPr="00477FC0" w:rsidRDefault="00A94972" w:rsidP="00A94972">
            <w:pPr>
              <w:spacing w:line="240" w:lineRule="auto"/>
              <w:jc w:val="center"/>
              <w:rPr>
                <w:b/>
                <w:bCs/>
                <w:color w:val="000000"/>
                <w:sz w:val="18"/>
                <w:szCs w:val="16"/>
              </w:rPr>
            </w:pPr>
            <w:r w:rsidRPr="00477FC0">
              <w:rPr>
                <w:b/>
                <w:bCs/>
                <w:color w:val="000000"/>
                <w:sz w:val="18"/>
                <w:szCs w:val="16"/>
              </w:rPr>
              <w:t>Proxy</w:t>
            </w:r>
          </w:p>
        </w:tc>
        <w:tc>
          <w:tcPr>
            <w:tcW w:w="1692" w:type="dxa"/>
            <w:tcBorders>
              <w:top w:val="single" w:sz="12" w:space="0" w:color="auto"/>
              <w:bottom w:val="single" w:sz="8" w:space="0" w:color="auto"/>
            </w:tcBorders>
            <w:shd w:val="clear" w:color="auto" w:fill="auto"/>
            <w:noWrap/>
            <w:vAlign w:val="center"/>
            <w:hideMark/>
          </w:tcPr>
          <w:p w14:paraId="060F88BE" w14:textId="77777777" w:rsidR="00A94972" w:rsidRPr="00477FC0" w:rsidRDefault="00A94972" w:rsidP="00A94972">
            <w:pPr>
              <w:spacing w:line="240" w:lineRule="auto"/>
              <w:jc w:val="center"/>
              <w:rPr>
                <w:b/>
                <w:bCs/>
                <w:color w:val="000000"/>
                <w:sz w:val="18"/>
                <w:szCs w:val="16"/>
              </w:rPr>
            </w:pPr>
            <w:r w:rsidRPr="00477FC0">
              <w:rPr>
                <w:b/>
                <w:bCs/>
                <w:color w:val="000000"/>
                <w:sz w:val="18"/>
                <w:szCs w:val="16"/>
              </w:rPr>
              <w:t xml:space="preserve">Sampling </w:t>
            </w:r>
            <w:r w:rsidRPr="005A1BB7">
              <w:rPr>
                <w:b/>
                <w:bCs/>
                <w:color w:val="000000"/>
                <w:sz w:val="18"/>
                <w:szCs w:val="16"/>
              </w:rPr>
              <w:t>locations</w:t>
            </w:r>
          </w:p>
        </w:tc>
        <w:tc>
          <w:tcPr>
            <w:tcW w:w="2560" w:type="dxa"/>
            <w:tcBorders>
              <w:top w:val="single" w:sz="12" w:space="0" w:color="auto"/>
              <w:bottom w:val="single" w:sz="8" w:space="0" w:color="auto"/>
            </w:tcBorders>
            <w:shd w:val="clear" w:color="auto" w:fill="auto"/>
            <w:noWrap/>
            <w:vAlign w:val="center"/>
            <w:hideMark/>
          </w:tcPr>
          <w:p w14:paraId="1CFD831E" w14:textId="77777777" w:rsidR="00A94972" w:rsidRPr="00477FC0" w:rsidRDefault="00A94972" w:rsidP="00A94972">
            <w:pPr>
              <w:spacing w:line="240" w:lineRule="auto"/>
              <w:jc w:val="center"/>
              <w:rPr>
                <w:b/>
                <w:bCs/>
                <w:color w:val="000000"/>
                <w:sz w:val="18"/>
                <w:szCs w:val="16"/>
              </w:rPr>
            </w:pPr>
            <w:r w:rsidRPr="00477FC0">
              <w:rPr>
                <w:b/>
                <w:bCs/>
                <w:color w:val="000000"/>
                <w:sz w:val="18"/>
                <w:szCs w:val="16"/>
              </w:rPr>
              <w:t>Sample material</w:t>
            </w:r>
          </w:p>
        </w:tc>
        <w:tc>
          <w:tcPr>
            <w:tcW w:w="2693" w:type="dxa"/>
            <w:tcBorders>
              <w:top w:val="single" w:sz="12" w:space="0" w:color="auto"/>
              <w:bottom w:val="single" w:sz="8" w:space="0" w:color="auto"/>
            </w:tcBorders>
            <w:shd w:val="clear" w:color="auto" w:fill="auto"/>
            <w:noWrap/>
            <w:vAlign w:val="center"/>
            <w:hideMark/>
          </w:tcPr>
          <w:p w14:paraId="449BE22D" w14:textId="77777777" w:rsidR="00A94972" w:rsidRPr="00477FC0" w:rsidRDefault="00A94972" w:rsidP="00A94972">
            <w:pPr>
              <w:spacing w:line="240" w:lineRule="auto"/>
              <w:jc w:val="center"/>
              <w:rPr>
                <w:b/>
                <w:bCs/>
                <w:color w:val="000000"/>
                <w:sz w:val="18"/>
                <w:szCs w:val="16"/>
              </w:rPr>
            </w:pPr>
            <w:r w:rsidRPr="00477FC0">
              <w:rPr>
                <w:b/>
                <w:bCs/>
                <w:color w:val="000000"/>
                <w:sz w:val="18"/>
                <w:szCs w:val="16"/>
              </w:rPr>
              <w:t>Study</w:t>
            </w:r>
          </w:p>
        </w:tc>
      </w:tr>
      <w:tr w:rsidR="00A94972" w:rsidRPr="00477FC0" w14:paraId="2F0B6040" w14:textId="77777777" w:rsidTr="00A94972">
        <w:trPr>
          <w:trHeight w:val="491"/>
        </w:trPr>
        <w:tc>
          <w:tcPr>
            <w:tcW w:w="1701" w:type="dxa"/>
            <w:vMerge w:val="restart"/>
            <w:tcBorders>
              <w:top w:val="single" w:sz="8" w:space="0" w:color="auto"/>
            </w:tcBorders>
            <w:shd w:val="clear" w:color="auto" w:fill="auto"/>
            <w:vAlign w:val="center"/>
            <w:hideMark/>
          </w:tcPr>
          <w:p w14:paraId="6B7C730E" w14:textId="77777777" w:rsidR="00A94972" w:rsidRPr="00347809" w:rsidRDefault="00A94972" w:rsidP="00A94972">
            <w:pPr>
              <w:spacing w:line="240" w:lineRule="auto"/>
              <w:jc w:val="center"/>
              <w:rPr>
                <w:bCs/>
                <w:color w:val="000000"/>
                <w:sz w:val="16"/>
                <w:szCs w:val="16"/>
                <w:lang w:val="en-US"/>
              </w:rPr>
            </w:pPr>
            <w:r w:rsidRPr="00477FC0">
              <w:rPr>
                <w:bCs/>
                <w:color w:val="000000"/>
                <w:sz w:val="16"/>
                <w:szCs w:val="16"/>
                <w:lang w:val="en-US"/>
              </w:rPr>
              <w:t>Swiss Molasse Basin</w:t>
            </w:r>
          </w:p>
          <w:p w14:paraId="2056DD98" w14:textId="77777777" w:rsidR="00A94972" w:rsidRPr="00477FC0" w:rsidRDefault="00A94972" w:rsidP="00A94972">
            <w:pPr>
              <w:spacing w:line="240" w:lineRule="auto"/>
              <w:jc w:val="center"/>
              <w:rPr>
                <w:b/>
                <w:bCs/>
                <w:color w:val="000000"/>
                <w:sz w:val="16"/>
                <w:szCs w:val="16"/>
                <w:lang w:val="en-US"/>
              </w:rPr>
            </w:pPr>
            <w:r>
              <w:rPr>
                <w:bCs/>
                <w:color w:val="000000"/>
                <w:sz w:val="16"/>
                <w:szCs w:val="16"/>
                <w:lang w:val="en-US"/>
              </w:rPr>
              <w:t>(</w:t>
            </w:r>
            <w:r w:rsidRPr="00477FC0">
              <w:rPr>
                <w:bCs/>
                <w:color w:val="000000"/>
                <w:sz w:val="16"/>
                <w:szCs w:val="16"/>
                <w:lang w:val="en-US"/>
              </w:rPr>
              <w:t>near sea-level site</w:t>
            </w:r>
            <w:r>
              <w:rPr>
                <w:bCs/>
                <w:color w:val="000000"/>
                <w:sz w:val="16"/>
                <w:szCs w:val="16"/>
                <w:lang w:val="en-US"/>
              </w:rPr>
              <w:t>)</w:t>
            </w:r>
          </w:p>
        </w:tc>
        <w:tc>
          <w:tcPr>
            <w:tcW w:w="841" w:type="dxa"/>
            <w:tcBorders>
              <w:top w:val="single" w:sz="8" w:space="0" w:color="auto"/>
            </w:tcBorders>
            <w:shd w:val="clear" w:color="auto" w:fill="auto"/>
            <w:noWrap/>
            <w:vAlign w:val="center"/>
            <w:hideMark/>
          </w:tcPr>
          <w:p w14:paraId="3F7FCD49" w14:textId="77777777" w:rsidR="00A94972" w:rsidRPr="00477FC0" w:rsidRDefault="00A94972" w:rsidP="00A94972">
            <w:pPr>
              <w:spacing w:line="240" w:lineRule="auto"/>
              <w:jc w:val="center"/>
              <w:rPr>
                <w:color w:val="000000"/>
                <w:sz w:val="16"/>
                <w:szCs w:val="16"/>
              </w:rPr>
            </w:pPr>
            <w:r w:rsidRPr="00477FC0">
              <w:rPr>
                <w:color w:val="000000"/>
                <w:sz w:val="16"/>
                <w:szCs w:val="16"/>
              </w:rPr>
              <w:t>δ</w:t>
            </w:r>
            <w:r w:rsidRPr="00477FC0">
              <w:rPr>
                <w:color w:val="000000"/>
                <w:sz w:val="16"/>
                <w:szCs w:val="16"/>
                <w:vertAlign w:val="superscript"/>
              </w:rPr>
              <w:t>18</w:t>
            </w:r>
            <w:r w:rsidRPr="00477FC0">
              <w:rPr>
                <w:color w:val="000000"/>
                <w:sz w:val="16"/>
                <w:szCs w:val="16"/>
              </w:rPr>
              <w:t>O, δ</w:t>
            </w:r>
            <w:r w:rsidRPr="00477FC0">
              <w:rPr>
                <w:color w:val="000000"/>
                <w:sz w:val="16"/>
                <w:szCs w:val="16"/>
                <w:vertAlign w:val="superscript"/>
              </w:rPr>
              <w:t>13</w:t>
            </w:r>
            <w:r w:rsidRPr="00477FC0">
              <w:rPr>
                <w:color w:val="000000"/>
                <w:sz w:val="16"/>
                <w:szCs w:val="16"/>
              </w:rPr>
              <w:t>C</w:t>
            </w:r>
          </w:p>
        </w:tc>
        <w:tc>
          <w:tcPr>
            <w:tcW w:w="1692" w:type="dxa"/>
            <w:tcBorders>
              <w:top w:val="single" w:sz="8" w:space="0" w:color="auto"/>
            </w:tcBorders>
            <w:shd w:val="clear" w:color="auto" w:fill="auto"/>
            <w:noWrap/>
            <w:vAlign w:val="center"/>
            <w:hideMark/>
          </w:tcPr>
          <w:p w14:paraId="24F344C9" w14:textId="77777777" w:rsidR="00A94972" w:rsidRPr="00477FC0" w:rsidRDefault="00A94972" w:rsidP="00A94972">
            <w:pPr>
              <w:spacing w:line="240" w:lineRule="auto"/>
              <w:ind w:left="-136"/>
              <w:jc w:val="center"/>
              <w:rPr>
                <w:color w:val="000000"/>
                <w:sz w:val="16"/>
                <w:szCs w:val="16"/>
              </w:rPr>
            </w:pPr>
            <w:r w:rsidRPr="00477FC0">
              <w:rPr>
                <w:color w:val="000000"/>
                <w:sz w:val="16"/>
                <w:szCs w:val="16"/>
              </w:rPr>
              <w:t>Fontannen section</w:t>
            </w:r>
          </w:p>
        </w:tc>
        <w:tc>
          <w:tcPr>
            <w:tcW w:w="2560" w:type="dxa"/>
            <w:tcBorders>
              <w:top w:val="single" w:sz="8" w:space="0" w:color="auto"/>
            </w:tcBorders>
            <w:shd w:val="clear" w:color="auto" w:fill="auto"/>
            <w:noWrap/>
            <w:vAlign w:val="center"/>
            <w:hideMark/>
          </w:tcPr>
          <w:p w14:paraId="23A28FA3" w14:textId="77777777" w:rsidR="00A94972" w:rsidRPr="00477FC0" w:rsidRDefault="00A94972" w:rsidP="00A94972">
            <w:pPr>
              <w:spacing w:line="240" w:lineRule="auto"/>
              <w:jc w:val="center"/>
              <w:rPr>
                <w:color w:val="000000"/>
                <w:sz w:val="16"/>
                <w:szCs w:val="16"/>
              </w:rPr>
            </w:pPr>
            <w:r w:rsidRPr="00477FC0">
              <w:rPr>
                <w:color w:val="000000"/>
                <w:sz w:val="16"/>
                <w:szCs w:val="16"/>
              </w:rPr>
              <w:t>Pedogenic carbonate nodules</w:t>
            </w:r>
          </w:p>
        </w:tc>
        <w:tc>
          <w:tcPr>
            <w:tcW w:w="2693" w:type="dxa"/>
            <w:tcBorders>
              <w:top w:val="single" w:sz="8" w:space="0" w:color="auto"/>
            </w:tcBorders>
            <w:shd w:val="clear" w:color="auto" w:fill="auto"/>
            <w:noWrap/>
            <w:vAlign w:val="center"/>
            <w:hideMark/>
          </w:tcPr>
          <w:p w14:paraId="2E6D3808" w14:textId="77777777" w:rsidR="00A94972" w:rsidRPr="00477FC0" w:rsidRDefault="00A94972" w:rsidP="00A94972">
            <w:pPr>
              <w:spacing w:line="240" w:lineRule="auto"/>
              <w:jc w:val="center"/>
              <w:rPr>
                <w:color w:val="000000"/>
                <w:sz w:val="16"/>
                <w:szCs w:val="16"/>
                <w:lang w:val="en-US"/>
              </w:rPr>
            </w:pPr>
            <w:r w:rsidRPr="00477FC0">
              <w:rPr>
                <w:color w:val="000000"/>
                <w:sz w:val="16"/>
                <w:szCs w:val="16"/>
                <w:lang w:val="en-US"/>
              </w:rPr>
              <w:t>Campani et al. (2012), complemented with additional samples</w:t>
            </w:r>
          </w:p>
        </w:tc>
      </w:tr>
      <w:tr w:rsidR="00A94972" w:rsidRPr="00477FC0" w14:paraId="382905C8" w14:textId="77777777" w:rsidTr="00A94972">
        <w:trPr>
          <w:trHeight w:val="345"/>
        </w:trPr>
        <w:tc>
          <w:tcPr>
            <w:tcW w:w="1701" w:type="dxa"/>
            <w:vMerge/>
            <w:shd w:val="clear" w:color="auto" w:fill="auto"/>
            <w:hideMark/>
          </w:tcPr>
          <w:p w14:paraId="62784CD1" w14:textId="77777777" w:rsidR="00A94972" w:rsidRPr="00477FC0" w:rsidRDefault="00A94972" w:rsidP="00A94972">
            <w:pPr>
              <w:spacing w:line="240" w:lineRule="auto"/>
              <w:jc w:val="center"/>
              <w:rPr>
                <w:b/>
                <w:bCs/>
                <w:color w:val="000000"/>
                <w:sz w:val="16"/>
                <w:szCs w:val="16"/>
                <w:lang w:val="en-US"/>
              </w:rPr>
            </w:pPr>
          </w:p>
        </w:tc>
        <w:tc>
          <w:tcPr>
            <w:tcW w:w="841" w:type="dxa"/>
            <w:shd w:val="clear" w:color="auto" w:fill="auto"/>
            <w:noWrap/>
            <w:vAlign w:val="center"/>
            <w:hideMark/>
          </w:tcPr>
          <w:p w14:paraId="3C27D866" w14:textId="77777777" w:rsidR="00A94972" w:rsidRPr="00477FC0" w:rsidRDefault="00A94972" w:rsidP="00A94972">
            <w:pPr>
              <w:spacing w:line="240" w:lineRule="auto"/>
              <w:jc w:val="center"/>
              <w:rPr>
                <w:color w:val="000000"/>
                <w:sz w:val="16"/>
                <w:szCs w:val="16"/>
              </w:rPr>
            </w:pPr>
            <w:r w:rsidRPr="00477FC0">
              <w:rPr>
                <w:color w:val="000000"/>
                <w:sz w:val="16"/>
                <w:szCs w:val="16"/>
              </w:rPr>
              <w:t>δ</w:t>
            </w:r>
            <w:r w:rsidRPr="00477FC0">
              <w:rPr>
                <w:color w:val="000000"/>
                <w:sz w:val="16"/>
                <w:szCs w:val="16"/>
                <w:vertAlign w:val="superscript"/>
              </w:rPr>
              <w:t>18</w:t>
            </w:r>
            <w:r w:rsidRPr="00477FC0">
              <w:rPr>
                <w:color w:val="000000"/>
                <w:sz w:val="16"/>
                <w:szCs w:val="16"/>
              </w:rPr>
              <w:t>O, δ</w:t>
            </w:r>
            <w:r w:rsidRPr="00477FC0">
              <w:rPr>
                <w:color w:val="000000"/>
                <w:sz w:val="16"/>
                <w:szCs w:val="16"/>
                <w:vertAlign w:val="superscript"/>
              </w:rPr>
              <w:t>13</w:t>
            </w:r>
            <w:r w:rsidRPr="00477FC0">
              <w:rPr>
                <w:color w:val="000000"/>
                <w:sz w:val="16"/>
                <w:szCs w:val="16"/>
              </w:rPr>
              <w:t>C</w:t>
            </w:r>
          </w:p>
        </w:tc>
        <w:tc>
          <w:tcPr>
            <w:tcW w:w="1692" w:type="dxa"/>
            <w:shd w:val="clear" w:color="auto" w:fill="auto"/>
            <w:noWrap/>
            <w:vAlign w:val="center"/>
            <w:hideMark/>
          </w:tcPr>
          <w:p w14:paraId="5FA59F2A" w14:textId="77777777" w:rsidR="00A94972" w:rsidRPr="00477FC0" w:rsidRDefault="00A94972" w:rsidP="00A94972">
            <w:pPr>
              <w:spacing w:line="240" w:lineRule="auto"/>
              <w:jc w:val="center"/>
              <w:rPr>
                <w:color w:val="000000"/>
                <w:sz w:val="16"/>
                <w:szCs w:val="16"/>
              </w:rPr>
            </w:pPr>
            <w:r w:rsidRPr="00477FC0">
              <w:rPr>
                <w:color w:val="000000"/>
                <w:sz w:val="16"/>
                <w:szCs w:val="16"/>
              </w:rPr>
              <w:t>Jona section</w:t>
            </w:r>
          </w:p>
        </w:tc>
        <w:tc>
          <w:tcPr>
            <w:tcW w:w="2560" w:type="dxa"/>
            <w:shd w:val="clear" w:color="auto" w:fill="auto"/>
            <w:noWrap/>
            <w:vAlign w:val="center"/>
            <w:hideMark/>
          </w:tcPr>
          <w:p w14:paraId="6FD7ED7D" w14:textId="77777777" w:rsidR="00A94972" w:rsidRPr="00477FC0" w:rsidRDefault="00A94972" w:rsidP="00A94972">
            <w:pPr>
              <w:spacing w:line="240" w:lineRule="auto"/>
              <w:jc w:val="center"/>
              <w:rPr>
                <w:color w:val="000000"/>
                <w:sz w:val="16"/>
                <w:szCs w:val="16"/>
              </w:rPr>
            </w:pPr>
            <w:r w:rsidRPr="00477FC0">
              <w:rPr>
                <w:color w:val="000000"/>
                <w:sz w:val="16"/>
                <w:szCs w:val="16"/>
              </w:rPr>
              <w:t>Pedogenic carbonate nodules</w:t>
            </w:r>
          </w:p>
        </w:tc>
        <w:tc>
          <w:tcPr>
            <w:tcW w:w="2693" w:type="dxa"/>
            <w:shd w:val="clear" w:color="auto" w:fill="auto"/>
            <w:noWrap/>
            <w:vAlign w:val="center"/>
            <w:hideMark/>
          </w:tcPr>
          <w:p w14:paraId="49BECF71" w14:textId="77777777" w:rsidR="00A94972" w:rsidRPr="00477FC0" w:rsidRDefault="00A94972" w:rsidP="00A94972">
            <w:pPr>
              <w:spacing w:line="240" w:lineRule="auto"/>
              <w:jc w:val="center"/>
              <w:rPr>
                <w:color w:val="000000"/>
                <w:sz w:val="16"/>
                <w:szCs w:val="16"/>
              </w:rPr>
            </w:pPr>
            <w:r w:rsidRPr="00477FC0">
              <w:rPr>
                <w:color w:val="000000"/>
                <w:sz w:val="16"/>
                <w:szCs w:val="16"/>
              </w:rPr>
              <w:t>This study</w:t>
            </w:r>
          </w:p>
        </w:tc>
      </w:tr>
      <w:tr w:rsidR="00A94972" w:rsidRPr="00477FC0" w14:paraId="78A6D5C4" w14:textId="77777777" w:rsidTr="00A94972">
        <w:trPr>
          <w:trHeight w:val="345"/>
        </w:trPr>
        <w:tc>
          <w:tcPr>
            <w:tcW w:w="1701" w:type="dxa"/>
            <w:vMerge/>
            <w:shd w:val="clear" w:color="auto" w:fill="auto"/>
            <w:vAlign w:val="bottom"/>
            <w:hideMark/>
          </w:tcPr>
          <w:p w14:paraId="18CF9A6F" w14:textId="77777777" w:rsidR="00A94972" w:rsidRPr="00477FC0" w:rsidRDefault="00A94972" w:rsidP="00A94972">
            <w:pPr>
              <w:spacing w:line="240" w:lineRule="auto"/>
              <w:jc w:val="center"/>
              <w:rPr>
                <w:color w:val="000000"/>
                <w:sz w:val="16"/>
                <w:szCs w:val="16"/>
              </w:rPr>
            </w:pPr>
          </w:p>
        </w:tc>
        <w:tc>
          <w:tcPr>
            <w:tcW w:w="841" w:type="dxa"/>
            <w:shd w:val="clear" w:color="auto" w:fill="auto"/>
            <w:noWrap/>
            <w:vAlign w:val="center"/>
            <w:hideMark/>
          </w:tcPr>
          <w:p w14:paraId="6F644074" w14:textId="77777777" w:rsidR="00A94972" w:rsidRPr="00477FC0" w:rsidRDefault="00A94972" w:rsidP="00A94972">
            <w:pPr>
              <w:spacing w:line="240" w:lineRule="auto"/>
              <w:jc w:val="center"/>
              <w:rPr>
                <w:color w:val="000000"/>
                <w:sz w:val="16"/>
                <w:szCs w:val="16"/>
              </w:rPr>
            </w:pPr>
            <w:r w:rsidRPr="00477FC0">
              <w:rPr>
                <w:color w:val="000000"/>
                <w:sz w:val="16"/>
                <w:szCs w:val="16"/>
              </w:rPr>
              <w:t>δ</w:t>
            </w:r>
            <w:r w:rsidRPr="00477FC0">
              <w:rPr>
                <w:color w:val="000000"/>
                <w:sz w:val="16"/>
                <w:szCs w:val="16"/>
                <w:vertAlign w:val="superscript"/>
              </w:rPr>
              <w:t>18</w:t>
            </w:r>
            <w:r w:rsidRPr="00477FC0">
              <w:rPr>
                <w:color w:val="000000"/>
                <w:sz w:val="16"/>
                <w:szCs w:val="16"/>
              </w:rPr>
              <w:t>O, δ</w:t>
            </w:r>
            <w:r w:rsidRPr="00477FC0">
              <w:rPr>
                <w:color w:val="000000"/>
                <w:sz w:val="16"/>
                <w:szCs w:val="16"/>
                <w:vertAlign w:val="superscript"/>
              </w:rPr>
              <w:t>13</w:t>
            </w:r>
            <w:r w:rsidRPr="00477FC0">
              <w:rPr>
                <w:color w:val="000000"/>
                <w:sz w:val="16"/>
                <w:szCs w:val="16"/>
              </w:rPr>
              <w:t>C</w:t>
            </w:r>
          </w:p>
        </w:tc>
        <w:tc>
          <w:tcPr>
            <w:tcW w:w="1692" w:type="dxa"/>
            <w:shd w:val="clear" w:color="auto" w:fill="auto"/>
            <w:noWrap/>
            <w:vAlign w:val="center"/>
            <w:hideMark/>
          </w:tcPr>
          <w:p w14:paraId="7409A1D1" w14:textId="77777777" w:rsidR="00A94972" w:rsidRPr="00477FC0" w:rsidRDefault="00A94972" w:rsidP="00A94972">
            <w:pPr>
              <w:spacing w:line="240" w:lineRule="auto"/>
              <w:jc w:val="center"/>
              <w:rPr>
                <w:color w:val="000000"/>
                <w:sz w:val="16"/>
                <w:szCs w:val="16"/>
              </w:rPr>
            </w:pPr>
            <w:r w:rsidRPr="00477FC0">
              <w:rPr>
                <w:color w:val="000000"/>
                <w:sz w:val="16"/>
                <w:szCs w:val="16"/>
              </w:rPr>
              <w:t>Aabach section</w:t>
            </w:r>
          </w:p>
        </w:tc>
        <w:tc>
          <w:tcPr>
            <w:tcW w:w="2560" w:type="dxa"/>
            <w:shd w:val="clear" w:color="auto" w:fill="auto"/>
            <w:noWrap/>
            <w:vAlign w:val="center"/>
            <w:hideMark/>
          </w:tcPr>
          <w:p w14:paraId="3091BC8C" w14:textId="77777777" w:rsidR="00A94972" w:rsidRPr="00477FC0" w:rsidRDefault="00A94972" w:rsidP="00A94972">
            <w:pPr>
              <w:spacing w:line="240" w:lineRule="auto"/>
              <w:jc w:val="center"/>
              <w:rPr>
                <w:color w:val="000000"/>
                <w:sz w:val="16"/>
                <w:szCs w:val="16"/>
              </w:rPr>
            </w:pPr>
            <w:r w:rsidRPr="00477FC0">
              <w:rPr>
                <w:color w:val="000000"/>
                <w:sz w:val="16"/>
                <w:szCs w:val="16"/>
              </w:rPr>
              <w:t>Pedogenic carbonate nodules</w:t>
            </w:r>
          </w:p>
        </w:tc>
        <w:tc>
          <w:tcPr>
            <w:tcW w:w="2693" w:type="dxa"/>
            <w:shd w:val="clear" w:color="auto" w:fill="auto"/>
            <w:noWrap/>
            <w:vAlign w:val="center"/>
            <w:hideMark/>
          </w:tcPr>
          <w:p w14:paraId="61FB16CE" w14:textId="77777777" w:rsidR="00A94972" w:rsidRPr="00477FC0" w:rsidRDefault="00A94972" w:rsidP="00A94972">
            <w:pPr>
              <w:spacing w:line="240" w:lineRule="auto"/>
              <w:jc w:val="center"/>
              <w:rPr>
                <w:color w:val="000000"/>
                <w:sz w:val="16"/>
                <w:szCs w:val="16"/>
              </w:rPr>
            </w:pPr>
            <w:r w:rsidRPr="00477FC0">
              <w:rPr>
                <w:color w:val="000000"/>
                <w:sz w:val="16"/>
                <w:szCs w:val="16"/>
              </w:rPr>
              <w:t>This study</w:t>
            </w:r>
          </w:p>
        </w:tc>
      </w:tr>
      <w:tr w:rsidR="00A94972" w:rsidRPr="00477FC0" w14:paraId="39AFA67B" w14:textId="77777777" w:rsidTr="00A94972">
        <w:trPr>
          <w:trHeight w:val="442"/>
        </w:trPr>
        <w:tc>
          <w:tcPr>
            <w:tcW w:w="1701" w:type="dxa"/>
            <w:vMerge/>
            <w:shd w:val="clear" w:color="auto" w:fill="auto"/>
            <w:vAlign w:val="bottom"/>
            <w:hideMark/>
          </w:tcPr>
          <w:p w14:paraId="3363C6DA" w14:textId="77777777" w:rsidR="00A94972" w:rsidRPr="00477FC0" w:rsidRDefault="00A94972" w:rsidP="00A94972">
            <w:pPr>
              <w:spacing w:line="240" w:lineRule="auto"/>
              <w:jc w:val="center"/>
              <w:rPr>
                <w:color w:val="000000"/>
                <w:sz w:val="16"/>
                <w:szCs w:val="16"/>
              </w:rPr>
            </w:pPr>
          </w:p>
        </w:tc>
        <w:tc>
          <w:tcPr>
            <w:tcW w:w="841" w:type="dxa"/>
            <w:shd w:val="clear" w:color="auto" w:fill="auto"/>
            <w:vAlign w:val="center"/>
            <w:hideMark/>
          </w:tcPr>
          <w:p w14:paraId="15D05C69" w14:textId="77777777" w:rsidR="00A94972" w:rsidRPr="00477FC0" w:rsidRDefault="00A94972" w:rsidP="00A94972">
            <w:pPr>
              <w:spacing w:line="240" w:lineRule="auto"/>
              <w:jc w:val="center"/>
              <w:rPr>
                <w:color w:val="000000"/>
                <w:sz w:val="16"/>
                <w:szCs w:val="16"/>
              </w:rPr>
            </w:pPr>
            <w:r w:rsidRPr="00477FC0">
              <w:rPr>
                <w:color w:val="000000"/>
                <w:sz w:val="16"/>
                <w:szCs w:val="16"/>
              </w:rPr>
              <w:t>T (Δ</w:t>
            </w:r>
            <w:r w:rsidRPr="00477FC0">
              <w:rPr>
                <w:color w:val="000000"/>
                <w:sz w:val="16"/>
                <w:szCs w:val="16"/>
                <w:vertAlign w:val="subscript"/>
              </w:rPr>
              <w:t>47</w:t>
            </w:r>
            <w:r w:rsidRPr="00477FC0">
              <w:rPr>
                <w:color w:val="000000"/>
                <w:sz w:val="16"/>
                <w:szCs w:val="16"/>
              </w:rPr>
              <w:t>)</w:t>
            </w:r>
          </w:p>
        </w:tc>
        <w:tc>
          <w:tcPr>
            <w:tcW w:w="1692" w:type="dxa"/>
            <w:shd w:val="clear" w:color="auto" w:fill="auto"/>
            <w:vAlign w:val="center"/>
            <w:hideMark/>
          </w:tcPr>
          <w:p w14:paraId="7575D8FF" w14:textId="77777777" w:rsidR="00A94972" w:rsidRPr="00477FC0" w:rsidRDefault="00A94972" w:rsidP="00A94972">
            <w:pPr>
              <w:spacing w:line="240" w:lineRule="auto"/>
              <w:jc w:val="center"/>
              <w:rPr>
                <w:color w:val="000000"/>
                <w:sz w:val="16"/>
                <w:szCs w:val="16"/>
              </w:rPr>
            </w:pPr>
            <w:r w:rsidRPr="00477FC0">
              <w:rPr>
                <w:color w:val="000000"/>
                <w:sz w:val="16"/>
                <w:szCs w:val="16"/>
              </w:rPr>
              <w:t>Fontannen section</w:t>
            </w:r>
          </w:p>
        </w:tc>
        <w:tc>
          <w:tcPr>
            <w:tcW w:w="2560" w:type="dxa"/>
            <w:shd w:val="clear" w:color="auto" w:fill="auto"/>
            <w:noWrap/>
            <w:vAlign w:val="center"/>
            <w:hideMark/>
          </w:tcPr>
          <w:p w14:paraId="451298F6" w14:textId="77777777" w:rsidR="00A94972" w:rsidRPr="00477FC0" w:rsidRDefault="00A94972" w:rsidP="00A94972">
            <w:pPr>
              <w:spacing w:line="240" w:lineRule="auto"/>
              <w:jc w:val="center"/>
              <w:rPr>
                <w:color w:val="000000"/>
                <w:sz w:val="16"/>
                <w:szCs w:val="16"/>
              </w:rPr>
            </w:pPr>
            <w:r w:rsidRPr="00477FC0">
              <w:rPr>
                <w:color w:val="000000"/>
                <w:sz w:val="16"/>
                <w:szCs w:val="16"/>
              </w:rPr>
              <w:t>Pedogenic carbonate nodules</w:t>
            </w:r>
          </w:p>
        </w:tc>
        <w:tc>
          <w:tcPr>
            <w:tcW w:w="2693" w:type="dxa"/>
            <w:shd w:val="clear" w:color="auto" w:fill="auto"/>
            <w:vAlign w:val="center"/>
            <w:hideMark/>
          </w:tcPr>
          <w:p w14:paraId="7582E59D" w14:textId="77777777" w:rsidR="00A94972" w:rsidRPr="00477FC0" w:rsidRDefault="00A94972" w:rsidP="00A94972">
            <w:pPr>
              <w:spacing w:line="240" w:lineRule="auto"/>
              <w:jc w:val="center"/>
              <w:rPr>
                <w:color w:val="000000"/>
                <w:sz w:val="16"/>
                <w:szCs w:val="16"/>
                <w:lang w:val="en-US"/>
              </w:rPr>
            </w:pPr>
            <w:r w:rsidRPr="00477FC0">
              <w:rPr>
                <w:color w:val="000000"/>
                <w:sz w:val="16"/>
                <w:szCs w:val="16"/>
                <w:lang w:val="en-US"/>
              </w:rPr>
              <w:t>Methner et al. (2020), recalibrated for this study</w:t>
            </w:r>
          </w:p>
        </w:tc>
      </w:tr>
      <w:tr w:rsidR="00A94972" w:rsidRPr="00477FC0" w14:paraId="743BA14C" w14:textId="77777777" w:rsidTr="00A94972">
        <w:trPr>
          <w:trHeight w:val="360"/>
        </w:trPr>
        <w:tc>
          <w:tcPr>
            <w:tcW w:w="1701" w:type="dxa"/>
            <w:vMerge/>
            <w:shd w:val="clear" w:color="auto" w:fill="auto"/>
            <w:vAlign w:val="bottom"/>
            <w:hideMark/>
          </w:tcPr>
          <w:p w14:paraId="22928CA2" w14:textId="77777777" w:rsidR="00A94972" w:rsidRPr="00477FC0" w:rsidRDefault="00A94972" w:rsidP="00A94972">
            <w:pPr>
              <w:spacing w:line="240" w:lineRule="auto"/>
              <w:jc w:val="center"/>
              <w:rPr>
                <w:color w:val="000000"/>
                <w:sz w:val="16"/>
                <w:szCs w:val="16"/>
                <w:lang w:val="en-US"/>
              </w:rPr>
            </w:pPr>
          </w:p>
        </w:tc>
        <w:tc>
          <w:tcPr>
            <w:tcW w:w="841" w:type="dxa"/>
            <w:shd w:val="clear" w:color="auto" w:fill="auto"/>
            <w:vAlign w:val="center"/>
            <w:hideMark/>
          </w:tcPr>
          <w:p w14:paraId="6B29F56C" w14:textId="77777777" w:rsidR="00A94972" w:rsidRPr="00477FC0" w:rsidRDefault="00A94972" w:rsidP="00A94972">
            <w:pPr>
              <w:spacing w:line="240" w:lineRule="auto"/>
              <w:jc w:val="center"/>
              <w:rPr>
                <w:color w:val="000000"/>
                <w:sz w:val="16"/>
                <w:szCs w:val="16"/>
              </w:rPr>
            </w:pPr>
            <w:r w:rsidRPr="00477FC0">
              <w:rPr>
                <w:color w:val="000000"/>
                <w:sz w:val="16"/>
                <w:szCs w:val="16"/>
              </w:rPr>
              <w:t>T (Δ</w:t>
            </w:r>
            <w:r w:rsidRPr="00477FC0">
              <w:rPr>
                <w:color w:val="000000"/>
                <w:sz w:val="16"/>
                <w:szCs w:val="16"/>
                <w:vertAlign w:val="subscript"/>
              </w:rPr>
              <w:t>47</w:t>
            </w:r>
            <w:r w:rsidRPr="00477FC0">
              <w:rPr>
                <w:color w:val="000000"/>
                <w:sz w:val="16"/>
                <w:szCs w:val="16"/>
              </w:rPr>
              <w:t>)</w:t>
            </w:r>
          </w:p>
        </w:tc>
        <w:tc>
          <w:tcPr>
            <w:tcW w:w="1692" w:type="dxa"/>
            <w:shd w:val="clear" w:color="auto" w:fill="auto"/>
            <w:vAlign w:val="center"/>
            <w:hideMark/>
          </w:tcPr>
          <w:p w14:paraId="43B91084" w14:textId="77777777" w:rsidR="00A94972" w:rsidRPr="00477FC0" w:rsidRDefault="00A94972" w:rsidP="00A94972">
            <w:pPr>
              <w:spacing w:line="240" w:lineRule="auto"/>
              <w:jc w:val="center"/>
              <w:rPr>
                <w:color w:val="000000"/>
                <w:sz w:val="16"/>
                <w:szCs w:val="16"/>
              </w:rPr>
            </w:pPr>
            <w:r w:rsidRPr="00477FC0">
              <w:rPr>
                <w:color w:val="000000"/>
                <w:sz w:val="16"/>
                <w:szCs w:val="16"/>
              </w:rPr>
              <w:t>Jona section</w:t>
            </w:r>
          </w:p>
        </w:tc>
        <w:tc>
          <w:tcPr>
            <w:tcW w:w="2560" w:type="dxa"/>
            <w:shd w:val="clear" w:color="auto" w:fill="auto"/>
            <w:noWrap/>
            <w:vAlign w:val="center"/>
            <w:hideMark/>
          </w:tcPr>
          <w:p w14:paraId="2DBB8187" w14:textId="77777777" w:rsidR="00A94972" w:rsidRPr="00477FC0" w:rsidRDefault="00A94972" w:rsidP="00A94972">
            <w:pPr>
              <w:spacing w:line="240" w:lineRule="auto"/>
              <w:jc w:val="center"/>
              <w:rPr>
                <w:color w:val="000000"/>
                <w:sz w:val="16"/>
                <w:szCs w:val="16"/>
              </w:rPr>
            </w:pPr>
            <w:r w:rsidRPr="00477FC0">
              <w:rPr>
                <w:color w:val="000000"/>
                <w:sz w:val="16"/>
                <w:szCs w:val="16"/>
              </w:rPr>
              <w:t>Pedogenic carbonate nodules</w:t>
            </w:r>
          </w:p>
        </w:tc>
        <w:tc>
          <w:tcPr>
            <w:tcW w:w="2693" w:type="dxa"/>
            <w:shd w:val="clear" w:color="auto" w:fill="auto"/>
            <w:vAlign w:val="center"/>
            <w:hideMark/>
          </w:tcPr>
          <w:p w14:paraId="0D64EF43" w14:textId="77777777" w:rsidR="00A94972" w:rsidRPr="00477FC0" w:rsidRDefault="00A94972" w:rsidP="00A94972">
            <w:pPr>
              <w:spacing w:line="240" w:lineRule="auto"/>
              <w:jc w:val="center"/>
              <w:rPr>
                <w:color w:val="000000"/>
                <w:sz w:val="16"/>
                <w:szCs w:val="16"/>
              </w:rPr>
            </w:pPr>
            <w:r w:rsidRPr="00477FC0">
              <w:rPr>
                <w:color w:val="000000"/>
                <w:sz w:val="16"/>
                <w:szCs w:val="16"/>
              </w:rPr>
              <w:t>This study</w:t>
            </w:r>
          </w:p>
        </w:tc>
      </w:tr>
      <w:tr w:rsidR="00A94972" w:rsidRPr="00477FC0" w14:paraId="6386A127" w14:textId="77777777" w:rsidTr="00A94972">
        <w:trPr>
          <w:trHeight w:val="360"/>
        </w:trPr>
        <w:tc>
          <w:tcPr>
            <w:tcW w:w="1701" w:type="dxa"/>
            <w:vMerge/>
            <w:shd w:val="clear" w:color="auto" w:fill="auto"/>
            <w:vAlign w:val="bottom"/>
            <w:hideMark/>
          </w:tcPr>
          <w:p w14:paraId="2EA7D726" w14:textId="77777777" w:rsidR="00A94972" w:rsidRPr="00477FC0" w:rsidRDefault="00A94972" w:rsidP="00A94972">
            <w:pPr>
              <w:spacing w:line="240" w:lineRule="auto"/>
              <w:jc w:val="center"/>
              <w:rPr>
                <w:color w:val="000000"/>
                <w:sz w:val="16"/>
                <w:szCs w:val="16"/>
              </w:rPr>
            </w:pPr>
          </w:p>
        </w:tc>
        <w:tc>
          <w:tcPr>
            <w:tcW w:w="841" w:type="dxa"/>
            <w:shd w:val="clear" w:color="auto" w:fill="auto"/>
            <w:vAlign w:val="center"/>
            <w:hideMark/>
          </w:tcPr>
          <w:p w14:paraId="77F58E10" w14:textId="77777777" w:rsidR="00A94972" w:rsidRPr="00477FC0" w:rsidRDefault="00A94972" w:rsidP="00A94972">
            <w:pPr>
              <w:spacing w:line="240" w:lineRule="auto"/>
              <w:jc w:val="center"/>
              <w:rPr>
                <w:color w:val="000000"/>
                <w:sz w:val="16"/>
                <w:szCs w:val="16"/>
              </w:rPr>
            </w:pPr>
            <w:r w:rsidRPr="00477FC0">
              <w:rPr>
                <w:color w:val="000000"/>
                <w:sz w:val="16"/>
                <w:szCs w:val="16"/>
              </w:rPr>
              <w:t>T (Δ</w:t>
            </w:r>
            <w:r w:rsidRPr="00477FC0">
              <w:rPr>
                <w:color w:val="000000"/>
                <w:sz w:val="16"/>
                <w:szCs w:val="16"/>
                <w:vertAlign w:val="subscript"/>
              </w:rPr>
              <w:t>47</w:t>
            </w:r>
            <w:r w:rsidRPr="00477FC0">
              <w:rPr>
                <w:color w:val="000000"/>
                <w:sz w:val="16"/>
                <w:szCs w:val="16"/>
              </w:rPr>
              <w:t>)</w:t>
            </w:r>
          </w:p>
        </w:tc>
        <w:tc>
          <w:tcPr>
            <w:tcW w:w="1692" w:type="dxa"/>
            <w:shd w:val="clear" w:color="auto" w:fill="auto"/>
            <w:vAlign w:val="center"/>
            <w:hideMark/>
          </w:tcPr>
          <w:p w14:paraId="22580409" w14:textId="77777777" w:rsidR="00A94972" w:rsidRPr="00477FC0" w:rsidRDefault="00A94972" w:rsidP="00A94972">
            <w:pPr>
              <w:spacing w:line="240" w:lineRule="auto"/>
              <w:jc w:val="center"/>
              <w:rPr>
                <w:color w:val="000000"/>
                <w:sz w:val="16"/>
                <w:szCs w:val="16"/>
              </w:rPr>
            </w:pPr>
            <w:r w:rsidRPr="00477FC0">
              <w:rPr>
                <w:color w:val="000000"/>
                <w:sz w:val="16"/>
                <w:szCs w:val="16"/>
              </w:rPr>
              <w:t>Aabach section</w:t>
            </w:r>
          </w:p>
        </w:tc>
        <w:tc>
          <w:tcPr>
            <w:tcW w:w="2560" w:type="dxa"/>
            <w:shd w:val="clear" w:color="auto" w:fill="auto"/>
            <w:noWrap/>
            <w:vAlign w:val="center"/>
            <w:hideMark/>
          </w:tcPr>
          <w:p w14:paraId="259F8970" w14:textId="77777777" w:rsidR="00A94972" w:rsidRPr="00477FC0" w:rsidRDefault="00A94972" w:rsidP="00A94972">
            <w:pPr>
              <w:spacing w:line="240" w:lineRule="auto"/>
              <w:jc w:val="center"/>
              <w:rPr>
                <w:color w:val="000000"/>
                <w:sz w:val="16"/>
                <w:szCs w:val="16"/>
              </w:rPr>
            </w:pPr>
            <w:r w:rsidRPr="00477FC0">
              <w:rPr>
                <w:color w:val="000000"/>
                <w:sz w:val="16"/>
                <w:szCs w:val="16"/>
              </w:rPr>
              <w:t>Pedogenic carbonate nodules</w:t>
            </w:r>
          </w:p>
        </w:tc>
        <w:tc>
          <w:tcPr>
            <w:tcW w:w="2693" w:type="dxa"/>
            <w:shd w:val="clear" w:color="auto" w:fill="auto"/>
            <w:vAlign w:val="center"/>
            <w:hideMark/>
          </w:tcPr>
          <w:p w14:paraId="7468620E" w14:textId="77777777" w:rsidR="00A94972" w:rsidRPr="00477FC0" w:rsidRDefault="00A94972" w:rsidP="00A94972">
            <w:pPr>
              <w:spacing w:line="240" w:lineRule="auto"/>
              <w:jc w:val="center"/>
              <w:rPr>
                <w:color w:val="000000"/>
                <w:sz w:val="16"/>
                <w:szCs w:val="16"/>
              </w:rPr>
            </w:pPr>
            <w:r w:rsidRPr="00477FC0">
              <w:rPr>
                <w:color w:val="000000"/>
                <w:sz w:val="16"/>
                <w:szCs w:val="16"/>
              </w:rPr>
              <w:t>This study</w:t>
            </w:r>
          </w:p>
        </w:tc>
      </w:tr>
      <w:tr w:rsidR="00A94972" w:rsidRPr="00477FC0" w14:paraId="1A94013E" w14:textId="77777777" w:rsidTr="00A94972">
        <w:trPr>
          <w:trHeight w:val="473"/>
        </w:trPr>
        <w:tc>
          <w:tcPr>
            <w:tcW w:w="1701" w:type="dxa"/>
            <w:tcBorders>
              <w:bottom w:val="single" w:sz="12" w:space="0" w:color="auto"/>
            </w:tcBorders>
            <w:shd w:val="clear" w:color="auto" w:fill="auto"/>
            <w:vAlign w:val="center"/>
            <w:hideMark/>
          </w:tcPr>
          <w:p w14:paraId="3EE14EED" w14:textId="77777777" w:rsidR="00A94972" w:rsidRPr="00347809" w:rsidRDefault="00A94972" w:rsidP="00A94972">
            <w:pPr>
              <w:spacing w:line="240" w:lineRule="auto"/>
              <w:jc w:val="center"/>
              <w:rPr>
                <w:bCs/>
                <w:color w:val="000000"/>
                <w:sz w:val="16"/>
                <w:szCs w:val="16"/>
                <w:lang w:val="en-US"/>
              </w:rPr>
            </w:pPr>
            <w:r w:rsidRPr="00477FC0">
              <w:rPr>
                <w:bCs/>
                <w:color w:val="000000"/>
                <w:sz w:val="16"/>
                <w:szCs w:val="16"/>
                <w:lang w:val="en-US"/>
              </w:rPr>
              <w:t>Simplon Fault Zone</w:t>
            </w:r>
          </w:p>
          <w:p w14:paraId="649DBA4E" w14:textId="77777777" w:rsidR="00A94972" w:rsidRPr="00477FC0" w:rsidRDefault="00A94972" w:rsidP="00A94972">
            <w:pPr>
              <w:spacing w:line="240" w:lineRule="auto"/>
              <w:jc w:val="center"/>
              <w:rPr>
                <w:b/>
                <w:bCs/>
                <w:color w:val="000000"/>
                <w:sz w:val="16"/>
                <w:szCs w:val="16"/>
                <w:lang w:val="en-US"/>
              </w:rPr>
            </w:pPr>
            <w:r>
              <w:rPr>
                <w:bCs/>
                <w:color w:val="000000"/>
                <w:sz w:val="16"/>
                <w:szCs w:val="16"/>
                <w:lang w:val="en-US"/>
              </w:rPr>
              <w:t>(</w:t>
            </w:r>
            <w:r w:rsidRPr="00477FC0">
              <w:rPr>
                <w:bCs/>
                <w:color w:val="000000"/>
                <w:sz w:val="16"/>
                <w:szCs w:val="16"/>
                <w:lang w:val="en-US"/>
              </w:rPr>
              <w:t>high-Alpine site</w:t>
            </w:r>
            <w:r>
              <w:rPr>
                <w:bCs/>
                <w:color w:val="000000"/>
                <w:sz w:val="16"/>
                <w:szCs w:val="16"/>
                <w:lang w:val="en-US"/>
              </w:rPr>
              <w:t>)</w:t>
            </w:r>
          </w:p>
        </w:tc>
        <w:tc>
          <w:tcPr>
            <w:tcW w:w="841" w:type="dxa"/>
            <w:tcBorders>
              <w:bottom w:val="single" w:sz="12" w:space="0" w:color="auto"/>
            </w:tcBorders>
            <w:shd w:val="clear" w:color="auto" w:fill="auto"/>
            <w:noWrap/>
            <w:vAlign w:val="center"/>
            <w:hideMark/>
          </w:tcPr>
          <w:p w14:paraId="120124DF" w14:textId="77777777" w:rsidR="00A94972" w:rsidRPr="00477FC0" w:rsidRDefault="00A94972" w:rsidP="00A94972">
            <w:pPr>
              <w:spacing w:line="240" w:lineRule="auto"/>
              <w:jc w:val="center"/>
              <w:rPr>
                <w:color w:val="000000"/>
                <w:sz w:val="16"/>
                <w:szCs w:val="16"/>
              </w:rPr>
            </w:pPr>
            <w:r w:rsidRPr="00477FC0">
              <w:rPr>
                <w:color w:val="000000"/>
                <w:sz w:val="16"/>
                <w:szCs w:val="16"/>
              </w:rPr>
              <w:t>δD</w:t>
            </w:r>
          </w:p>
        </w:tc>
        <w:tc>
          <w:tcPr>
            <w:tcW w:w="1692" w:type="dxa"/>
            <w:tcBorders>
              <w:bottom w:val="single" w:sz="12" w:space="0" w:color="auto"/>
            </w:tcBorders>
            <w:shd w:val="clear" w:color="auto" w:fill="auto"/>
            <w:noWrap/>
            <w:vAlign w:val="center"/>
            <w:hideMark/>
          </w:tcPr>
          <w:p w14:paraId="50F02D04" w14:textId="77777777" w:rsidR="00A94972" w:rsidRPr="00477FC0" w:rsidRDefault="00A94972" w:rsidP="00A94972">
            <w:pPr>
              <w:spacing w:line="240" w:lineRule="auto"/>
              <w:jc w:val="center"/>
              <w:rPr>
                <w:color w:val="000000"/>
                <w:sz w:val="16"/>
                <w:szCs w:val="16"/>
              </w:rPr>
            </w:pPr>
            <w:r w:rsidRPr="00477FC0">
              <w:rPr>
                <w:color w:val="000000"/>
                <w:sz w:val="16"/>
                <w:szCs w:val="16"/>
              </w:rPr>
              <w:t>Simplon Fault Zone</w:t>
            </w:r>
          </w:p>
        </w:tc>
        <w:tc>
          <w:tcPr>
            <w:tcW w:w="2560" w:type="dxa"/>
            <w:tcBorders>
              <w:bottom w:val="single" w:sz="12" w:space="0" w:color="auto"/>
            </w:tcBorders>
            <w:shd w:val="clear" w:color="auto" w:fill="auto"/>
            <w:noWrap/>
            <w:vAlign w:val="center"/>
            <w:hideMark/>
          </w:tcPr>
          <w:p w14:paraId="28FBE086" w14:textId="77777777" w:rsidR="00A94972" w:rsidRPr="00477FC0" w:rsidRDefault="00A94972" w:rsidP="00A94972">
            <w:pPr>
              <w:spacing w:line="240" w:lineRule="auto"/>
              <w:jc w:val="center"/>
              <w:rPr>
                <w:color w:val="000000"/>
                <w:sz w:val="16"/>
                <w:szCs w:val="16"/>
                <w:lang w:val="en-US"/>
              </w:rPr>
            </w:pPr>
            <w:r w:rsidRPr="00477FC0">
              <w:rPr>
                <w:color w:val="000000"/>
                <w:sz w:val="16"/>
                <w:szCs w:val="16"/>
                <w:lang w:val="en-US"/>
              </w:rPr>
              <w:t>Phyllosilicates (</w:t>
            </w:r>
            <w:r>
              <w:rPr>
                <w:color w:val="000000"/>
                <w:sz w:val="16"/>
                <w:szCs w:val="16"/>
                <w:lang w:val="en-US"/>
              </w:rPr>
              <w:t>muscovite</w:t>
            </w:r>
            <w:r w:rsidRPr="00477FC0">
              <w:rPr>
                <w:color w:val="000000"/>
                <w:sz w:val="16"/>
                <w:szCs w:val="16"/>
                <w:lang w:val="en-US"/>
              </w:rPr>
              <w:t xml:space="preserve">, biotite, </w:t>
            </w:r>
            <w:r>
              <w:rPr>
                <w:color w:val="000000"/>
                <w:sz w:val="16"/>
                <w:szCs w:val="16"/>
                <w:lang w:val="en-US"/>
              </w:rPr>
              <w:t>and chlorite</w:t>
            </w:r>
            <w:r w:rsidRPr="00477FC0">
              <w:rPr>
                <w:color w:val="000000"/>
                <w:sz w:val="16"/>
                <w:szCs w:val="16"/>
                <w:lang w:val="en-US"/>
              </w:rPr>
              <w:t>)</w:t>
            </w:r>
          </w:p>
        </w:tc>
        <w:tc>
          <w:tcPr>
            <w:tcW w:w="2693" w:type="dxa"/>
            <w:tcBorders>
              <w:bottom w:val="single" w:sz="12" w:space="0" w:color="auto"/>
            </w:tcBorders>
            <w:shd w:val="clear" w:color="auto" w:fill="auto"/>
            <w:noWrap/>
            <w:vAlign w:val="center"/>
            <w:hideMark/>
          </w:tcPr>
          <w:p w14:paraId="61E14800" w14:textId="77777777" w:rsidR="00A94972" w:rsidRPr="00477FC0" w:rsidRDefault="00A94972" w:rsidP="00A94972">
            <w:pPr>
              <w:spacing w:line="240" w:lineRule="auto"/>
              <w:jc w:val="center"/>
              <w:rPr>
                <w:color w:val="000000"/>
                <w:sz w:val="16"/>
                <w:szCs w:val="16"/>
              </w:rPr>
            </w:pPr>
            <w:r w:rsidRPr="00477FC0">
              <w:rPr>
                <w:color w:val="000000"/>
                <w:sz w:val="16"/>
                <w:szCs w:val="16"/>
              </w:rPr>
              <w:t>Campani et al. (2012)</w:t>
            </w:r>
          </w:p>
        </w:tc>
      </w:tr>
    </w:tbl>
    <w:p w14:paraId="0A38BEB0" w14:textId="13F2BEC8" w:rsidR="005113AE" w:rsidRDefault="00A94972" w:rsidP="000E09B0">
      <w:pPr>
        <w:pStyle w:val="berschrift1"/>
      </w:pPr>
      <w:r>
        <w:t xml:space="preserve"> </w:t>
      </w:r>
      <w:r w:rsidR="0048155E">
        <w:t>S6</w:t>
      </w:r>
      <w:r w:rsidR="002F3A4A">
        <w:t xml:space="preserve"> </w:t>
      </w:r>
    </w:p>
    <w:p w14:paraId="792E66BA" w14:textId="66CFEC8F" w:rsidR="005113AE" w:rsidRDefault="00E475AA" w:rsidP="005113AE">
      <w:pPr>
        <w:rPr>
          <w:b/>
          <w:sz w:val="18"/>
        </w:rPr>
      </w:pPr>
      <w:r w:rsidRPr="0060630D">
        <w:rPr>
          <w:b/>
          <w:sz w:val="18"/>
        </w:rPr>
        <w:t xml:space="preserve"> </w:t>
      </w:r>
      <w:r w:rsidR="005113AE" w:rsidRPr="0060630D">
        <w:rPr>
          <w:b/>
          <w:sz w:val="18"/>
        </w:rPr>
        <w:t xml:space="preserve">Table 1: </w:t>
      </w:r>
      <w:r w:rsidR="005113AE">
        <w:rPr>
          <w:b/>
          <w:sz w:val="18"/>
        </w:rPr>
        <w:t>Samples from near sea-level and high-Alpine sites used for mid-Miocene paleoelevation reconstruction of the Central Alps.</w:t>
      </w:r>
    </w:p>
    <w:p w14:paraId="7E012274" w14:textId="77777777" w:rsidR="00F71070" w:rsidRDefault="00F71070" w:rsidP="000E09B0">
      <w:pPr>
        <w:pStyle w:val="berschrift1"/>
      </w:pPr>
    </w:p>
    <w:p w14:paraId="7A0B6573" w14:textId="77777777" w:rsidR="00F71070" w:rsidRDefault="00F71070" w:rsidP="000E09B0">
      <w:pPr>
        <w:pStyle w:val="berschrift1"/>
      </w:pPr>
    </w:p>
    <w:p w14:paraId="30444411" w14:textId="77777777" w:rsidR="00F71070" w:rsidRDefault="00F71070" w:rsidP="000E09B0">
      <w:pPr>
        <w:pStyle w:val="berschrift1"/>
      </w:pPr>
    </w:p>
    <w:p w14:paraId="4C13DEA8" w14:textId="77777777" w:rsidR="00F71070" w:rsidRDefault="00F71070" w:rsidP="000E09B0">
      <w:pPr>
        <w:pStyle w:val="berschrift1"/>
      </w:pPr>
    </w:p>
    <w:p w14:paraId="0DF00B43" w14:textId="77777777" w:rsidR="00F71070" w:rsidRDefault="00F71070" w:rsidP="000E09B0">
      <w:pPr>
        <w:pStyle w:val="berschrift1"/>
      </w:pPr>
    </w:p>
    <w:p w14:paraId="5DA0F46E" w14:textId="77777777" w:rsidR="00F71070" w:rsidRDefault="00F71070" w:rsidP="000E09B0">
      <w:pPr>
        <w:pStyle w:val="berschrift1"/>
      </w:pPr>
    </w:p>
    <w:p w14:paraId="660A6CB4" w14:textId="74995FA0" w:rsidR="00F71070" w:rsidRDefault="0048155E" w:rsidP="000E09B0">
      <w:pPr>
        <w:pStyle w:val="berschrift1"/>
      </w:pPr>
      <w:r>
        <w:t>S7</w:t>
      </w:r>
      <w:r w:rsidR="002F3A4A" w:rsidRPr="000E09B0">
        <w:t xml:space="preserve"> </w:t>
      </w:r>
    </w:p>
    <w:p w14:paraId="746C9E62" w14:textId="2D7CCD19" w:rsidR="000E09B0" w:rsidRPr="000E09B0" w:rsidRDefault="000E09B0" w:rsidP="000E09B0">
      <w:pPr>
        <w:pStyle w:val="berschrift1"/>
      </w:pPr>
      <w:r w:rsidRPr="000E09B0">
        <w:t>Data tables (δ</w:t>
      </w:r>
      <w:r w:rsidRPr="000E09B0">
        <w:rPr>
          <w:vertAlign w:val="superscript"/>
        </w:rPr>
        <w:t>18</w:t>
      </w:r>
      <w:r w:rsidRPr="000E09B0">
        <w:t>O, δ</w:t>
      </w:r>
      <w:r w:rsidRPr="000E09B0">
        <w:rPr>
          <w:vertAlign w:val="superscript"/>
        </w:rPr>
        <w:t>13</w:t>
      </w:r>
      <w:r w:rsidRPr="000E09B0">
        <w:t>C, Δ</w:t>
      </w:r>
      <w:r w:rsidRPr="000E09B0">
        <w:rPr>
          <w:vertAlign w:val="subscript"/>
        </w:rPr>
        <w:t>47</w:t>
      </w:r>
      <w:r w:rsidRPr="000E09B0">
        <w:t>)</w:t>
      </w:r>
    </w:p>
    <w:p w14:paraId="06051030" w14:textId="77777777" w:rsidR="000E09B0" w:rsidRPr="00915457" w:rsidRDefault="000E09B0" w:rsidP="000E09B0">
      <w:pPr>
        <w:rPr>
          <w:lang w:val="en-US"/>
        </w:rPr>
      </w:pPr>
      <w:r w:rsidRPr="00915457">
        <w:rPr>
          <w:lang w:val="en-US"/>
        </w:rPr>
        <w:t>Data tables can be found in a separate EXCEL file accompanying this manuscript and supplementary information.</w:t>
      </w:r>
    </w:p>
    <w:p w14:paraId="0B4ABB36" w14:textId="25B9EC3B" w:rsidR="000E09B0" w:rsidRPr="000E09B0" w:rsidRDefault="000E09B0" w:rsidP="000E09B0">
      <w:pPr>
        <w:pStyle w:val="berschrift2"/>
      </w:pPr>
      <w:r w:rsidRPr="000E09B0">
        <w:t xml:space="preserve">Table </w:t>
      </w:r>
      <w:r w:rsidR="001C79CF">
        <w:t>T</w:t>
      </w:r>
      <w:r w:rsidR="001C79CF" w:rsidRPr="000E09B0">
        <w:t>1</w:t>
      </w:r>
    </w:p>
    <w:p w14:paraId="4CFCBBD1" w14:textId="77777777" w:rsidR="000E09B0" w:rsidRPr="00F0048A" w:rsidRDefault="000E09B0" w:rsidP="000E09B0">
      <w:r w:rsidRPr="00F0048A">
        <w:t>Pedogenic carbonate oxygen (δ</w:t>
      </w:r>
      <w:r w:rsidRPr="00F0048A">
        <w:rPr>
          <w:vertAlign w:val="superscript"/>
        </w:rPr>
        <w:t>18</w:t>
      </w:r>
      <w:r w:rsidRPr="00F0048A">
        <w:t>O, VSMOW, ‰) and carbon (δ</w:t>
      </w:r>
      <w:r w:rsidRPr="00F0048A">
        <w:rPr>
          <w:vertAlign w:val="superscript"/>
        </w:rPr>
        <w:t>13</w:t>
      </w:r>
      <w:r w:rsidRPr="00F0048A">
        <w:t>C, VPDB, ‰) stable isotope values and calculated oxygen (δ</w:t>
      </w:r>
      <w:r w:rsidRPr="00F0048A">
        <w:rPr>
          <w:vertAlign w:val="superscript"/>
        </w:rPr>
        <w:t>18</w:t>
      </w:r>
      <w:r w:rsidRPr="00F0048A">
        <w:t>O</w:t>
      </w:r>
      <w:r w:rsidRPr="00F0048A">
        <w:rPr>
          <w:vertAlign w:val="subscript"/>
        </w:rPr>
        <w:t>w</w:t>
      </w:r>
      <w:r w:rsidRPr="00F0048A">
        <w:t xml:space="preserve">, VSMOW, ‰) isotope values for meteoric (soil) water. </w:t>
      </w:r>
    </w:p>
    <w:p w14:paraId="16BE196B" w14:textId="68A84D0D" w:rsidR="000E09B0" w:rsidRPr="000E09B0" w:rsidRDefault="000E09B0" w:rsidP="000E09B0">
      <w:pPr>
        <w:pStyle w:val="berschrift2"/>
      </w:pPr>
      <w:r w:rsidRPr="000E09B0">
        <w:t xml:space="preserve">Table </w:t>
      </w:r>
      <w:r w:rsidR="001C79CF">
        <w:t>T</w:t>
      </w:r>
      <w:r w:rsidR="001C79CF" w:rsidRPr="000E09B0">
        <w:t>2</w:t>
      </w:r>
    </w:p>
    <w:p w14:paraId="15E1E535" w14:textId="77777777" w:rsidR="000E09B0" w:rsidRPr="00F0048A" w:rsidRDefault="000E09B0" w:rsidP="000E09B0">
      <w:r w:rsidRPr="00F0048A">
        <w:t>Clumped isotope compositions (δ</w:t>
      </w:r>
      <w:r w:rsidRPr="00F0048A">
        <w:rPr>
          <w:vertAlign w:val="superscript"/>
        </w:rPr>
        <w:t>47</w:t>
      </w:r>
      <w:r w:rsidRPr="00F0048A">
        <w:t>, Δ</w:t>
      </w:r>
      <w:r w:rsidRPr="00F0048A">
        <w:rPr>
          <w:vertAlign w:val="subscript"/>
        </w:rPr>
        <w:t>47</w:t>
      </w:r>
      <w:r w:rsidRPr="00F0048A">
        <w:t>) for pedogenic carbonate samples, empirical transfer function (ETF) for the respective periods of application, and derived carbonate formation temperatures following Petersen et al. (2019).</w:t>
      </w:r>
    </w:p>
    <w:p w14:paraId="1622D2BC" w14:textId="05B329DA" w:rsidR="000E09B0" w:rsidRPr="000E09B0" w:rsidRDefault="000E09B0" w:rsidP="000E09B0">
      <w:pPr>
        <w:pStyle w:val="berschrift2"/>
      </w:pPr>
      <w:r w:rsidRPr="000E09B0">
        <w:lastRenderedPageBreak/>
        <w:t xml:space="preserve">Table </w:t>
      </w:r>
      <w:r w:rsidR="001C79CF">
        <w:t>T</w:t>
      </w:r>
      <w:r w:rsidR="001C79CF" w:rsidRPr="000E09B0">
        <w:t>3</w:t>
      </w:r>
    </w:p>
    <w:p w14:paraId="50FB3DC7" w14:textId="77777777" w:rsidR="000E09B0" w:rsidRPr="00F0048A" w:rsidRDefault="000E09B0" w:rsidP="000E09B0">
      <w:r w:rsidRPr="00F0048A">
        <w:t>Measured δ</w:t>
      </w:r>
      <w:r w:rsidRPr="00F0048A">
        <w:rPr>
          <w:vertAlign w:val="superscript"/>
        </w:rPr>
        <w:t>47</w:t>
      </w:r>
      <w:r w:rsidRPr="00F0048A">
        <w:t xml:space="preserve"> (‰) and Δ</w:t>
      </w:r>
      <w:r w:rsidRPr="00F0048A">
        <w:rPr>
          <w:vertAlign w:val="subscript"/>
        </w:rPr>
        <w:t>47</w:t>
      </w:r>
      <w:r w:rsidRPr="00F0048A">
        <w:t xml:space="preserve"> (‰) values of CO</w:t>
      </w:r>
      <w:r w:rsidRPr="00F0048A">
        <w:rPr>
          <w:vertAlign w:val="subscript"/>
        </w:rPr>
        <w:t>2</w:t>
      </w:r>
      <w:r w:rsidRPr="00F0048A">
        <w:t xml:space="preserve"> gases equilibrated at 1000°C (“heated gases”, “HG”) and at 25°C (“25G”) used for calculation of the empirical transfer function (ETF) for the respective periods of application.</w:t>
      </w:r>
    </w:p>
    <w:p w14:paraId="517DE012" w14:textId="67769061" w:rsidR="000E09B0" w:rsidRPr="000E09B0" w:rsidRDefault="000E09B0" w:rsidP="000E09B0">
      <w:pPr>
        <w:pStyle w:val="berschrift2"/>
      </w:pPr>
      <w:r w:rsidRPr="000E09B0">
        <w:t xml:space="preserve">Table </w:t>
      </w:r>
      <w:r w:rsidR="001C79CF">
        <w:t>T</w:t>
      </w:r>
      <w:r w:rsidR="001C79CF" w:rsidRPr="000E09B0">
        <w:t>4</w:t>
      </w:r>
    </w:p>
    <w:p w14:paraId="6509F824" w14:textId="77777777" w:rsidR="000E09B0" w:rsidRPr="00F0048A" w:rsidRDefault="000E09B0" w:rsidP="000E09B0">
      <w:r w:rsidRPr="00F0048A">
        <w:t>Δ</w:t>
      </w:r>
      <w:r w:rsidRPr="00F0048A">
        <w:rPr>
          <w:vertAlign w:val="subscript"/>
        </w:rPr>
        <w:t>47</w:t>
      </w:r>
      <w:r w:rsidRPr="00F0048A">
        <w:t xml:space="preserve"> values (in ‰) for standard material listed for respective time intervals of clumped isotope measurements.</w:t>
      </w:r>
    </w:p>
    <w:p w14:paraId="4A81629B" w14:textId="37C1F906" w:rsidR="000E09B0" w:rsidRPr="000E09B0" w:rsidRDefault="000E09B0" w:rsidP="000E09B0">
      <w:pPr>
        <w:pStyle w:val="berschrift2"/>
      </w:pPr>
      <w:r w:rsidRPr="000E09B0">
        <w:t xml:space="preserve">Table </w:t>
      </w:r>
      <w:r w:rsidR="001C79CF">
        <w:t>T</w:t>
      </w:r>
      <w:r w:rsidR="001C79CF" w:rsidRPr="000E09B0">
        <w:t>5</w:t>
      </w:r>
    </w:p>
    <w:p w14:paraId="60B0B2DE" w14:textId="77777777" w:rsidR="000E09B0" w:rsidRDefault="000E09B0" w:rsidP="000E09B0">
      <w:r w:rsidRPr="0030217F">
        <w:t xml:space="preserve">Calculated paleoelevation differences </w:t>
      </w:r>
      <w:r w:rsidRPr="00915457">
        <w:t>Δ</w:t>
      </w:r>
      <w:r w:rsidRPr="0030217F">
        <w:t>z (m) between low-elevation Swiss Molasse Basin (SMB) sections Fontannen and Jona and high-elevation Simplon Fault Zone (SFZ) for the time interval 15.5 Ma–14.0 Ma.</w:t>
      </w:r>
    </w:p>
    <w:p w14:paraId="14E4D65E" w14:textId="77777777" w:rsidR="00210F4C" w:rsidRPr="002B782F" w:rsidRDefault="00210F4C" w:rsidP="00210F4C">
      <w:pPr>
        <w:pStyle w:val="berschrift1"/>
      </w:pPr>
      <w:r w:rsidRPr="002B782F">
        <w:t>References</w:t>
      </w:r>
    </w:p>
    <w:p w14:paraId="0DEFE7E2" w14:textId="3F6D0659" w:rsidR="00CD2E5E" w:rsidRPr="0048155E" w:rsidRDefault="009E2765" w:rsidP="00CD2E5E">
      <w:pPr>
        <w:widowControl w:val="0"/>
        <w:autoSpaceDE w:val="0"/>
        <w:autoSpaceDN w:val="0"/>
        <w:adjustRightInd w:val="0"/>
        <w:rPr>
          <w:noProof/>
          <w:lang w:val="de-DE"/>
        </w:rPr>
      </w:pPr>
      <w:r>
        <w:fldChar w:fldCharType="begin" w:fldLock="1"/>
      </w:r>
      <w:r>
        <w:instrText xml:space="preserve">ADDIN Mendeley Bibliography CSL_BIBLIOGRAPHY </w:instrText>
      </w:r>
      <w:r>
        <w:fldChar w:fldCharType="separate"/>
      </w:r>
      <w:r w:rsidR="00CD2E5E" w:rsidRPr="00CD2E5E">
        <w:rPr>
          <w:noProof/>
        </w:rPr>
        <w:t xml:space="preserve">Bajnai, D., Fiebig, J., Tomašových, A., Milner Garcia, S., Rollion-Bard, C., Raddatz, J., Löffler, N., Primo-Ramos, C. and Brand, U.: Assessing kinetic fractionation in brachiopod calcite using clumped isotopes, Sci. </w:t>
      </w:r>
      <w:r w:rsidR="00CD2E5E" w:rsidRPr="0048155E">
        <w:rPr>
          <w:noProof/>
          <w:lang w:val="de-DE"/>
        </w:rPr>
        <w:t>Rep., 8(1), 1–13, doi:10.1038/s41598-017-17353-7, 2018.</w:t>
      </w:r>
    </w:p>
    <w:p w14:paraId="479F87E4" w14:textId="77777777" w:rsidR="00CD2E5E" w:rsidRPr="0048155E" w:rsidRDefault="00CD2E5E" w:rsidP="00CD2E5E">
      <w:pPr>
        <w:widowControl w:val="0"/>
        <w:autoSpaceDE w:val="0"/>
        <w:autoSpaceDN w:val="0"/>
        <w:adjustRightInd w:val="0"/>
        <w:rPr>
          <w:noProof/>
          <w:lang w:val="de-DE"/>
        </w:rPr>
      </w:pPr>
      <w:r w:rsidRPr="0048155E">
        <w:rPr>
          <w:noProof/>
          <w:lang w:val="de-DE"/>
        </w:rPr>
        <w:t>Bolliger, T.: Kleinsäugerstratigraphie in der Miozänen Hörnlischüttung (Ostschweiz)., Doc. naturae 75., 1–296, 1992.</w:t>
      </w:r>
    </w:p>
    <w:p w14:paraId="4E2D17E9" w14:textId="77777777" w:rsidR="00CD2E5E" w:rsidRPr="00CD2E5E" w:rsidRDefault="00CD2E5E" w:rsidP="00CD2E5E">
      <w:pPr>
        <w:widowControl w:val="0"/>
        <w:autoSpaceDE w:val="0"/>
        <w:autoSpaceDN w:val="0"/>
        <w:adjustRightInd w:val="0"/>
        <w:rPr>
          <w:noProof/>
        </w:rPr>
      </w:pPr>
      <w:r w:rsidRPr="00CD2E5E">
        <w:rPr>
          <w:noProof/>
        </w:rPr>
        <w:t>Botsyun, S., Ehlers, T. A., Mutz, S. G., Methner, K., Krsnik, E. and Mulch, A.: Opportunities and Challenges for Paleoaltimetry in “Small” Orogens: Insights From the European Alps, Geophys. Res. Lett., 47(4), doi:10.1029/2019GL086046, 2020.</w:t>
      </w:r>
    </w:p>
    <w:p w14:paraId="32FB1691" w14:textId="77777777" w:rsidR="00CD2E5E" w:rsidRPr="00CD2E5E" w:rsidRDefault="00CD2E5E" w:rsidP="00CD2E5E">
      <w:pPr>
        <w:widowControl w:val="0"/>
        <w:autoSpaceDE w:val="0"/>
        <w:autoSpaceDN w:val="0"/>
        <w:adjustRightInd w:val="0"/>
        <w:rPr>
          <w:noProof/>
        </w:rPr>
      </w:pPr>
      <w:r w:rsidRPr="00CD2E5E">
        <w:rPr>
          <w:noProof/>
        </w:rPr>
        <w:t>Burkhard, M. and Kalkreuth, W.: Coalification in the northern Wildhorn nappe and adjacent units, western Switzerland. Implications for tectonic burial hostories, , (1), 47–64, 1989.</w:t>
      </w:r>
    </w:p>
    <w:p w14:paraId="659D991B" w14:textId="77777777" w:rsidR="00CD2E5E" w:rsidRPr="00CD2E5E" w:rsidRDefault="00CD2E5E" w:rsidP="00CD2E5E">
      <w:pPr>
        <w:widowControl w:val="0"/>
        <w:autoSpaceDE w:val="0"/>
        <w:autoSpaceDN w:val="0"/>
        <w:adjustRightInd w:val="0"/>
        <w:rPr>
          <w:noProof/>
        </w:rPr>
      </w:pPr>
      <w:r w:rsidRPr="00CD2E5E">
        <w:rPr>
          <w:noProof/>
        </w:rPr>
        <w:t>Campani, M., Mulch, A., Kempf, O., Schlunegger, F. and Mancktelow, N.: Miocene paleotopography of the Central Alps, Earth Planet. Sci. Lett., 337–338, 174–185, doi:10.1016/j.epsl.2012.05.017, 2012.</w:t>
      </w:r>
    </w:p>
    <w:p w14:paraId="6A07983E" w14:textId="77777777" w:rsidR="00CD2E5E" w:rsidRPr="00CD2E5E" w:rsidRDefault="00CD2E5E" w:rsidP="00CD2E5E">
      <w:pPr>
        <w:widowControl w:val="0"/>
        <w:autoSpaceDE w:val="0"/>
        <w:autoSpaceDN w:val="0"/>
        <w:adjustRightInd w:val="0"/>
        <w:rPr>
          <w:noProof/>
        </w:rPr>
      </w:pPr>
      <w:r w:rsidRPr="00CD2E5E">
        <w:rPr>
          <w:noProof/>
        </w:rPr>
        <w:t>Cederbom, C. E., van der Beek, P., Schlunegger, F., Sinclair, H. D. and Oncken, O.: Rapid extensive erosion of the North Alpine foreland basin at 5–4</w:t>
      </w:r>
      <w:r w:rsidRPr="00CD2E5E">
        <w:rPr>
          <w:noProof/>
        </w:rPr>
        <w:t> </w:t>
      </w:r>
      <w:r w:rsidRPr="00CD2E5E">
        <w:rPr>
          <w:noProof/>
        </w:rPr>
        <w:t>Ma, Basin Res., 23(5), 528–550, doi:https://doi.org/10.1111/j.1365-2117.2011.00501.x, 2011.</w:t>
      </w:r>
    </w:p>
    <w:p w14:paraId="406870E5" w14:textId="77777777" w:rsidR="00CD2E5E" w:rsidRPr="00CD2E5E" w:rsidRDefault="00CD2E5E" w:rsidP="00CD2E5E">
      <w:pPr>
        <w:widowControl w:val="0"/>
        <w:autoSpaceDE w:val="0"/>
        <w:autoSpaceDN w:val="0"/>
        <w:adjustRightInd w:val="0"/>
        <w:rPr>
          <w:noProof/>
        </w:rPr>
      </w:pPr>
      <w:r w:rsidRPr="00CD2E5E">
        <w:rPr>
          <w:noProof/>
        </w:rPr>
        <w:t>Coplen, T. B.: Calibration of the calcite-water oxygen-isotope geothermometer at Devils Hole, Nevada, a natural laboratory, Geochim. Cosmochim. Acta, 71(16), 3948–3957, doi:10.1016/j.gca.2007.05.028, 2007.</w:t>
      </w:r>
    </w:p>
    <w:p w14:paraId="01BFCA07" w14:textId="77777777" w:rsidR="00CD2E5E" w:rsidRPr="00CD2E5E" w:rsidRDefault="00CD2E5E" w:rsidP="00CD2E5E">
      <w:pPr>
        <w:widowControl w:val="0"/>
        <w:autoSpaceDE w:val="0"/>
        <w:autoSpaceDN w:val="0"/>
        <w:adjustRightInd w:val="0"/>
        <w:rPr>
          <w:noProof/>
        </w:rPr>
      </w:pPr>
      <w:r w:rsidRPr="00CD2E5E">
        <w:rPr>
          <w:noProof/>
        </w:rPr>
        <w:t>Currie, B. S., Rowley, D. B. and Tabor, N. J.: Middle Miocene paleoaltimetry of southern Tibet: Implications for the role of mantle thickening and delamination in the Himalayan orogen, Geology, 33(3), 181–184, doi:10.1130/G21170.1, 2005.</w:t>
      </w:r>
    </w:p>
    <w:p w14:paraId="35B610F0" w14:textId="77777777" w:rsidR="00CD2E5E" w:rsidRPr="00CD2E5E" w:rsidRDefault="00CD2E5E" w:rsidP="00CD2E5E">
      <w:pPr>
        <w:widowControl w:val="0"/>
        <w:autoSpaceDE w:val="0"/>
        <w:autoSpaceDN w:val="0"/>
        <w:adjustRightInd w:val="0"/>
        <w:rPr>
          <w:noProof/>
        </w:rPr>
      </w:pPr>
      <w:r w:rsidRPr="00CD2E5E">
        <w:rPr>
          <w:noProof/>
        </w:rPr>
        <w:t>Daëron, M., Blamart, D., Peral, M. and Affek, H. P.: Absolute isotopic abundance ratios and the accuracy of Δ47 measurements, Chem. Geol., 442(August), 83–96, doi:10.1016/j.chemgeo.2016.08.014, 2016.</w:t>
      </w:r>
    </w:p>
    <w:p w14:paraId="24B488FB" w14:textId="77777777" w:rsidR="00CD2E5E" w:rsidRPr="00CD2E5E" w:rsidRDefault="00CD2E5E" w:rsidP="00CD2E5E">
      <w:pPr>
        <w:widowControl w:val="0"/>
        <w:autoSpaceDE w:val="0"/>
        <w:autoSpaceDN w:val="0"/>
        <w:adjustRightInd w:val="0"/>
        <w:rPr>
          <w:noProof/>
        </w:rPr>
      </w:pPr>
      <w:r w:rsidRPr="00CD2E5E">
        <w:rPr>
          <w:noProof/>
        </w:rPr>
        <w:t>Dennis, P. F., Vinen, S., Marca-bell, A. and Rowe, P. J.: MIRA: a new isotope ratio mass spectrometer for clumped isotope studies of CO2, , 1–25, 2013.</w:t>
      </w:r>
    </w:p>
    <w:p w14:paraId="3CF7BBBB" w14:textId="77777777" w:rsidR="00CD2E5E" w:rsidRPr="00CD2E5E" w:rsidRDefault="00CD2E5E" w:rsidP="00CD2E5E">
      <w:pPr>
        <w:widowControl w:val="0"/>
        <w:autoSpaceDE w:val="0"/>
        <w:autoSpaceDN w:val="0"/>
        <w:adjustRightInd w:val="0"/>
        <w:rPr>
          <w:noProof/>
        </w:rPr>
      </w:pPr>
      <w:r w:rsidRPr="00CD2E5E">
        <w:rPr>
          <w:noProof/>
        </w:rPr>
        <w:t>Eiler, J. M.: Paleoclimate reconstruction using carbonate clumped isotope thermometry, Quat. Sci. Rev., 30(25–26), 3575–</w:t>
      </w:r>
      <w:r w:rsidRPr="00CD2E5E">
        <w:rPr>
          <w:noProof/>
        </w:rPr>
        <w:lastRenderedPageBreak/>
        <w:t>3588, doi:10.1016/j.quascirev.2011.09.001, 2011.</w:t>
      </w:r>
    </w:p>
    <w:p w14:paraId="06E9D7C5" w14:textId="77777777" w:rsidR="00CD2E5E" w:rsidRPr="00CD2E5E" w:rsidRDefault="00CD2E5E" w:rsidP="00CD2E5E">
      <w:pPr>
        <w:widowControl w:val="0"/>
        <w:autoSpaceDE w:val="0"/>
        <w:autoSpaceDN w:val="0"/>
        <w:adjustRightInd w:val="0"/>
        <w:rPr>
          <w:noProof/>
        </w:rPr>
      </w:pPr>
      <w:r w:rsidRPr="00CD2E5E">
        <w:rPr>
          <w:noProof/>
        </w:rPr>
        <w:t>Fiebig, J., Hofmann, S., Löffler, N., Lüdecke, T., Methner, K. and Wacker, U.: Slight pressure imbalances can affect accuracy and precision of dual inlet-based clumped isotope analysis, Isotopes Environ. Health Stud., 52(1–2), 12–28, doi:10.1080/10256016.2015.1010531, 2016.</w:t>
      </w:r>
    </w:p>
    <w:p w14:paraId="54074415" w14:textId="77777777" w:rsidR="00CD2E5E" w:rsidRPr="00CD2E5E" w:rsidRDefault="00CD2E5E" w:rsidP="00CD2E5E">
      <w:pPr>
        <w:widowControl w:val="0"/>
        <w:autoSpaceDE w:val="0"/>
        <w:autoSpaceDN w:val="0"/>
        <w:adjustRightInd w:val="0"/>
        <w:rPr>
          <w:noProof/>
        </w:rPr>
      </w:pPr>
      <w:r w:rsidRPr="00CD2E5E">
        <w:rPr>
          <w:noProof/>
        </w:rPr>
        <w:t>Fiebig, J., Bajnai, D., Löffler, N., Methner, K., Krsnik, E., Mulch, A. and Hofmann, S.: Combined high-precision ∆48 and ∆47 analysis of carbonates, Chem. Geol., 522(February), 186–191, doi:10.1016/j.chemgeo.2019.05.019, 2019.</w:t>
      </w:r>
    </w:p>
    <w:p w14:paraId="35CBB737" w14:textId="77777777" w:rsidR="00CD2E5E" w:rsidRPr="00CD2E5E" w:rsidRDefault="00CD2E5E" w:rsidP="00CD2E5E">
      <w:pPr>
        <w:widowControl w:val="0"/>
        <w:autoSpaceDE w:val="0"/>
        <w:autoSpaceDN w:val="0"/>
        <w:adjustRightInd w:val="0"/>
        <w:rPr>
          <w:noProof/>
        </w:rPr>
      </w:pPr>
      <w:r w:rsidRPr="00CD2E5E">
        <w:rPr>
          <w:noProof/>
        </w:rPr>
        <w:t>Gubler, T., Meier, M. and Oberli, F.: Bentonites as time markers for sedimentation of the Upper Freshwater Molasse: geological observations corroborated by high-resolution single-Zircon U-Pb ages., Jahresversammlung der Schweizerischen Akad. der Naturwissenschaften, (172), 12–13, 1992.</w:t>
      </w:r>
    </w:p>
    <w:p w14:paraId="63408DCC" w14:textId="77777777" w:rsidR="00CD2E5E" w:rsidRPr="00CD2E5E" w:rsidRDefault="00CD2E5E" w:rsidP="00CD2E5E">
      <w:pPr>
        <w:widowControl w:val="0"/>
        <w:autoSpaceDE w:val="0"/>
        <w:autoSpaceDN w:val="0"/>
        <w:adjustRightInd w:val="0"/>
        <w:rPr>
          <w:noProof/>
        </w:rPr>
      </w:pPr>
      <w:r w:rsidRPr="00CD2E5E">
        <w:rPr>
          <w:noProof/>
        </w:rPr>
        <w:t>Henkes, G. A., Passey, B. H., Grossman, E. L., Shenton, B. J., Pérez-Huerta, A. and Yancey, T. E.: Temperature limits for preservation of primary calcite clumped isotope paleotemperatures, Geochim. Cosmochim. Acta, 139, 362–382, doi:10.1016/j.gca.2014.04.040, 2014.</w:t>
      </w:r>
    </w:p>
    <w:p w14:paraId="3E8CBCA0" w14:textId="77777777" w:rsidR="00CD2E5E" w:rsidRPr="00CD2E5E" w:rsidRDefault="00CD2E5E" w:rsidP="00CD2E5E">
      <w:pPr>
        <w:widowControl w:val="0"/>
        <w:autoSpaceDE w:val="0"/>
        <w:autoSpaceDN w:val="0"/>
        <w:adjustRightInd w:val="0"/>
        <w:rPr>
          <w:noProof/>
        </w:rPr>
      </w:pPr>
      <w:r w:rsidRPr="00CD2E5E">
        <w:rPr>
          <w:noProof/>
        </w:rPr>
        <w:t>Hilgen, F. J., Lourens, L. J., Van Dam, J. A., Beu, A. G., Boyes, A. F., Cooper, R. A., Krijgsman, W., Ogg, J. G., Piller, W. E. and Wilson, D. S.: The Neogene Period., 2012.</w:t>
      </w:r>
    </w:p>
    <w:p w14:paraId="382D2715" w14:textId="77777777" w:rsidR="00CD2E5E" w:rsidRPr="00CD2E5E" w:rsidRDefault="00CD2E5E" w:rsidP="00CD2E5E">
      <w:pPr>
        <w:widowControl w:val="0"/>
        <w:autoSpaceDE w:val="0"/>
        <w:autoSpaceDN w:val="0"/>
        <w:adjustRightInd w:val="0"/>
        <w:rPr>
          <w:noProof/>
        </w:rPr>
      </w:pPr>
      <w:r w:rsidRPr="00CD2E5E">
        <w:rPr>
          <w:noProof/>
        </w:rPr>
        <w:t>Kälin, D.: The Mammal zonation of the Upper Marine Molasse of Switzerland reconsidered. A local biozonation of MN 2-MN 5, Aguilar, J.-P., Legend. S., Michaux, J. (Eds.), Actes du Congre`s BiochroM’97. Me´m. Trav. E.P.H.E. Montpellier 21 BiochroM’97, 21(January 1997), 515–535, 1997.</w:t>
      </w:r>
    </w:p>
    <w:p w14:paraId="37412C1E" w14:textId="77777777" w:rsidR="00CD2E5E" w:rsidRPr="00CD2E5E" w:rsidRDefault="00CD2E5E" w:rsidP="00CD2E5E">
      <w:pPr>
        <w:widowControl w:val="0"/>
        <w:autoSpaceDE w:val="0"/>
        <w:autoSpaceDN w:val="0"/>
        <w:adjustRightInd w:val="0"/>
        <w:rPr>
          <w:noProof/>
        </w:rPr>
      </w:pPr>
      <w:r w:rsidRPr="00CD2E5E">
        <w:rPr>
          <w:noProof/>
        </w:rPr>
        <w:t>Kälin, D. and Kempf, O.: High-resolution stratigraphy from the continental record of the Middle Miocene Northern Alpine Foreland Basin of Switzerland, Neues Jahrb. für Geol. und Paläontologie - Abhandlungen, 254(1), 177–235, doi:10.1127/0077-7749/2009/0010, 2009.</w:t>
      </w:r>
    </w:p>
    <w:p w14:paraId="5A464C6B" w14:textId="77777777" w:rsidR="00CD2E5E" w:rsidRPr="00CD2E5E" w:rsidRDefault="00CD2E5E" w:rsidP="00CD2E5E">
      <w:pPr>
        <w:widowControl w:val="0"/>
        <w:autoSpaceDE w:val="0"/>
        <w:autoSpaceDN w:val="0"/>
        <w:adjustRightInd w:val="0"/>
        <w:rPr>
          <w:noProof/>
        </w:rPr>
      </w:pPr>
      <w:r w:rsidRPr="00CD2E5E">
        <w:rPr>
          <w:noProof/>
        </w:rPr>
        <w:t>Kempf, O. and Matter, A.: Magnetostratigraphy and depositional history of the Upper Freshwater Molasse (OSM) of eastern Switzerland, Eclogae Geol. Helv., 92(1), 97–103, doi:10.5169/seals-168650, 1999.</w:t>
      </w:r>
    </w:p>
    <w:p w14:paraId="55EE96B0" w14:textId="77777777" w:rsidR="00CD2E5E" w:rsidRPr="00CD2E5E" w:rsidRDefault="00CD2E5E" w:rsidP="00CD2E5E">
      <w:pPr>
        <w:widowControl w:val="0"/>
        <w:autoSpaceDE w:val="0"/>
        <w:autoSpaceDN w:val="0"/>
        <w:adjustRightInd w:val="0"/>
        <w:rPr>
          <w:noProof/>
        </w:rPr>
      </w:pPr>
      <w:r w:rsidRPr="00CD2E5E">
        <w:rPr>
          <w:noProof/>
        </w:rPr>
        <w:t>Kempf, O., Bolliger, T., Kalin, D., Engesser, B., Matter, A., Moyen, I. A. and Avant, D. E. L.: New Magnetostratigraphic Calibration of Early to Middle Miocene Mammal Biozones of the North Alpine Foreland Basin, , 547–561, 1997.</w:t>
      </w:r>
    </w:p>
    <w:p w14:paraId="3D17B468" w14:textId="77777777" w:rsidR="00CD2E5E" w:rsidRPr="00CD2E5E" w:rsidRDefault="00CD2E5E" w:rsidP="00CD2E5E">
      <w:pPr>
        <w:widowControl w:val="0"/>
        <w:autoSpaceDE w:val="0"/>
        <w:autoSpaceDN w:val="0"/>
        <w:adjustRightInd w:val="0"/>
        <w:rPr>
          <w:noProof/>
        </w:rPr>
      </w:pPr>
      <w:r w:rsidRPr="00CD2E5E">
        <w:rPr>
          <w:noProof/>
        </w:rPr>
        <w:t>Kim, S.-T. and O’Neil, J. R.: Equilibrium and nonequilibrium oxygen isotope effects in synthetic carbonates, Geochim. Cosmochim. Acta, 61(16), 3461–3475, 1997.</w:t>
      </w:r>
    </w:p>
    <w:p w14:paraId="5170C4C9" w14:textId="77777777" w:rsidR="00CD2E5E" w:rsidRPr="00CD2E5E" w:rsidRDefault="00CD2E5E" w:rsidP="00CD2E5E">
      <w:pPr>
        <w:widowControl w:val="0"/>
        <w:autoSpaceDE w:val="0"/>
        <w:autoSpaceDN w:val="0"/>
        <w:adjustRightInd w:val="0"/>
        <w:rPr>
          <w:noProof/>
        </w:rPr>
      </w:pPr>
      <w:r w:rsidRPr="00CD2E5E">
        <w:rPr>
          <w:noProof/>
        </w:rPr>
        <w:t>Kim, S. T., Mucci, A. and Taylor, B. E.: Phosphoric acid fractionation factors for calcite and aragonite between 25 and 75 °C: Revisited, Chem. Geol., 246(3–4), 135–146, doi:10.1016/j.chemgeo.2007.08.005, 2007.</w:t>
      </w:r>
    </w:p>
    <w:p w14:paraId="6E3A260A" w14:textId="77777777" w:rsidR="00CD2E5E" w:rsidRPr="00CD2E5E" w:rsidRDefault="00CD2E5E" w:rsidP="00CD2E5E">
      <w:pPr>
        <w:widowControl w:val="0"/>
        <w:autoSpaceDE w:val="0"/>
        <w:autoSpaceDN w:val="0"/>
        <w:adjustRightInd w:val="0"/>
        <w:rPr>
          <w:noProof/>
        </w:rPr>
      </w:pPr>
      <w:r w:rsidRPr="00CD2E5E">
        <w:rPr>
          <w:noProof/>
        </w:rPr>
        <w:t>Mazurek, M., Hurford, A. J. and Leu, W.: Unravelling the multi-stage burial history of the Swiss Molasse Basin: integration of apatite fission track, vitrinite reflectance and biomarker isomerisation analysis, Basin Res., 18(1), 27–50, doi:https://doi.org/10.1111/j.1365-2117.2006.00286.x, 2006.</w:t>
      </w:r>
    </w:p>
    <w:p w14:paraId="47D2315D" w14:textId="77777777" w:rsidR="00CD2E5E" w:rsidRPr="00CD2E5E" w:rsidRDefault="00CD2E5E" w:rsidP="00CD2E5E">
      <w:pPr>
        <w:widowControl w:val="0"/>
        <w:autoSpaceDE w:val="0"/>
        <w:autoSpaceDN w:val="0"/>
        <w:adjustRightInd w:val="0"/>
        <w:rPr>
          <w:noProof/>
        </w:rPr>
      </w:pPr>
      <w:r w:rsidRPr="00CD2E5E">
        <w:rPr>
          <w:noProof/>
        </w:rPr>
        <w:t>Methner, K., Campani, M., Fiebig, J., Löffler, N., Kempf, O. and Mulch, A.: Middle Miocene long-term continental temperature change in and out of pace with marine climate records, Sci. Rep., 10(1), 1–10, doi:10.1038/s41598-020-64743-5, 2020.</w:t>
      </w:r>
    </w:p>
    <w:p w14:paraId="65BC8DA1" w14:textId="77777777" w:rsidR="00CD2E5E" w:rsidRPr="00CD2E5E" w:rsidRDefault="00CD2E5E" w:rsidP="00CD2E5E">
      <w:pPr>
        <w:widowControl w:val="0"/>
        <w:autoSpaceDE w:val="0"/>
        <w:autoSpaceDN w:val="0"/>
        <w:adjustRightInd w:val="0"/>
        <w:rPr>
          <w:noProof/>
        </w:rPr>
      </w:pPr>
      <w:r w:rsidRPr="00CD2E5E">
        <w:rPr>
          <w:noProof/>
        </w:rPr>
        <w:lastRenderedPageBreak/>
        <w:t>Petersen, S. V., Defliese, W. F., Saenger, C., Daëron, M., Huntington, K. W., John, C. M., Kelson, J. R., Bernasconi, S. M., Colman, A. S., Kluge, T., Olack, G. A., Schauer, A. J., Bajnai, D., Bonifacie, M., Breitenbach, S. F. M., Fiebig, J., Fernandez, A. B., Henkes, G. A., Hodell, D., Katz, A., Kele, S., Lohmann, K. C., Passey, B. H., Peral, M. Y., Petrizzo, D. A., Rosenheim, B. E., Tripati, A., Venturelli, R., Young, E. D. and Winkelstern, I. Z.: Effects of Improved 17O Correction on Interlaboratory Agreement in Clumped Isotope Calibrations, Estimates of Mineral-Specific Offsets, and Temperature Dependence of Acid Digestion Fractionation, Geochemistry, Geophys. Geosystems, 20(7), 3495–3519, doi:10.1029/2018GC008127, 2019.</w:t>
      </w:r>
    </w:p>
    <w:p w14:paraId="0D925952" w14:textId="77777777" w:rsidR="00CD2E5E" w:rsidRPr="00CD2E5E" w:rsidRDefault="00CD2E5E" w:rsidP="00CD2E5E">
      <w:pPr>
        <w:widowControl w:val="0"/>
        <w:autoSpaceDE w:val="0"/>
        <w:autoSpaceDN w:val="0"/>
        <w:adjustRightInd w:val="0"/>
        <w:rPr>
          <w:noProof/>
        </w:rPr>
      </w:pPr>
      <w:r w:rsidRPr="00CD2E5E">
        <w:rPr>
          <w:noProof/>
        </w:rPr>
        <w:t>Poage, M. A. and Chamberlain, C. P.: Empirical relationships between elevation and the stable isotope composition of precipitation and surface waters: Considerations for studies of paleoelevation change, Am. J. Sci., 301(1), 1–15, 2001.</w:t>
      </w:r>
    </w:p>
    <w:p w14:paraId="42794D9F" w14:textId="77777777" w:rsidR="00CD2E5E" w:rsidRPr="00CD2E5E" w:rsidRDefault="00CD2E5E" w:rsidP="00CD2E5E">
      <w:pPr>
        <w:widowControl w:val="0"/>
        <w:autoSpaceDE w:val="0"/>
        <w:autoSpaceDN w:val="0"/>
        <w:adjustRightInd w:val="0"/>
        <w:rPr>
          <w:noProof/>
        </w:rPr>
      </w:pPr>
      <w:r w:rsidRPr="00CD2E5E">
        <w:rPr>
          <w:noProof/>
        </w:rPr>
        <w:t>Quade, J., Leary, R., Dettinger, M. P., Orme, D., Krupa, A., Decelles, P. G., Kano, A., Kato, H., Waldrip, R., Huang, W. and Kapp, P.: Resetting Southern Tibet : The serious challenge of obtaining primary records of Paleoaltimetry, Glob. Planet. Change, 191(April), 103194, doi:10.1016/j.gloplacha.2020.103194, 2020.</w:t>
      </w:r>
    </w:p>
    <w:p w14:paraId="42A39465" w14:textId="77777777" w:rsidR="00CD2E5E" w:rsidRPr="00CD2E5E" w:rsidRDefault="00CD2E5E" w:rsidP="00CD2E5E">
      <w:pPr>
        <w:widowControl w:val="0"/>
        <w:autoSpaceDE w:val="0"/>
        <w:autoSpaceDN w:val="0"/>
        <w:adjustRightInd w:val="0"/>
        <w:rPr>
          <w:noProof/>
        </w:rPr>
      </w:pPr>
      <w:r w:rsidRPr="00CD2E5E">
        <w:rPr>
          <w:noProof/>
        </w:rPr>
        <w:t>Rowley, D. B. and Garzione, C. N.: Stable isotope-based paleoaltimetry, Annu. Rev. Earth Planet. Sci., 35(January), 463–508, doi:10.1146/annurev.earth.35.031306.140155, 2007.</w:t>
      </w:r>
    </w:p>
    <w:p w14:paraId="1880B30C" w14:textId="77777777" w:rsidR="00CD2E5E" w:rsidRPr="0048155E" w:rsidRDefault="00CD2E5E" w:rsidP="00CD2E5E">
      <w:pPr>
        <w:widowControl w:val="0"/>
        <w:autoSpaceDE w:val="0"/>
        <w:autoSpaceDN w:val="0"/>
        <w:adjustRightInd w:val="0"/>
        <w:rPr>
          <w:noProof/>
          <w:lang w:val="de-DE"/>
        </w:rPr>
      </w:pPr>
      <w:r w:rsidRPr="00CD2E5E">
        <w:rPr>
          <w:noProof/>
        </w:rPr>
        <w:t xml:space="preserve">Rowley, D. B., Pierrehumbert, R. T. and Currie, B. S.: A new approach to stable isotope-based paleoaltimetry: Implications for paleoaltimetry and paleohypsometry of the High Himalaya since the late Miocene, Earth Planet. </w:t>
      </w:r>
      <w:r w:rsidRPr="0048155E">
        <w:rPr>
          <w:noProof/>
          <w:lang w:val="de-DE"/>
        </w:rPr>
        <w:t>Sci. Lett., 188(1–2), 253–268, doi:10.1016/S0012-821X(01)00324-7, 2001.</w:t>
      </w:r>
    </w:p>
    <w:p w14:paraId="1C618A5C" w14:textId="77777777" w:rsidR="00CD2E5E" w:rsidRPr="00CD2E5E" w:rsidRDefault="00CD2E5E" w:rsidP="00CD2E5E">
      <w:pPr>
        <w:widowControl w:val="0"/>
        <w:autoSpaceDE w:val="0"/>
        <w:autoSpaceDN w:val="0"/>
        <w:adjustRightInd w:val="0"/>
        <w:rPr>
          <w:noProof/>
        </w:rPr>
      </w:pPr>
      <w:r w:rsidRPr="0048155E">
        <w:rPr>
          <w:noProof/>
          <w:lang w:val="de-DE"/>
        </w:rPr>
        <w:t xml:space="preserve">Rybach, L. and Bodmer, P.: Die geothermischen Verhältnisse der Schweizer Geotraverse im Abschnitt Basel-Luzern, Eclogae Geol. </w:t>
      </w:r>
      <w:r w:rsidRPr="00CD2E5E">
        <w:rPr>
          <w:noProof/>
        </w:rPr>
        <w:t>Helv., 73/2, 501–512, 1980.</w:t>
      </w:r>
    </w:p>
    <w:p w14:paraId="6505AB55" w14:textId="77777777" w:rsidR="00CD2E5E" w:rsidRPr="00CD2E5E" w:rsidRDefault="00CD2E5E" w:rsidP="00CD2E5E">
      <w:pPr>
        <w:widowControl w:val="0"/>
        <w:autoSpaceDE w:val="0"/>
        <w:autoSpaceDN w:val="0"/>
        <w:adjustRightInd w:val="0"/>
        <w:rPr>
          <w:noProof/>
        </w:rPr>
      </w:pPr>
      <w:r w:rsidRPr="00CD2E5E">
        <w:rPr>
          <w:noProof/>
        </w:rPr>
        <w:t>Schegg, R.: Thermal maturity of the Swiss Molasse Basin : indications for paleogeothermal anomalies ? Thermal maturity ofthe Swiss Molasse Basin : Indications for paleogeothermal anomalies ? 1 ) By, 1992.</w:t>
      </w:r>
    </w:p>
    <w:p w14:paraId="258AD9C3" w14:textId="77777777" w:rsidR="00CD2E5E" w:rsidRPr="00CD2E5E" w:rsidRDefault="00CD2E5E" w:rsidP="00CD2E5E">
      <w:pPr>
        <w:widowControl w:val="0"/>
        <w:autoSpaceDE w:val="0"/>
        <w:autoSpaceDN w:val="0"/>
        <w:adjustRightInd w:val="0"/>
        <w:rPr>
          <w:noProof/>
        </w:rPr>
      </w:pPr>
      <w:r w:rsidRPr="00CD2E5E">
        <w:rPr>
          <w:noProof/>
        </w:rPr>
        <w:t>Schegg, R. and Leu, W.: Analysis of erosion events and palaeogeothermal gradients in the North Alpine Foreland Basin of Switzerland, Geol. Soc. Spec. Publ., 141, 137–155, doi:10.1144/GSL.SP.1998.141.01.09, 1998.</w:t>
      </w:r>
    </w:p>
    <w:p w14:paraId="5AD0C74F" w14:textId="77777777" w:rsidR="00CD2E5E" w:rsidRPr="00CD2E5E" w:rsidRDefault="00CD2E5E" w:rsidP="00CD2E5E">
      <w:pPr>
        <w:widowControl w:val="0"/>
        <w:autoSpaceDE w:val="0"/>
        <w:autoSpaceDN w:val="0"/>
        <w:adjustRightInd w:val="0"/>
        <w:rPr>
          <w:noProof/>
        </w:rPr>
      </w:pPr>
      <w:r w:rsidRPr="00CD2E5E">
        <w:rPr>
          <w:noProof/>
        </w:rPr>
        <w:t>Schlunegger, F., Burbank, D. W., Matter, A., Engesser, B. and Mödden, C.: Magnetostratigraphic calibration of the Oligocence to Middle Miocene (30-15 Ma) mammal biozones and depositional sequences of the Swiss Molasse Basin, Eclogae Geol. Helv., 89(2), 753–788, doi:10.5169/seals-167923, 1996.</w:t>
      </w:r>
    </w:p>
    <w:p w14:paraId="167B07C1" w14:textId="77777777" w:rsidR="00CD2E5E" w:rsidRPr="00CD2E5E" w:rsidRDefault="00CD2E5E" w:rsidP="00CD2E5E">
      <w:pPr>
        <w:widowControl w:val="0"/>
        <w:autoSpaceDE w:val="0"/>
        <w:autoSpaceDN w:val="0"/>
        <w:adjustRightInd w:val="0"/>
        <w:rPr>
          <w:noProof/>
        </w:rPr>
      </w:pPr>
      <w:r w:rsidRPr="00CD2E5E">
        <w:rPr>
          <w:noProof/>
        </w:rPr>
        <w:t>Schmieder, M., Kennedy, T., Jourdan, F., Buchner, E. and Reimold, W. U.: A high-precision 40Ar/39Ar age for the Nördlinger Ries impact crater, Germany, and implications for the accurate dating of terrestrial impact events, Geochim. Cosmochim. Acta, 220, 146–157, doi:https://doi.org/10.1016/j.gca.2017.09.036, 2018.</w:t>
      </w:r>
    </w:p>
    <w:p w14:paraId="08E539BA" w14:textId="77777777" w:rsidR="00CD2E5E" w:rsidRPr="00CD2E5E" w:rsidRDefault="00CD2E5E" w:rsidP="00CD2E5E">
      <w:pPr>
        <w:widowControl w:val="0"/>
        <w:autoSpaceDE w:val="0"/>
        <w:autoSpaceDN w:val="0"/>
        <w:adjustRightInd w:val="0"/>
        <w:rPr>
          <w:noProof/>
        </w:rPr>
      </w:pPr>
      <w:r w:rsidRPr="00CD2E5E">
        <w:rPr>
          <w:noProof/>
        </w:rPr>
        <w:t>Wacker, U., Fiebig, J. and Schöne, B.: Clumped isotope analysis of carbonates: comparison of two different acid digestion techniques, Rapid Commun. Mass Spectrom., 27, 1631–1642, doi:10.1002/rcm.6609, 2013.</w:t>
      </w:r>
    </w:p>
    <w:p w14:paraId="5CE45A67" w14:textId="77777777" w:rsidR="00CD2E5E" w:rsidRPr="00CD2E5E" w:rsidRDefault="00CD2E5E" w:rsidP="00CD2E5E">
      <w:pPr>
        <w:widowControl w:val="0"/>
        <w:autoSpaceDE w:val="0"/>
        <w:autoSpaceDN w:val="0"/>
        <w:adjustRightInd w:val="0"/>
        <w:rPr>
          <w:noProof/>
        </w:rPr>
      </w:pPr>
      <w:r w:rsidRPr="00CD2E5E">
        <w:rPr>
          <w:noProof/>
        </w:rPr>
        <w:t>Wacker, U., Fiebig, J., Tödter, J., Schöne, B. R., Bahr, A., Friedrich, O., Tütken, T., Gischler, E. and Joachimski, M. M.: Empirical calibration of the clumped isotope paleothermometer using calcites of various origins, Geochim. Cosmochim. Acta, 141, 127–144, doi:10.1016/j.gca.2014.06.004, 2014.</w:t>
      </w:r>
    </w:p>
    <w:p w14:paraId="7BDD8014" w14:textId="2233B2BC" w:rsidR="00210F4C" w:rsidRPr="000E09B0" w:rsidRDefault="009E2765" w:rsidP="000E09B0">
      <w:r>
        <w:fldChar w:fldCharType="end"/>
      </w:r>
    </w:p>
    <w:sectPr w:rsidR="00210F4C" w:rsidRPr="000E09B0" w:rsidSect="00F512A5">
      <w:footerReference w:type="default" r:id="rId12"/>
      <w:pgSz w:w="11907" w:h="13608"/>
      <w:pgMar w:top="567" w:right="936" w:bottom="1338" w:left="936" w:header="0" w:footer="737" w:gutter="0"/>
      <w:lnNumType w:countBy="5" w:distance="227"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FCEC" w14:textId="77777777" w:rsidR="00647D92" w:rsidRDefault="00647D92" w:rsidP="006D0C96">
      <w:pPr>
        <w:spacing w:line="240" w:lineRule="auto"/>
      </w:pPr>
      <w:r>
        <w:separator/>
      </w:r>
    </w:p>
  </w:endnote>
  <w:endnote w:type="continuationSeparator" w:id="0">
    <w:p w14:paraId="2A8B404D" w14:textId="77777777" w:rsidR="00647D92" w:rsidRDefault="00647D92" w:rsidP="006D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788171"/>
      <w:docPartObj>
        <w:docPartGallery w:val="Page Numbers (Bottom of Page)"/>
        <w:docPartUnique/>
      </w:docPartObj>
    </w:sdtPr>
    <w:sdtEndPr>
      <w:rPr>
        <w:noProof/>
      </w:rPr>
    </w:sdtEndPr>
    <w:sdtContent>
      <w:p w14:paraId="5576ABD1" w14:textId="77777777" w:rsidR="00FA4D8E" w:rsidRDefault="00FA4D8E">
        <w:pPr>
          <w:pStyle w:val="Fuzeile"/>
          <w:jc w:val="center"/>
        </w:pPr>
        <w:r>
          <w:fldChar w:fldCharType="begin"/>
        </w:r>
        <w:r>
          <w:instrText xml:space="preserve"> PAGE   \* MERGEFORMAT </w:instrText>
        </w:r>
        <w:r>
          <w:fldChar w:fldCharType="separate"/>
        </w:r>
        <w:r w:rsidR="0048155E">
          <w:rPr>
            <w:noProof/>
          </w:rPr>
          <w:t>14</w:t>
        </w:r>
        <w:r>
          <w:rPr>
            <w:noProof/>
          </w:rPr>
          <w:fldChar w:fldCharType="end"/>
        </w:r>
      </w:p>
    </w:sdtContent>
  </w:sdt>
  <w:p w14:paraId="44AA5123" w14:textId="77777777" w:rsidR="00FA4D8E" w:rsidRDefault="00FA4D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5F7F" w14:textId="77777777" w:rsidR="00647D92" w:rsidRDefault="00647D92" w:rsidP="006D0C96">
      <w:pPr>
        <w:spacing w:line="240" w:lineRule="auto"/>
      </w:pPr>
      <w:r>
        <w:separator/>
      </w:r>
    </w:p>
  </w:footnote>
  <w:footnote w:type="continuationSeparator" w:id="0">
    <w:p w14:paraId="289E2126" w14:textId="77777777" w:rsidR="00647D92" w:rsidRDefault="00647D92" w:rsidP="006D0C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17ED8"/>
    <w:multiLevelType w:val="hybridMultilevel"/>
    <w:tmpl w:val="15001EEA"/>
    <w:lvl w:ilvl="0" w:tplc="2E8E43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2238B"/>
    <w:multiLevelType w:val="hybridMultilevel"/>
    <w:tmpl w:val="80B64A8E"/>
    <w:lvl w:ilvl="0" w:tplc="2E8E43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5415E"/>
    <w:multiLevelType w:val="hybridMultilevel"/>
    <w:tmpl w:val="C994D5B6"/>
    <w:lvl w:ilvl="0" w:tplc="6276D902">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13"/>
    <w:rsid w:val="00000C64"/>
    <w:rsid w:val="00020BA1"/>
    <w:rsid w:val="000515AC"/>
    <w:rsid w:val="0005690A"/>
    <w:rsid w:val="000625E1"/>
    <w:rsid w:val="0007377B"/>
    <w:rsid w:val="00075F28"/>
    <w:rsid w:val="000A1B66"/>
    <w:rsid w:val="000C3A9F"/>
    <w:rsid w:val="000E09B0"/>
    <w:rsid w:val="000E0E83"/>
    <w:rsid w:val="000E0FB9"/>
    <w:rsid w:val="000E48B5"/>
    <w:rsid w:val="00112329"/>
    <w:rsid w:val="001245F1"/>
    <w:rsid w:val="0014220A"/>
    <w:rsid w:val="001477C2"/>
    <w:rsid w:val="001937B8"/>
    <w:rsid w:val="00194C79"/>
    <w:rsid w:val="0019738B"/>
    <w:rsid w:val="001B74E1"/>
    <w:rsid w:val="001C0A31"/>
    <w:rsid w:val="001C5EB9"/>
    <w:rsid w:val="001C79CF"/>
    <w:rsid w:val="001D11F4"/>
    <w:rsid w:val="001E3EE2"/>
    <w:rsid w:val="001E6F2F"/>
    <w:rsid w:val="00203F92"/>
    <w:rsid w:val="00210F4C"/>
    <w:rsid w:val="00226DC2"/>
    <w:rsid w:val="00231B5A"/>
    <w:rsid w:val="00242934"/>
    <w:rsid w:val="00271271"/>
    <w:rsid w:val="00272908"/>
    <w:rsid w:val="002864A6"/>
    <w:rsid w:val="002B3374"/>
    <w:rsid w:val="002B6C11"/>
    <w:rsid w:val="002B782F"/>
    <w:rsid w:val="002D7ECA"/>
    <w:rsid w:val="002F3A4A"/>
    <w:rsid w:val="00300F60"/>
    <w:rsid w:val="003052BE"/>
    <w:rsid w:val="003118C8"/>
    <w:rsid w:val="0033651D"/>
    <w:rsid w:val="00336F31"/>
    <w:rsid w:val="0035446C"/>
    <w:rsid w:val="003576C3"/>
    <w:rsid w:val="00385E77"/>
    <w:rsid w:val="00397F33"/>
    <w:rsid w:val="003A4FB4"/>
    <w:rsid w:val="003A5F0E"/>
    <w:rsid w:val="003A69AB"/>
    <w:rsid w:val="003D5288"/>
    <w:rsid w:val="003D5669"/>
    <w:rsid w:val="003F4F72"/>
    <w:rsid w:val="003F7852"/>
    <w:rsid w:val="004114CF"/>
    <w:rsid w:val="00413430"/>
    <w:rsid w:val="004262B1"/>
    <w:rsid w:val="00441D59"/>
    <w:rsid w:val="00445B7E"/>
    <w:rsid w:val="00450DB9"/>
    <w:rsid w:val="00463568"/>
    <w:rsid w:val="0046700F"/>
    <w:rsid w:val="004715A6"/>
    <w:rsid w:val="00474BEE"/>
    <w:rsid w:val="0048155E"/>
    <w:rsid w:val="004B4F43"/>
    <w:rsid w:val="004D0F1A"/>
    <w:rsid w:val="004D317A"/>
    <w:rsid w:val="005063ED"/>
    <w:rsid w:val="005113AE"/>
    <w:rsid w:val="005174E0"/>
    <w:rsid w:val="00522921"/>
    <w:rsid w:val="00546745"/>
    <w:rsid w:val="0055217B"/>
    <w:rsid w:val="00564213"/>
    <w:rsid w:val="00573F0C"/>
    <w:rsid w:val="0057436B"/>
    <w:rsid w:val="00575B65"/>
    <w:rsid w:val="005A4F32"/>
    <w:rsid w:val="0060168D"/>
    <w:rsid w:val="0061008E"/>
    <w:rsid w:val="0061757D"/>
    <w:rsid w:val="00627832"/>
    <w:rsid w:val="006326D7"/>
    <w:rsid w:val="00634569"/>
    <w:rsid w:val="00647D92"/>
    <w:rsid w:val="00661D95"/>
    <w:rsid w:val="00665C02"/>
    <w:rsid w:val="00670F05"/>
    <w:rsid w:val="006D0C96"/>
    <w:rsid w:val="006E6372"/>
    <w:rsid w:val="006F0782"/>
    <w:rsid w:val="00702A8B"/>
    <w:rsid w:val="0070537F"/>
    <w:rsid w:val="007274F2"/>
    <w:rsid w:val="007474B8"/>
    <w:rsid w:val="00751A44"/>
    <w:rsid w:val="00751E2B"/>
    <w:rsid w:val="00773002"/>
    <w:rsid w:val="007822F1"/>
    <w:rsid w:val="00796A7F"/>
    <w:rsid w:val="007A4CF6"/>
    <w:rsid w:val="007C4DBA"/>
    <w:rsid w:val="007D2A47"/>
    <w:rsid w:val="00803867"/>
    <w:rsid w:val="00840116"/>
    <w:rsid w:val="00847C76"/>
    <w:rsid w:val="00855006"/>
    <w:rsid w:val="008661D1"/>
    <w:rsid w:val="008672B2"/>
    <w:rsid w:val="00881D61"/>
    <w:rsid w:val="00886461"/>
    <w:rsid w:val="008A0D08"/>
    <w:rsid w:val="008B719F"/>
    <w:rsid w:val="008D7499"/>
    <w:rsid w:val="008E213F"/>
    <w:rsid w:val="008E3110"/>
    <w:rsid w:val="008F47F1"/>
    <w:rsid w:val="00914582"/>
    <w:rsid w:val="009150E4"/>
    <w:rsid w:val="0091791F"/>
    <w:rsid w:val="00923C0C"/>
    <w:rsid w:val="00932F15"/>
    <w:rsid w:val="00943440"/>
    <w:rsid w:val="00945456"/>
    <w:rsid w:val="009B682C"/>
    <w:rsid w:val="009D38E2"/>
    <w:rsid w:val="009E2765"/>
    <w:rsid w:val="009F2C0A"/>
    <w:rsid w:val="009F44BB"/>
    <w:rsid w:val="00A33B54"/>
    <w:rsid w:val="00A632B1"/>
    <w:rsid w:val="00A94972"/>
    <w:rsid w:val="00A95585"/>
    <w:rsid w:val="00AE4157"/>
    <w:rsid w:val="00B34B36"/>
    <w:rsid w:val="00B4015F"/>
    <w:rsid w:val="00B557C4"/>
    <w:rsid w:val="00B5719D"/>
    <w:rsid w:val="00B75342"/>
    <w:rsid w:val="00B87C51"/>
    <w:rsid w:val="00B910FE"/>
    <w:rsid w:val="00B94A58"/>
    <w:rsid w:val="00B9544C"/>
    <w:rsid w:val="00BB6303"/>
    <w:rsid w:val="00BC222E"/>
    <w:rsid w:val="00BD0523"/>
    <w:rsid w:val="00BF4415"/>
    <w:rsid w:val="00C1589F"/>
    <w:rsid w:val="00C26311"/>
    <w:rsid w:val="00C35812"/>
    <w:rsid w:val="00C37C93"/>
    <w:rsid w:val="00C629C5"/>
    <w:rsid w:val="00C82F79"/>
    <w:rsid w:val="00C84458"/>
    <w:rsid w:val="00C93451"/>
    <w:rsid w:val="00C9422F"/>
    <w:rsid w:val="00C95214"/>
    <w:rsid w:val="00CA026E"/>
    <w:rsid w:val="00CB1D87"/>
    <w:rsid w:val="00CB3B8F"/>
    <w:rsid w:val="00CC51D0"/>
    <w:rsid w:val="00CC72DC"/>
    <w:rsid w:val="00CD21B5"/>
    <w:rsid w:val="00CD2E5E"/>
    <w:rsid w:val="00CD329F"/>
    <w:rsid w:val="00CD67D7"/>
    <w:rsid w:val="00D30337"/>
    <w:rsid w:val="00D36B14"/>
    <w:rsid w:val="00D40CE0"/>
    <w:rsid w:val="00D43382"/>
    <w:rsid w:val="00D7470F"/>
    <w:rsid w:val="00D87A21"/>
    <w:rsid w:val="00DB4B44"/>
    <w:rsid w:val="00DB4E53"/>
    <w:rsid w:val="00DB5E33"/>
    <w:rsid w:val="00E00339"/>
    <w:rsid w:val="00E11394"/>
    <w:rsid w:val="00E11CBB"/>
    <w:rsid w:val="00E142A8"/>
    <w:rsid w:val="00E330BA"/>
    <w:rsid w:val="00E44381"/>
    <w:rsid w:val="00E475AA"/>
    <w:rsid w:val="00E639F2"/>
    <w:rsid w:val="00E66E56"/>
    <w:rsid w:val="00E7207B"/>
    <w:rsid w:val="00E861A5"/>
    <w:rsid w:val="00E96B58"/>
    <w:rsid w:val="00ED6B96"/>
    <w:rsid w:val="00EE58C0"/>
    <w:rsid w:val="00EE7C00"/>
    <w:rsid w:val="00EF7A54"/>
    <w:rsid w:val="00F07C18"/>
    <w:rsid w:val="00F35903"/>
    <w:rsid w:val="00F41D59"/>
    <w:rsid w:val="00F46A6F"/>
    <w:rsid w:val="00F512A5"/>
    <w:rsid w:val="00F5258E"/>
    <w:rsid w:val="00F63578"/>
    <w:rsid w:val="00F64C9C"/>
    <w:rsid w:val="00F71070"/>
    <w:rsid w:val="00F864B9"/>
    <w:rsid w:val="00FA4D8E"/>
    <w:rsid w:val="00FB3FAA"/>
    <w:rsid w:val="00FB51AF"/>
    <w:rsid w:val="00FB5677"/>
    <w:rsid w:val="00FE185F"/>
    <w:rsid w:val="00FE722C"/>
    <w:rsid w:val="00FE7463"/>
    <w:rsid w:val="00FF308B"/>
    <w:rsid w:val="00FF51CD"/>
    <w:rsid w:val="00FF71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E553"/>
  <w15:docId w15:val="{D2CFD17B-36C5-4048-BB43-0059F9D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CE0"/>
    <w:pPr>
      <w:spacing w:line="360" w:lineRule="auto"/>
      <w:jc w:val="both"/>
    </w:pPr>
    <w:rPr>
      <w:rFonts w:ascii="Times New Roman" w:eastAsia="Times New Roman" w:hAnsi="Times New Roman"/>
      <w:szCs w:val="24"/>
      <w:lang w:eastAsia="de-DE"/>
    </w:rPr>
  </w:style>
  <w:style w:type="paragraph" w:styleId="berschrift1">
    <w:name w:val="heading 1"/>
    <w:basedOn w:val="Standard"/>
    <w:next w:val="Standard"/>
    <w:link w:val="berschrift1Zchn"/>
    <w:qFormat/>
    <w:rsid w:val="00075F28"/>
    <w:pPr>
      <w:keepNext/>
      <w:spacing w:before="480" w:after="240" w:line="240" w:lineRule="auto"/>
      <w:outlineLvl w:val="0"/>
    </w:pPr>
    <w:rPr>
      <w:rFonts w:cs="Arial"/>
      <w:b/>
      <w:bCs/>
      <w:color w:val="000000"/>
      <w:kern w:val="32"/>
      <w:szCs w:val="32"/>
    </w:rPr>
  </w:style>
  <w:style w:type="paragraph" w:styleId="berschrift2">
    <w:name w:val="heading 2"/>
    <w:basedOn w:val="Standard"/>
    <w:next w:val="Standard"/>
    <w:link w:val="berschrift2Zchn"/>
    <w:qFormat/>
    <w:rsid w:val="00E00339"/>
    <w:pPr>
      <w:keepNext/>
      <w:spacing w:before="240" w:after="240" w:line="240" w:lineRule="auto"/>
      <w:outlineLvl w:val="1"/>
    </w:pPr>
    <w:rPr>
      <w:rFonts w:cs="Arial"/>
      <w:b/>
      <w:bCs/>
      <w:iCs/>
      <w:szCs w:val="28"/>
    </w:rPr>
  </w:style>
  <w:style w:type="paragraph" w:styleId="berschrift3">
    <w:name w:val="heading 3"/>
    <w:basedOn w:val="Standard"/>
    <w:next w:val="Standard"/>
    <w:link w:val="berschrift3Zchn"/>
    <w:qFormat/>
    <w:rsid w:val="005A4F32"/>
    <w:pPr>
      <w:keepNext/>
      <w:spacing w:before="240" w:after="240" w:line="240" w:lineRule="auto"/>
      <w:outlineLvl w:val="2"/>
    </w:pPr>
    <w:rPr>
      <w:rFonts w:cs="Arial"/>
      <w:b/>
      <w:bCs/>
      <w:szCs w:val="26"/>
    </w:rPr>
  </w:style>
  <w:style w:type="paragraph" w:styleId="berschrift4">
    <w:name w:val="heading 4"/>
    <w:basedOn w:val="Standard"/>
    <w:next w:val="Standard"/>
    <w:link w:val="berschrift4Zchn"/>
    <w:rsid w:val="00ED6B9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ED6B96"/>
    <w:rPr>
      <w:b/>
    </w:rPr>
  </w:style>
  <w:style w:type="paragraph" w:customStyle="1" w:styleId="Bullets">
    <w:name w:val="Bullets"/>
    <w:basedOn w:val="Standard"/>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NormaleTabelle"/>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Kopfzeile">
    <w:name w:val="header"/>
    <w:basedOn w:val="Standard"/>
    <w:link w:val="KopfzeileZchn"/>
    <w:rsid w:val="00ED6B96"/>
    <w:pPr>
      <w:tabs>
        <w:tab w:val="center" w:pos="4536"/>
        <w:tab w:val="right" w:pos="9072"/>
      </w:tabs>
    </w:pPr>
  </w:style>
  <w:style w:type="character" w:customStyle="1" w:styleId="berschrift1Zchn">
    <w:name w:val="Überschrift 1 Zchn"/>
    <w:link w:val="berschrift1"/>
    <w:rsid w:val="00075F28"/>
    <w:rPr>
      <w:rFonts w:ascii="Times New Roman" w:eastAsia="Times New Roman" w:hAnsi="Times New Roman" w:cs="Arial"/>
      <w:b/>
      <w:bCs/>
      <w:color w:val="000000"/>
      <w:kern w:val="32"/>
      <w:szCs w:val="32"/>
      <w:lang w:eastAsia="de-DE"/>
    </w:rPr>
  </w:style>
  <w:style w:type="character" w:customStyle="1" w:styleId="berschrift3Zchn">
    <w:name w:val="Überschrift 3 Zchn"/>
    <w:link w:val="berschrift3"/>
    <w:rsid w:val="005A4F32"/>
    <w:rPr>
      <w:rFonts w:ascii="Times New Roman" w:eastAsia="Times New Roman" w:hAnsi="Times New Roman" w:cs="Arial"/>
      <w:b/>
      <w:bCs/>
      <w:szCs w:val="26"/>
      <w:lang w:eastAsia="de-DE"/>
    </w:rPr>
  </w:style>
  <w:style w:type="character" w:customStyle="1" w:styleId="berschrift4Zchn">
    <w:name w:val="Überschrift 4 Zchn"/>
    <w:link w:val="berschrift4"/>
    <w:rsid w:val="00796A7F"/>
    <w:rPr>
      <w:rFonts w:ascii="Verdana" w:eastAsia="Times New Roman" w:hAnsi="Verdana" w:cs="Times New Roman"/>
      <w:b/>
      <w:bCs/>
      <w:sz w:val="19"/>
      <w:szCs w:val="28"/>
      <w:lang w:eastAsia="de-DE"/>
    </w:rPr>
  </w:style>
  <w:style w:type="character" w:customStyle="1" w:styleId="KopfzeileZchn">
    <w:name w:val="Kopfzeile Zchn"/>
    <w:link w:val="Kopfzeile"/>
    <w:rsid w:val="00ED6B96"/>
    <w:rPr>
      <w:rFonts w:ascii="Verdana" w:eastAsia="Times New Roman" w:hAnsi="Verdana" w:cs="Times New Roman"/>
      <w:sz w:val="19"/>
      <w:szCs w:val="24"/>
      <w:lang w:eastAsia="de-DE"/>
    </w:rPr>
  </w:style>
  <w:style w:type="character" w:customStyle="1" w:styleId="berschrift2Zchn">
    <w:name w:val="Überschrift 2 Zchn"/>
    <w:link w:val="berschrift2"/>
    <w:rsid w:val="00E00339"/>
    <w:rPr>
      <w:rFonts w:ascii="Times New Roman" w:eastAsia="Times New Roman" w:hAnsi="Times New Roman" w:cs="Arial"/>
      <w:b/>
      <w:bCs/>
      <w:iCs/>
      <w:szCs w:val="28"/>
      <w:lang w:eastAsia="de-DE"/>
    </w:rPr>
  </w:style>
  <w:style w:type="character" w:styleId="Hyperlink">
    <w:name w:val="Hyperlink"/>
    <w:uiPriority w:val="99"/>
    <w:rsid w:val="00ED6B96"/>
    <w:rPr>
      <w:color w:val="0000FF"/>
      <w:u w:val="single"/>
    </w:rPr>
  </w:style>
  <w:style w:type="paragraph" w:customStyle="1" w:styleId="Kontakt">
    <w:name w:val="Kontakt"/>
    <w:basedOn w:val="Standard"/>
    <w:rsid w:val="00ED6B96"/>
    <w:pPr>
      <w:spacing w:line="160" w:lineRule="exact"/>
    </w:pPr>
    <w:rPr>
      <w:color w:val="808080"/>
      <w:sz w:val="13"/>
    </w:rPr>
  </w:style>
  <w:style w:type="paragraph" w:customStyle="1" w:styleId="Name">
    <w:name w:val="Name"/>
    <w:basedOn w:val="Standard"/>
    <w:rsid w:val="00ED6B96"/>
    <w:pPr>
      <w:spacing w:before="160" w:after="80"/>
    </w:pPr>
    <w:rPr>
      <w:rFonts w:ascii="Book Antiqua" w:hAnsi="Book Antiqua"/>
      <w:color w:val="808080"/>
      <w:sz w:val="22"/>
    </w:rPr>
  </w:style>
  <w:style w:type="paragraph" w:customStyle="1" w:styleId="CopernicusWordtemplate">
    <w:name w:val="Copernicus_Word_template"/>
    <w:basedOn w:val="Standard"/>
    <w:link w:val="CopernicusWordtemplateChar"/>
    <w:rsid w:val="00B5719D"/>
  </w:style>
  <w:style w:type="character" w:customStyle="1" w:styleId="CopernicusWordtemplateChar">
    <w:name w:val="Copernicus_Word_template Char"/>
    <w:basedOn w:val="Absatz-Standardschriftart"/>
    <w:link w:val="CopernicusWordtemplate"/>
    <w:rsid w:val="00B5719D"/>
    <w:rPr>
      <w:rFonts w:ascii="Times New Roman" w:eastAsia="Times New Roman" w:hAnsi="Times New Roman"/>
      <w:sz w:val="24"/>
      <w:szCs w:val="24"/>
      <w:lang w:eastAsia="de-DE"/>
    </w:rPr>
  </w:style>
  <w:style w:type="character" w:styleId="Zeilennummer">
    <w:name w:val="line number"/>
    <w:basedOn w:val="Absatz-Standardschriftart"/>
    <w:uiPriority w:val="99"/>
    <w:semiHidden/>
    <w:unhideWhenUsed/>
    <w:rsid w:val="00D40CE0"/>
  </w:style>
  <w:style w:type="paragraph" w:customStyle="1" w:styleId="MStitle">
    <w:name w:val="MS title"/>
    <w:basedOn w:val="Standard"/>
    <w:link w:val="MStitleChar"/>
    <w:qFormat/>
    <w:rsid w:val="0091791F"/>
    <w:pPr>
      <w:spacing w:before="360" w:line="440" w:lineRule="exact"/>
      <w:contextualSpacing/>
    </w:pPr>
    <w:rPr>
      <w:b/>
      <w:sz w:val="34"/>
    </w:rPr>
  </w:style>
  <w:style w:type="paragraph" w:styleId="Listenabsatz">
    <w:name w:val="List Paragraph"/>
    <w:basedOn w:val="Standard"/>
    <w:uiPriority w:val="34"/>
    <w:qFormat/>
    <w:rsid w:val="00B4015F"/>
    <w:pPr>
      <w:ind w:left="720"/>
      <w:contextualSpacing/>
    </w:pPr>
  </w:style>
  <w:style w:type="character" w:customStyle="1" w:styleId="MStitleChar">
    <w:name w:val="MS title Char"/>
    <w:basedOn w:val="Absatz-Standardschriftart"/>
    <w:link w:val="MStitle"/>
    <w:rsid w:val="0091791F"/>
    <w:rPr>
      <w:rFonts w:ascii="Times New Roman" w:eastAsia="Times New Roman" w:hAnsi="Times New Roman"/>
      <w:b/>
      <w:sz w:val="34"/>
      <w:szCs w:val="24"/>
      <w:lang w:eastAsia="de-DE"/>
    </w:rPr>
  </w:style>
  <w:style w:type="paragraph" w:customStyle="1" w:styleId="Affiliation">
    <w:name w:val="Affiliation"/>
    <w:basedOn w:val="Standard"/>
    <w:link w:val="AffiliationChar"/>
    <w:qFormat/>
    <w:rsid w:val="00450DB9"/>
    <w:pPr>
      <w:spacing w:before="120" w:line="240" w:lineRule="auto"/>
      <w:contextualSpacing/>
    </w:pPr>
  </w:style>
  <w:style w:type="character" w:styleId="Platzhaltertext">
    <w:name w:val="Placeholder Text"/>
    <w:basedOn w:val="Absatz-Standardschriftart"/>
    <w:uiPriority w:val="99"/>
    <w:semiHidden/>
    <w:rsid w:val="003D5288"/>
    <w:rPr>
      <w:color w:val="808080"/>
    </w:rPr>
  </w:style>
  <w:style w:type="character" w:customStyle="1" w:styleId="AffiliationChar">
    <w:name w:val="Affiliation Char"/>
    <w:basedOn w:val="Absatz-Standardschriftart"/>
    <w:link w:val="Affiliation"/>
    <w:rsid w:val="00450DB9"/>
    <w:rPr>
      <w:rFonts w:ascii="Times New Roman" w:eastAsia="Times New Roman" w:hAnsi="Times New Roman"/>
      <w:szCs w:val="24"/>
      <w:lang w:eastAsia="de-DE"/>
    </w:rPr>
  </w:style>
  <w:style w:type="paragraph" w:styleId="Sprechblasentext">
    <w:name w:val="Balloon Text"/>
    <w:basedOn w:val="Standard"/>
    <w:link w:val="SprechblasentextZchn"/>
    <w:uiPriority w:val="99"/>
    <w:semiHidden/>
    <w:unhideWhenUsed/>
    <w:rsid w:val="003D52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288"/>
    <w:rPr>
      <w:rFonts w:ascii="Tahoma" w:eastAsia="Times New Roman" w:hAnsi="Tahoma" w:cs="Tahoma"/>
      <w:sz w:val="16"/>
      <w:szCs w:val="16"/>
      <w:lang w:eastAsia="de-DE"/>
    </w:rPr>
  </w:style>
  <w:style w:type="paragraph" w:customStyle="1" w:styleId="Equation">
    <w:name w:val="Equation"/>
    <w:basedOn w:val="Standard"/>
    <w:link w:val="EquationChar"/>
    <w:rsid w:val="00C35812"/>
    <w:pPr>
      <w:spacing w:before="120" w:after="120"/>
    </w:pPr>
    <w:rPr>
      <w:rFonts w:ascii="Cambria Math" w:hAnsi="Cambria Math"/>
    </w:rPr>
  </w:style>
  <w:style w:type="paragraph" w:styleId="Beschriftung">
    <w:name w:val="caption"/>
    <w:basedOn w:val="Standard"/>
    <w:next w:val="Standard"/>
    <w:uiPriority w:val="35"/>
    <w:unhideWhenUsed/>
    <w:qFormat/>
    <w:rsid w:val="003A4FB4"/>
    <w:pPr>
      <w:spacing w:after="200" w:line="240" w:lineRule="auto"/>
    </w:pPr>
    <w:rPr>
      <w:b/>
      <w:bCs/>
      <w:sz w:val="18"/>
      <w:szCs w:val="18"/>
    </w:rPr>
  </w:style>
  <w:style w:type="character" w:customStyle="1" w:styleId="EquationChar">
    <w:name w:val="Equation Char"/>
    <w:basedOn w:val="Absatz-Standardschriftart"/>
    <w:link w:val="Equation"/>
    <w:rsid w:val="00C35812"/>
    <w:rPr>
      <w:rFonts w:ascii="Cambria Math" w:eastAsia="Times New Roman" w:hAnsi="Cambria Math"/>
      <w:szCs w:val="24"/>
      <w:lang w:eastAsia="de-DE"/>
    </w:rPr>
  </w:style>
  <w:style w:type="paragraph" w:styleId="Fuzeile">
    <w:name w:val="footer"/>
    <w:basedOn w:val="Standard"/>
    <w:link w:val="FuzeileZchn"/>
    <w:uiPriority w:val="99"/>
    <w:unhideWhenUsed/>
    <w:rsid w:val="006D0C96"/>
    <w:pPr>
      <w:tabs>
        <w:tab w:val="center" w:pos="4513"/>
        <w:tab w:val="right" w:pos="9026"/>
      </w:tabs>
      <w:spacing w:line="240" w:lineRule="auto"/>
    </w:pPr>
  </w:style>
  <w:style w:type="character" w:customStyle="1" w:styleId="FuzeileZchn">
    <w:name w:val="Fußzeile Zchn"/>
    <w:basedOn w:val="Absatz-Standardschriftart"/>
    <w:link w:val="Fuzeile"/>
    <w:uiPriority w:val="99"/>
    <w:rsid w:val="006D0C96"/>
    <w:rPr>
      <w:rFonts w:ascii="Times New Roman" w:eastAsia="Times New Roman" w:hAnsi="Times New Roman"/>
      <w:szCs w:val="24"/>
      <w:lang w:eastAsia="de-DE"/>
    </w:rPr>
  </w:style>
  <w:style w:type="paragraph" w:customStyle="1" w:styleId="Correspondence">
    <w:name w:val="Correspondence"/>
    <w:basedOn w:val="Standard"/>
    <w:link w:val="CorrespondenceChar"/>
    <w:qFormat/>
    <w:rsid w:val="008E213F"/>
    <w:pPr>
      <w:spacing w:before="120" w:after="360" w:line="240" w:lineRule="auto"/>
    </w:pPr>
  </w:style>
  <w:style w:type="character" w:customStyle="1" w:styleId="CorrespondenceChar">
    <w:name w:val="Correspondence Char"/>
    <w:basedOn w:val="Absatz-Standardschriftart"/>
    <w:link w:val="Correspondence"/>
    <w:rsid w:val="008E213F"/>
    <w:rPr>
      <w:rFonts w:ascii="Times New Roman" w:eastAsia="Times New Roman" w:hAnsi="Times New Roman"/>
      <w:szCs w:val="24"/>
      <w:lang w:eastAsia="de-DE"/>
    </w:rPr>
  </w:style>
  <w:style w:type="paragraph" w:customStyle="1" w:styleId="Authors">
    <w:name w:val="Authors"/>
    <w:basedOn w:val="Standard"/>
    <w:link w:val="AuthorsChar"/>
    <w:qFormat/>
    <w:rsid w:val="00BD0523"/>
    <w:pPr>
      <w:spacing w:before="180" w:line="240" w:lineRule="auto"/>
      <w:contextualSpacing/>
    </w:pPr>
    <w:rPr>
      <w:sz w:val="24"/>
    </w:rPr>
  </w:style>
  <w:style w:type="character" w:customStyle="1" w:styleId="AuthorsChar">
    <w:name w:val="Authors Char"/>
    <w:basedOn w:val="Absatz-Standardschriftart"/>
    <w:link w:val="Authors"/>
    <w:rsid w:val="00BD0523"/>
    <w:rPr>
      <w:rFonts w:ascii="Times New Roman" w:eastAsia="Times New Roman" w:hAnsi="Times New Roman"/>
      <w:sz w:val="24"/>
      <w:szCs w:val="24"/>
      <w:lang w:eastAsia="de-DE"/>
    </w:rPr>
  </w:style>
  <w:style w:type="character" w:customStyle="1" w:styleId="lrzxr">
    <w:name w:val="lrzxr"/>
    <w:basedOn w:val="Absatz-Standardschriftart"/>
    <w:rsid w:val="00242934"/>
  </w:style>
  <w:style w:type="paragraph" w:styleId="KeinLeerraum">
    <w:name w:val="No Spacing"/>
    <w:uiPriority w:val="1"/>
    <w:qFormat/>
    <w:rsid w:val="002B782F"/>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uiPriority w:val="99"/>
    <w:semiHidden/>
    <w:unhideWhenUsed/>
    <w:rsid w:val="002B78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ja.krsnik@senckenbe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krsnik\MagentaCLOUD\Stabile%20Isotopendaten\All%20samples_all%20data_n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11044268796029"/>
          <c:y val="7.3578004114673398E-2"/>
          <c:w val="0.83656347429311362"/>
          <c:h val="0.74897924448863684"/>
        </c:manualLayout>
      </c:layout>
      <c:scatterChart>
        <c:scatterStyle val="lineMarker"/>
        <c:varyColors val="0"/>
        <c:ser>
          <c:idx val="8"/>
          <c:order val="0"/>
          <c:tx>
            <c:v>Fontannen Einzelwerte</c:v>
          </c:tx>
          <c:spPr>
            <a:ln w="28575">
              <a:noFill/>
            </a:ln>
          </c:spPr>
          <c:marker>
            <c:symbol val="circle"/>
            <c:size val="7"/>
            <c:spPr>
              <a:solidFill>
                <a:schemeClr val="bg1">
                  <a:lumMod val="85000"/>
                </a:schemeClr>
              </a:solidFill>
              <a:ln>
                <a:solidFill>
                  <a:schemeClr val="bg1">
                    <a:lumMod val="85000"/>
                  </a:schemeClr>
                </a:solidFill>
              </a:ln>
            </c:spPr>
          </c:marker>
          <c:xVal>
            <c:numRef>
              <c:f>Fontannen!$I$162:$I$208</c:f>
              <c:numCache>
                <c:formatCode>0.00</c:formatCode>
                <c:ptCount val="47"/>
                <c:pt idx="0">
                  <c:v>20.765601461056946</c:v>
                </c:pt>
                <c:pt idx="1">
                  <c:v>20.330462341501594</c:v>
                </c:pt>
                <c:pt idx="2">
                  <c:v>20.365956152285339</c:v>
                </c:pt>
                <c:pt idx="3">
                  <c:v>20.432337982414616</c:v>
                </c:pt>
                <c:pt idx="4">
                  <c:v>19.690440433259294</c:v>
                </c:pt>
                <c:pt idx="5">
                  <c:v>19.468020105923294</c:v>
                </c:pt>
                <c:pt idx="6">
                  <c:v>19.617650983542607</c:v>
                </c:pt>
                <c:pt idx="7">
                  <c:v>19.654991024830675</c:v>
                </c:pt>
                <c:pt idx="8">
                  <c:v>19.598398693044313</c:v>
                </c:pt>
                <c:pt idx="9">
                  <c:v>19.954112709770175</c:v>
                </c:pt>
                <c:pt idx="10">
                  <c:v>19.915638199712781</c:v>
                </c:pt>
                <c:pt idx="11">
                  <c:v>19.922834640000001</c:v>
                </c:pt>
                <c:pt idx="12">
                  <c:v>20.030105176060655</c:v>
                </c:pt>
                <c:pt idx="13">
                  <c:v>20.110769156020744</c:v>
                </c:pt>
                <c:pt idx="14">
                  <c:v>19.837629092841045</c:v>
                </c:pt>
                <c:pt idx="15">
                  <c:v>20.303074938781563</c:v>
                </c:pt>
                <c:pt idx="16">
                  <c:v>20.413789512938706</c:v>
                </c:pt>
                <c:pt idx="17">
                  <c:v>20.151671754127584</c:v>
                </c:pt>
                <c:pt idx="18">
                  <c:v>18.971434404914508</c:v>
                </c:pt>
                <c:pt idx="19">
                  <c:v>19.619725854065859</c:v>
                </c:pt>
                <c:pt idx="20">
                  <c:v>19.662382488462644</c:v>
                </c:pt>
                <c:pt idx="21">
                  <c:v>19.564018836846209</c:v>
                </c:pt>
                <c:pt idx="22">
                  <c:v>19.655660079126264</c:v>
                </c:pt>
                <c:pt idx="23">
                  <c:v>19.578022060628971</c:v>
                </c:pt>
                <c:pt idx="24">
                  <c:v>19.479900775403273</c:v>
                </c:pt>
                <c:pt idx="25">
                  <c:v>19.70679656828494</c:v>
                </c:pt>
                <c:pt idx="26">
                  <c:v>19.737587164349932</c:v>
                </c:pt>
                <c:pt idx="27">
                  <c:v>19.6466197305859</c:v>
                </c:pt>
                <c:pt idx="28">
                  <c:v>20.635281918670533</c:v>
                </c:pt>
                <c:pt idx="29">
                  <c:v>21.369908799554501</c:v>
                </c:pt>
                <c:pt idx="30">
                  <c:v>20.179013920034851</c:v>
                </c:pt>
                <c:pt idx="31">
                  <c:v>20.427353542982583</c:v>
                </c:pt>
                <c:pt idx="32">
                  <c:v>20.663494848118628</c:v>
                </c:pt>
                <c:pt idx="33">
                  <c:v>20.30576769074445</c:v>
                </c:pt>
                <c:pt idx="34">
                  <c:v>20.042380842921023</c:v>
                </c:pt>
                <c:pt idx="35">
                  <c:v>19.959923383446409</c:v>
                </c:pt>
                <c:pt idx="36">
                  <c:v>19.982118348852449</c:v>
                </c:pt>
                <c:pt idx="37">
                  <c:v>19.975633765816699</c:v>
                </c:pt>
                <c:pt idx="38">
                  <c:v>20.148823493151511</c:v>
                </c:pt>
                <c:pt idx="39">
                  <c:v>19.83198861882537</c:v>
                </c:pt>
                <c:pt idx="40">
                  <c:v>20.017091456189203</c:v>
                </c:pt>
                <c:pt idx="41">
                  <c:v>19.931081173264161</c:v>
                </c:pt>
                <c:pt idx="42">
                  <c:v>19.835357578602782</c:v>
                </c:pt>
                <c:pt idx="43">
                  <c:v>19.891937477766408</c:v>
                </c:pt>
                <c:pt idx="44">
                  <c:v>19.816979573894702</c:v>
                </c:pt>
                <c:pt idx="45">
                  <c:v>19.983217174389921</c:v>
                </c:pt>
                <c:pt idx="46">
                  <c:v>19.627481416761484</c:v>
                </c:pt>
              </c:numCache>
            </c:numRef>
          </c:xVal>
          <c:yVal>
            <c:numRef>
              <c:f>Fontannen!$K$162:$K$208</c:f>
              <c:numCache>
                <c:formatCode>0.00</c:formatCode>
                <c:ptCount val="47"/>
                <c:pt idx="0">
                  <c:v>-5.86387473</c:v>
                </c:pt>
                <c:pt idx="1">
                  <c:v>-5.988321420000001</c:v>
                </c:pt>
                <c:pt idx="2">
                  <c:v>-5.4356287400000012</c:v>
                </c:pt>
                <c:pt idx="3">
                  <c:v>-5.9242308700000006</c:v>
                </c:pt>
                <c:pt idx="4">
                  <c:v>-6.0824838245661725</c:v>
                </c:pt>
                <c:pt idx="5">
                  <c:v>-4.9365562184677882</c:v>
                </c:pt>
                <c:pt idx="6">
                  <c:v>-5.0642037999999996</c:v>
                </c:pt>
                <c:pt idx="7">
                  <c:v>-6.95629645</c:v>
                </c:pt>
                <c:pt idx="8">
                  <c:v>-6.9036460400000017</c:v>
                </c:pt>
                <c:pt idx="9">
                  <c:v>-4.3328678499999995</c:v>
                </c:pt>
                <c:pt idx="10">
                  <c:v>-3.9022929699999995</c:v>
                </c:pt>
                <c:pt idx="11">
                  <c:v>-3.8023092900000002</c:v>
                </c:pt>
                <c:pt idx="12">
                  <c:v>-4.994050249999999</c:v>
                </c:pt>
                <c:pt idx="13">
                  <c:v>-5.1272946299999997</c:v>
                </c:pt>
                <c:pt idx="14">
                  <c:v>-4.2378228800000004</c:v>
                </c:pt>
                <c:pt idx="15">
                  <c:v>-4.3389152499999994</c:v>
                </c:pt>
                <c:pt idx="16">
                  <c:v>-3.9821358099999999</c:v>
                </c:pt>
                <c:pt idx="17">
                  <c:v>-4.2761449000000002</c:v>
                </c:pt>
                <c:pt idx="18">
                  <c:v>-3.9424703199999991</c:v>
                </c:pt>
                <c:pt idx="19">
                  <c:v>-5.2737137999999986</c:v>
                </c:pt>
                <c:pt idx="20">
                  <c:v>-4.9330722999999992</c:v>
                </c:pt>
                <c:pt idx="21">
                  <c:v>-4.7187927599999995</c:v>
                </c:pt>
                <c:pt idx="22">
                  <c:v>-6.0832372799999996</c:v>
                </c:pt>
                <c:pt idx="23">
                  <c:v>-5.5585598400000009</c:v>
                </c:pt>
                <c:pt idx="24">
                  <c:v>-5.4188403300000001</c:v>
                </c:pt>
                <c:pt idx="25">
                  <c:v>-5.9628870599999999</c:v>
                </c:pt>
                <c:pt idx="26">
                  <c:v>-5.4401705900000001</c:v>
                </c:pt>
                <c:pt idx="27">
                  <c:v>-6.4954946700000002</c:v>
                </c:pt>
                <c:pt idx="28">
                  <c:v>-4.3438218399999995</c:v>
                </c:pt>
                <c:pt idx="29">
                  <c:v>-3.4288322099999995</c:v>
                </c:pt>
                <c:pt idx="30">
                  <c:v>-4.2089114799999994</c:v>
                </c:pt>
                <c:pt idx="31">
                  <c:v>-4.0984440999999991</c:v>
                </c:pt>
                <c:pt idx="32">
                  <c:v>-6.0383757999999998</c:v>
                </c:pt>
                <c:pt idx="33">
                  <c:v>-5.5665064500000003</c:v>
                </c:pt>
                <c:pt idx="34">
                  <c:v>-6.4563255899999987</c:v>
                </c:pt>
                <c:pt idx="35">
                  <c:v>-4.2673179999999995</c:v>
                </c:pt>
                <c:pt idx="36">
                  <c:v>-5.4882048000000001</c:v>
                </c:pt>
                <c:pt idx="37">
                  <c:v>-5.2533724000000008</c:v>
                </c:pt>
                <c:pt idx="38">
                  <c:v>-4.0049944999999996</c:v>
                </c:pt>
                <c:pt idx="39">
                  <c:v>-3.780661299999998</c:v>
                </c:pt>
                <c:pt idx="40">
                  <c:v>-3.21640595</c:v>
                </c:pt>
                <c:pt idx="41">
                  <c:v>-4.68034909</c:v>
                </c:pt>
                <c:pt idx="42">
                  <c:v>-4.1552064000000009</c:v>
                </c:pt>
                <c:pt idx="43">
                  <c:v>-4.7267741400000007</c:v>
                </c:pt>
                <c:pt idx="44">
                  <c:v>-3.8555461599999998</c:v>
                </c:pt>
                <c:pt idx="45">
                  <c:v>-3.6025380799999995</c:v>
                </c:pt>
                <c:pt idx="46">
                  <c:v>-2.042463070000001</c:v>
                </c:pt>
              </c:numCache>
            </c:numRef>
          </c:yVal>
          <c:smooth val="0"/>
          <c:extLst xmlns:c16r2="http://schemas.microsoft.com/office/drawing/2015/06/chart">
            <c:ext xmlns:c16="http://schemas.microsoft.com/office/drawing/2014/chart" uri="{C3380CC4-5D6E-409C-BE32-E72D297353CC}">
              <c16:uniqueId val="{00000000-6871-44CB-9AF1-F857873622FB}"/>
            </c:ext>
          </c:extLst>
        </c:ser>
        <c:ser>
          <c:idx val="6"/>
          <c:order val="1"/>
          <c:tx>
            <c:v>Aabach Einzelwerte</c:v>
          </c:tx>
          <c:spPr>
            <a:ln w="28575">
              <a:noFill/>
            </a:ln>
          </c:spPr>
          <c:marker>
            <c:symbol val="circle"/>
            <c:size val="7"/>
            <c:spPr>
              <a:solidFill>
                <a:schemeClr val="bg1">
                  <a:lumMod val="85000"/>
                </a:schemeClr>
              </a:solidFill>
              <a:ln>
                <a:solidFill>
                  <a:schemeClr val="bg1">
                    <a:lumMod val="85000"/>
                  </a:schemeClr>
                </a:solidFill>
              </a:ln>
            </c:spPr>
          </c:marker>
          <c:xVal>
            <c:numRef>
              <c:f>'Zürich-Leimbach_Aabach'!$E$214:$E$270</c:f>
              <c:numCache>
                <c:formatCode>0.00</c:formatCode>
                <c:ptCount val="57"/>
                <c:pt idx="0">
                  <c:v>25.246865214689635</c:v>
                </c:pt>
                <c:pt idx="1">
                  <c:v>25.4643653000015</c:v>
                </c:pt>
                <c:pt idx="2">
                  <c:v>26.376690910710956</c:v>
                </c:pt>
                <c:pt idx="3">
                  <c:v>25.595514883740293</c:v>
                </c:pt>
                <c:pt idx="4">
                  <c:v>25.208680143123743</c:v>
                </c:pt>
                <c:pt idx="5">
                  <c:v>26.610278722495604</c:v>
                </c:pt>
                <c:pt idx="6">
                  <c:v>25.585480701428367</c:v>
                </c:pt>
                <c:pt idx="7">
                  <c:v>25.919582526931332</c:v>
                </c:pt>
                <c:pt idx="8">
                  <c:v>23.316368065287694</c:v>
                </c:pt>
                <c:pt idx="9">
                  <c:v>23.387202332202801</c:v>
                </c:pt>
                <c:pt idx="10">
                  <c:v>23.36541676635521</c:v>
                </c:pt>
                <c:pt idx="11">
                  <c:v>23.171490208509272</c:v>
                </c:pt>
                <c:pt idx="12">
                  <c:v>23.68170716256326</c:v>
                </c:pt>
                <c:pt idx="13">
                  <c:v>23.684252685671868</c:v>
                </c:pt>
                <c:pt idx="14">
                  <c:v>24.498470197712589</c:v>
                </c:pt>
                <c:pt idx="15">
                  <c:v>24.620734746965709</c:v>
                </c:pt>
                <c:pt idx="16">
                  <c:v>23.598000002252068</c:v>
                </c:pt>
                <c:pt idx="17">
                  <c:v>23.622100254575951</c:v>
                </c:pt>
                <c:pt idx="18">
                  <c:v>24.175383753606653</c:v>
                </c:pt>
                <c:pt idx="19">
                  <c:v>23.78738420665843</c:v>
                </c:pt>
                <c:pt idx="20">
                  <c:v>25.052154783982889</c:v>
                </c:pt>
                <c:pt idx="21">
                  <c:v>24.827927724889971</c:v>
                </c:pt>
                <c:pt idx="22">
                  <c:v>24.624700740616344</c:v>
                </c:pt>
                <c:pt idx="23">
                  <c:v>24.793139121753732</c:v>
                </c:pt>
                <c:pt idx="24">
                  <c:v>25.046369722770265</c:v>
                </c:pt>
                <c:pt idx="25">
                  <c:v>24.723871888470061</c:v>
                </c:pt>
                <c:pt idx="26">
                  <c:v>24.967844358658336</c:v>
                </c:pt>
                <c:pt idx="27">
                  <c:v>24.585845079938579</c:v>
                </c:pt>
                <c:pt idx="28">
                  <c:v>23.260358430344102</c:v>
                </c:pt>
                <c:pt idx="29">
                  <c:v>22.827311091322372</c:v>
                </c:pt>
                <c:pt idx="30">
                  <c:v>23.988416929719858</c:v>
                </c:pt>
                <c:pt idx="31">
                  <c:v>24.913783126525313</c:v>
                </c:pt>
                <c:pt idx="32">
                  <c:v>22.928877966804567</c:v>
                </c:pt>
                <c:pt idx="33">
                  <c:v>25.119108734790057</c:v>
                </c:pt>
                <c:pt idx="34">
                  <c:v>23.172080586236589</c:v>
                </c:pt>
                <c:pt idx="35">
                  <c:v>23.676082282989359</c:v>
                </c:pt>
                <c:pt idx="36">
                  <c:v>24.551523331430303</c:v>
                </c:pt>
                <c:pt idx="37">
                  <c:v>23.808481939395843</c:v>
                </c:pt>
                <c:pt idx="38">
                  <c:v>24.296464428131038</c:v>
                </c:pt>
                <c:pt idx="39">
                  <c:v>23.987067051110433</c:v>
                </c:pt>
                <c:pt idx="40">
                  <c:v>25.596444386403881</c:v>
                </c:pt>
                <c:pt idx="41">
                  <c:v>24.117105593747258</c:v>
                </c:pt>
                <c:pt idx="42">
                  <c:v>24.309163404826297</c:v>
                </c:pt>
                <c:pt idx="43">
                  <c:v>24.26107751758277</c:v>
                </c:pt>
                <c:pt idx="44">
                  <c:v>24.835683505983031</c:v>
                </c:pt>
                <c:pt idx="45">
                  <c:v>24.178666884610109</c:v>
                </c:pt>
                <c:pt idx="46">
                  <c:v>24.32402685371931</c:v>
                </c:pt>
                <c:pt idx="47">
                  <c:v>24.971576547628153</c:v>
                </c:pt>
                <c:pt idx="48">
                  <c:v>25.137206309410125</c:v>
                </c:pt>
                <c:pt idx="49">
                  <c:v>24.869899075032091</c:v>
                </c:pt>
                <c:pt idx="50">
                  <c:v>23.997415109349664</c:v>
                </c:pt>
                <c:pt idx="51">
                  <c:v>25.280963739051508</c:v>
                </c:pt>
                <c:pt idx="52">
                  <c:v>24.64042917858573</c:v>
                </c:pt>
                <c:pt idx="53">
                  <c:v>25.003656025955657</c:v>
                </c:pt>
                <c:pt idx="54">
                  <c:v>26.277573313003284</c:v>
                </c:pt>
                <c:pt idx="55">
                  <c:v>24.389326069964827</c:v>
                </c:pt>
                <c:pt idx="56">
                  <c:v>25.314196116748828</c:v>
                </c:pt>
              </c:numCache>
            </c:numRef>
          </c:xVal>
          <c:yVal>
            <c:numRef>
              <c:f>'Zürich-Leimbach_Aabach'!$G$214:$G$270</c:f>
              <c:numCache>
                <c:formatCode>0.00</c:formatCode>
                <c:ptCount val="57"/>
                <c:pt idx="0">
                  <c:v>-1.292945487430893</c:v>
                </c:pt>
                <c:pt idx="1">
                  <c:v>-0.68774545976375479</c:v>
                </c:pt>
                <c:pt idx="2">
                  <c:v>-6.2986660021672467</c:v>
                </c:pt>
                <c:pt idx="3">
                  <c:v>-6.1368014340805344</c:v>
                </c:pt>
                <c:pt idx="4">
                  <c:v>-5.8079517599794768</c:v>
                </c:pt>
                <c:pt idx="5">
                  <c:v>-6.4846604013042839</c:v>
                </c:pt>
                <c:pt idx="6">
                  <c:v>-6.0203218857908922</c:v>
                </c:pt>
                <c:pt idx="7">
                  <c:v>-6.2184118125818246</c:v>
                </c:pt>
                <c:pt idx="8">
                  <c:v>-3.0907783410085425</c:v>
                </c:pt>
                <c:pt idx="9">
                  <c:v>-3.6958697944787526</c:v>
                </c:pt>
                <c:pt idx="10">
                  <c:v>-2.7588609274775355</c:v>
                </c:pt>
                <c:pt idx="11">
                  <c:v>-2.3718138279344756</c:v>
                </c:pt>
                <c:pt idx="12">
                  <c:v>-1.6827683169929004</c:v>
                </c:pt>
                <c:pt idx="13">
                  <c:v>-1.2402516998710793</c:v>
                </c:pt>
                <c:pt idx="14">
                  <c:v>-0.75239771537931133</c:v>
                </c:pt>
                <c:pt idx="15">
                  <c:v>-1.1083495169600976</c:v>
                </c:pt>
                <c:pt idx="16">
                  <c:v>-2.0850904551006986</c:v>
                </c:pt>
                <c:pt idx="17">
                  <c:v>-1.7249852565251478</c:v>
                </c:pt>
                <c:pt idx="18">
                  <c:v>-1.8853332579887385</c:v>
                </c:pt>
                <c:pt idx="19">
                  <c:v>-2.3962347158318775</c:v>
                </c:pt>
                <c:pt idx="20">
                  <c:v>-1.1971759054963818</c:v>
                </c:pt>
                <c:pt idx="21">
                  <c:v>-1.6412883436948835</c:v>
                </c:pt>
                <c:pt idx="22">
                  <c:v>-0.43895976564703476</c:v>
                </c:pt>
                <c:pt idx="23">
                  <c:v>-0.39973484837484646</c:v>
                </c:pt>
                <c:pt idx="24">
                  <c:v>-1.7047399989212821</c:v>
                </c:pt>
                <c:pt idx="25">
                  <c:v>-2.53508500885511</c:v>
                </c:pt>
                <c:pt idx="26">
                  <c:v>-2.5693274030633702</c:v>
                </c:pt>
                <c:pt idx="27">
                  <c:v>-2.1311954797396466</c:v>
                </c:pt>
                <c:pt idx="28">
                  <c:v>-5.7177444879121531</c:v>
                </c:pt>
                <c:pt idx="29">
                  <c:v>-4.6714373184042746</c:v>
                </c:pt>
                <c:pt idx="30">
                  <c:v>-3.2341795331005909</c:v>
                </c:pt>
                <c:pt idx="31">
                  <c:v>-1.2574700124063101</c:v>
                </c:pt>
                <c:pt idx="32">
                  <c:v>-5.626557616329813</c:v>
                </c:pt>
                <c:pt idx="33">
                  <c:v>-0.91814859336382071</c:v>
                </c:pt>
                <c:pt idx="34">
                  <c:v>-4.0677252045531249</c:v>
                </c:pt>
                <c:pt idx="35">
                  <c:v>-3.4134316305750372</c:v>
                </c:pt>
                <c:pt idx="36">
                  <c:v>-2.1655580687297897</c:v>
                </c:pt>
                <c:pt idx="37">
                  <c:v>-2.8283599623485545</c:v>
                </c:pt>
                <c:pt idx="38">
                  <c:v>-0.95361270619235572</c:v>
                </c:pt>
                <c:pt idx="39">
                  <c:v>-0.95496458748499558</c:v>
                </c:pt>
                <c:pt idx="40">
                  <c:v>-3.2356756138328358</c:v>
                </c:pt>
                <c:pt idx="41">
                  <c:v>-6.6861862390272009</c:v>
                </c:pt>
                <c:pt idx="42">
                  <c:v>-6.4644995956499756</c:v>
                </c:pt>
                <c:pt idx="43">
                  <c:v>-6.563944619725941</c:v>
                </c:pt>
                <c:pt idx="44">
                  <c:v>-6.0379664598936058</c:v>
                </c:pt>
                <c:pt idx="45">
                  <c:v>-5.2974537270537141</c:v>
                </c:pt>
                <c:pt idx="46">
                  <c:v>-6.8090910027475253</c:v>
                </c:pt>
                <c:pt idx="47">
                  <c:v>-0.50301266903394792</c:v>
                </c:pt>
                <c:pt idx="48">
                  <c:v>-0.39573593412188807</c:v>
                </c:pt>
                <c:pt idx="49">
                  <c:v>-0.53787527333409368</c:v>
                </c:pt>
                <c:pt idx="50">
                  <c:v>-2.3470186862922957</c:v>
                </c:pt>
                <c:pt idx="51">
                  <c:v>-0.63904052103694697</c:v>
                </c:pt>
                <c:pt idx="52">
                  <c:v>-1.0931918107935377</c:v>
                </c:pt>
                <c:pt idx="53">
                  <c:v>-0.82337327441629649</c:v>
                </c:pt>
                <c:pt idx="54">
                  <c:v>-0.53802428942097813</c:v>
                </c:pt>
                <c:pt idx="55">
                  <c:v>-4.0225797006048634</c:v>
                </c:pt>
                <c:pt idx="56">
                  <c:v>-1.4541082996971788</c:v>
                </c:pt>
              </c:numCache>
            </c:numRef>
          </c:yVal>
          <c:smooth val="0"/>
          <c:extLst xmlns:c16r2="http://schemas.microsoft.com/office/drawing/2015/06/chart">
            <c:ext xmlns:c16="http://schemas.microsoft.com/office/drawing/2014/chart" uri="{C3380CC4-5D6E-409C-BE32-E72D297353CC}">
              <c16:uniqueId val="{00000001-6871-44CB-9AF1-F857873622FB}"/>
            </c:ext>
          </c:extLst>
        </c:ser>
        <c:ser>
          <c:idx val="7"/>
          <c:order val="2"/>
          <c:tx>
            <c:v>individual nodules</c:v>
          </c:tx>
          <c:spPr>
            <a:ln w="28575">
              <a:noFill/>
            </a:ln>
          </c:spPr>
          <c:marker>
            <c:symbol val="circle"/>
            <c:size val="7"/>
            <c:spPr>
              <a:solidFill>
                <a:schemeClr val="bg1">
                  <a:lumMod val="85000"/>
                </a:schemeClr>
              </a:solidFill>
              <a:ln>
                <a:solidFill>
                  <a:schemeClr val="bg1">
                    <a:lumMod val="85000"/>
                  </a:schemeClr>
                </a:solidFill>
              </a:ln>
            </c:spPr>
          </c:marker>
          <c:xVal>
            <c:numRef>
              <c:f>Jona!$D$156:$D$255</c:f>
              <c:numCache>
                <c:formatCode>0.00</c:formatCode>
                <c:ptCount val="100"/>
                <c:pt idx="0">
                  <c:v>21.555338633063194</c:v>
                </c:pt>
                <c:pt idx="1">
                  <c:v>21.95281261343785</c:v>
                </c:pt>
                <c:pt idx="2">
                  <c:v>21.727737790811528</c:v>
                </c:pt>
                <c:pt idx="3">
                  <c:v>21.174011326497315</c:v>
                </c:pt>
                <c:pt idx="4">
                  <c:v>21.994473777485929</c:v>
                </c:pt>
                <c:pt idx="5">
                  <c:v>22.240858001200351</c:v>
                </c:pt>
                <c:pt idx="6">
                  <c:v>20.896984496149738</c:v>
                </c:pt>
                <c:pt idx="7">
                  <c:v>20.996719925494073</c:v>
                </c:pt>
                <c:pt idx="8">
                  <c:v>21.032053285487169</c:v>
                </c:pt>
                <c:pt idx="9">
                  <c:v>21.205282475417626</c:v>
                </c:pt>
                <c:pt idx="10">
                  <c:v>22.051678797359184</c:v>
                </c:pt>
                <c:pt idx="11">
                  <c:v>22.392338533798387</c:v>
                </c:pt>
                <c:pt idx="12">
                  <c:v>21.920940148247915</c:v>
                </c:pt>
                <c:pt idx="13">
                  <c:v>21.340489223254846</c:v>
                </c:pt>
                <c:pt idx="14">
                  <c:v>21.50464837644903</c:v>
                </c:pt>
                <c:pt idx="15">
                  <c:v>21.195338809481875</c:v>
                </c:pt>
                <c:pt idx="16">
                  <c:v>21.376144594466538</c:v>
                </c:pt>
                <c:pt idx="17">
                  <c:v>21.620637005916141</c:v>
                </c:pt>
                <c:pt idx="18">
                  <c:v>21.409506958702945</c:v>
                </c:pt>
                <c:pt idx="19">
                  <c:v>22.042678276098425</c:v>
                </c:pt>
                <c:pt idx="20">
                  <c:v>25.308703233054608</c:v>
                </c:pt>
                <c:pt idx="21">
                  <c:v>23.154449881547325</c:v>
                </c:pt>
                <c:pt idx="22">
                  <c:v>27.843476910075761</c:v>
                </c:pt>
                <c:pt idx="23">
                  <c:v>21.904468462927898</c:v>
                </c:pt>
                <c:pt idx="24">
                  <c:v>23.076463420429477</c:v>
                </c:pt>
                <c:pt idx="25">
                  <c:v>22.446729883938474</c:v>
                </c:pt>
                <c:pt idx="26">
                  <c:v>23.675484871231696</c:v>
                </c:pt>
                <c:pt idx="27">
                  <c:v>22.881458576180982</c:v>
                </c:pt>
                <c:pt idx="28">
                  <c:v>22.373471671082612</c:v>
                </c:pt>
                <c:pt idx="29">
                  <c:v>21.964873629700886</c:v>
                </c:pt>
                <c:pt idx="30">
                  <c:v>21.622858468114515</c:v>
                </c:pt>
                <c:pt idx="31">
                  <c:v>21.687458576207838</c:v>
                </c:pt>
                <c:pt idx="32">
                  <c:v>23.773602340478096</c:v>
                </c:pt>
                <c:pt idx="33">
                  <c:v>23.458847283136272</c:v>
                </c:pt>
                <c:pt idx="34">
                  <c:v>22.673070045045598</c:v>
                </c:pt>
                <c:pt idx="35">
                  <c:v>20.957659365142916</c:v>
                </c:pt>
                <c:pt idx="36">
                  <c:v>21.401033146308386</c:v>
                </c:pt>
                <c:pt idx="37">
                  <c:v>21.770971296058757</c:v>
                </c:pt>
                <c:pt idx="38">
                  <c:v>21.505101900382147</c:v>
                </c:pt>
                <c:pt idx="39">
                  <c:v>21.391698214769114</c:v>
                </c:pt>
                <c:pt idx="40">
                  <c:v>20.893483213305071</c:v>
                </c:pt>
                <c:pt idx="41">
                  <c:v>21.168928659209726</c:v>
                </c:pt>
                <c:pt idx="42">
                  <c:v>21.714687310466978</c:v>
                </c:pt>
                <c:pt idx="43">
                  <c:v>24.963141784746313</c:v>
                </c:pt>
                <c:pt idx="44">
                  <c:v>24.296255635026714</c:v>
                </c:pt>
                <c:pt idx="45">
                  <c:v>23.847557885107726</c:v>
                </c:pt>
                <c:pt idx="46">
                  <c:v>24.894393833868101</c:v>
                </c:pt>
                <c:pt idx="47">
                  <c:v>21.786613506003057</c:v>
                </c:pt>
                <c:pt idx="48">
                  <c:v>21.22661689752627</c:v>
                </c:pt>
                <c:pt idx="49">
                  <c:v>22.071190703142133</c:v>
                </c:pt>
                <c:pt idx="50">
                  <c:v>22.027012216408668</c:v>
                </c:pt>
                <c:pt idx="51">
                  <c:v>22.284135395222517</c:v>
                </c:pt>
                <c:pt idx="52">
                  <c:v>23.670248646511705</c:v>
                </c:pt>
                <c:pt idx="53">
                  <c:v>22.333457811505404</c:v>
                </c:pt>
                <c:pt idx="54">
                  <c:v>25.539360550645586</c:v>
                </c:pt>
                <c:pt idx="55">
                  <c:v>23.047615494747252</c:v>
                </c:pt>
                <c:pt idx="56">
                  <c:v>26.614604939578605</c:v>
                </c:pt>
                <c:pt idx="57">
                  <c:v>26.634608216423111</c:v>
                </c:pt>
                <c:pt idx="58">
                  <c:v>23.750543394456621</c:v>
                </c:pt>
                <c:pt idx="59">
                  <c:v>21.229650688158923</c:v>
                </c:pt>
                <c:pt idx="60">
                  <c:v>22.650893881810845</c:v>
                </c:pt>
                <c:pt idx="61">
                  <c:v>21.842105476015448</c:v>
                </c:pt>
                <c:pt idx="62">
                  <c:v>21.483617569267334</c:v>
                </c:pt>
                <c:pt idx="63">
                  <c:v>21.81319242740032</c:v>
                </c:pt>
                <c:pt idx="64">
                  <c:v>21.409367985287677</c:v>
                </c:pt>
                <c:pt idx="65">
                  <c:v>21.193095086506489</c:v>
                </c:pt>
                <c:pt idx="66">
                  <c:v>21.118132812483996</c:v>
                </c:pt>
                <c:pt idx="67">
                  <c:v>24.124564189110671</c:v>
                </c:pt>
                <c:pt idx="68">
                  <c:v>24.200362554443132</c:v>
                </c:pt>
                <c:pt idx="69">
                  <c:v>22.883003222726078</c:v>
                </c:pt>
                <c:pt idx="70">
                  <c:v>22.561170381128086</c:v>
                </c:pt>
                <c:pt idx="71">
                  <c:v>22.880233048974866</c:v>
                </c:pt>
                <c:pt idx="72">
                  <c:v>23.437649317153934</c:v>
                </c:pt>
                <c:pt idx="73">
                  <c:v>22.954739006161706</c:v>
                </c:pt>
                <c:pt idx="74">
                  <c:v>23.833220258073492</c:v>
                </c:pt>
                <c:pt idx="75">
                  <c:v>23.40116278853851</c:v>
                </c:pt>
                <c:pt idx="76">
                  <c:v>22.066447713999622</c:v>
                </c:pt>
                <c:pt idx="77">
                  <c:v>23.085823416679588</c:v>
                </c:pt>
                <c:pt idx="78">
                  <c:v>22.95573387731492</c:v>
                </c:pt>
                <c:pt idx="79">
                  <c:v>23.214272475088901</c:v>
                </c:pt>
                <c:pt idx="80">
                  <c:v>25.258944055380425</c:v>
                </c:pt>
                <c:pt idx="81">
                  <c:v>26.018632953858454</c:v>
                </c:pt>
                <c:pt idx="82">
                  <c:v>23.529541352492064</c:v>
                </c:pt>
                <c:pt idx="83">
                  <c:v>23.678460763912248</c:v>
                </c:pt>
                <c:pt idx="84">
                  <c:v>23.506878921711358</c:v>
                </c:pt>
                <c:pt idx="85">
                  <c:v>22.965061462238438</c:v>
                </c:pt>
                <c:pt idx="86">
                  <c:v>22.11222885580424</c:v>
                </c:pt>
                <c:pt idx="87">
                  <c:v>22.58608864350073</c:v>
                </c:pt>
                <c:pt idx="88">
                  <c:v>21.889760516375425</c:v>
                </c:pt>
                <c:pt idx="89">
                  <c:v>22.824498180977614</c:v>
                </c:pt>
                <c:pt idx="90">
                  <c:v>22.145060880732615</c:v>
                </c:pt>
                <c:pt idx="91">
                  <c:v>22.340909074244728</c:v>
                </c:pt>
                <c:pt idx="92">
                  <c:v>22.621026898985082</c:v>
                </c:pt>
                <c:pt idx="93">
                  <c:v>22.068714623362329</c:v>
                </c:pt>
                <c:pt idx="94">
                  <c:v>22.139608167695609</c:v>
                </c:pt>
                <c:pt idx="95">
                  <c:v>23.215534468404556</c:v>
                </c:pt>
                <c:pt idx="96">
                  <c:v>22.236242751384136</c:v>
                </c:pt>
                <c:pt idx="97">
                  <c:v>23.089910264452275</c:v>
                </c:pt>
                <c:pt idx="98">
                  <c:v>23.557908826738498</c:v>
                </c:pt>
                <c:pt idx="99">
                  <c:v>23.758362068181999</c:v>
                </c:pt>
              </c:numCache>
            </c:numRef>
          </c:xVal>
          <c:yVal>
            <c:numRef>
              <c:f>Jona!$E$156:$E$255</c:f>
              <c:numCache>
                <c:formatCode>0.00</c:formatCode>
                <c:ptCount val="100"/>
                <c:pt idx="0">
                  <c:v>-6.0921950595389944</c:v>
                </c:pt>
                <c:pt idx="1">
                  <c:v>-5.2687740187727128</c:v>
                </c:pt>
                <c:pt idx="2">
                  <c:v>-5.6256800235651703</c:v>
                </c:pt>
                <c:pt idx="3">
                  <c:v>-6.3980732309636945</c:v>
                </c:pt>
                <c:pt idx="4">
                  <c:v>-6.8738189927916569</c:v>
                </c:pt>
                <c:pt idx="5">
                  <c:v>-6.691118267006714</c:v>
                </c:pt>
                <c:pt idx="6">
                  <c:v>-3.9037857001669169</c:v>
                </c:pt>
                <c:pt idx="7">
                  <c:v>-3.8952196347558696</c:v>
                </c:pt>
                <c:pt idx="8">
                  <c:v>-3.9841311869045337</c:v>
                </c:pt>
                <c:pt idx="9">
                  <c:v>-3.775017889106449</c:v>
                </c:pt>
                <c:pt idx="10">
                  <c:v>-4.4682582268304172</c:v>
                </c:pt>
                <c:pt idx="11">
                  <c:v>-3.0205081252466819</c:v>
                </c:pt>
                <c:pt idx="12">
                  <c:v>-4.1549971109081225</c:v>
                </c:pt>
                <c:pt idx="13">
                  <c:v>-4.7016731629651387</c:v>
                </c:pt>
                <c:pt idx="14">
                  <c:v>-5.8565045421779232</c:v>
                </c:pt>
                <c:pt idx="15">
                  <c:v>-4.3914322500432803</c:v>
                </c:pt>
                <c:pt idx="16">
                  <c:v>-5.669804709415601</c:v>
                </c:pt>
                <c:pt idx="17">
                  <c:v>-6.0903711977618604</c:v>
                </c:pt>
                <c:pt idx="18">
                  <c:v>-5.4498842595817569</c:v>
                </c:pt>
                <c:pt idx="19">
                  <c:v>-4.9815824698794948</c:v>
                </c:pt>
                <c:pt idx="20">
                  <c:v>0.33984657718381123</c:v>
                </c:pt>
                <c:pt idx="21">
                  <c:v>-2.9545986869770013</c:v>
                </c:pt>
                <c:pt idx="22">
                  <c:v>2.2444589492341467</c:v>
                </c:pt>
                <c:pt idx="23">
                  <c:v>-3.6567617018133869</c:v>
                </c:pt>
                <c:pt idx="24">
                  <c:v>-2.432280265900352</c:v>
                </c:pt>
                <c:pt idx="25">
                  <c:v>-3.0489946463197395</c:v>
                </c:pt>
                <c:pt idx="26">
                  <c:v>-0.66355113061789539</c:v>
                </c:pt>
                <c:pt idx="27">
                  <c:v>-4.5253722491551986</c:v>
                </c:pt>
                <c:pt idx="28">
                  <c:v>-4.7485006123551461</c:v>
                </c:pt>
                <c:pt idx="29">
                  <c:v>-5.6778537144590127</c:v>
                </c:pt>
                <c:pt idx="30">
                  <c:v>-4.9263332541945317</c:v>
                </c:pt>
                <c:pt idx="31">
                  <c:v>-4.9848333986997293</c:v>
                </c:pt>
                <c:pt idx="32">
                  <c:v>-5.9255041034035552</c:v>
                </c:pt>
                <c:pt idx="33">
                  <c:v>-5.9437788531820228</c:v>
                </c:pt>
                <c:pt idx="34">
                  <c:v>-2.6931123976728504</c:v>
                </c:pt>
                <c:pt idx="35">
                  <c:v>-4.5298084425250034</c:v>
                </c:pt>
                <c:pt idx="36">
                  <c:v>-4.0726683809983522</c:v>
                </c:pt>
                <c:pt idx="37">
                  <c:v>-3.7068596740650706</c:v>
                </c:pt>
                <c:pt idx="38">
                  <c:v>-3.8437749740053744</c:v>
                </c:pt>
                <c:pt idx="39">
                  <c:v>-4.44722898923155</c:v>
                </c:pt>
                <c:pt idx="40">
                  <c:v>-4.5496191766198582</c:v>
                </c:pt>
                <c:pt idx="41">
                  <c:v>-4.0778048259327964</c:v>
                </c:pt>
                <c:pt idx="42">
                  <c:v>-3.8337179579388789</c:v>
                </c:pt>
                <c:pt idx="43">
                  <c:v>2.1033839342713467E-2</c:v>
                </c:pt>
                <c:pt idx="44">
                  <c:v>0.14330881165874829</c:v>
                </c:pt>
                <c:pt idx="45">
                  <c:v>-0.61693542159165793</c:v>
                </c:pt>
                <c:pt idx="46">
                  <c:v>-0.17554862858979187</c:v>
                </c:pt>
                <c:pt idx="47">
                  <c:v>-3.4321268511144805</c:v>
                </c:pt>
                <c:pt idx="48">
                  <c:v>-4.0516401635812391</c:v>
                </c:pt>
                <c:pt idx="49">
                  <c:v>-3.2906496708309674</c:v>
                </c:pt>
                <c:pt idx="50">
                  <c:v>-3.3559504404767226</c:v>
                </c:pt>
                <c:pt idx="51">
                  <c:v>-3.6441386274975174</c:v>
                </c:pt>
                <c:pt idx="52">
                  <c:v>-1.4455833024298972</c:v>
                </c:pt>
                <c:pt idx="53">
                  <c:v>-2.6856839587043653</c:v>
                </c:pt>
                <c:pt idx="54">
                  <c:v>0.34992145786339734</c:v>
                </c:pt>
                <c:pt idx="55">
                  <c:v>-2.7665130342289488</c:v>
                </c:pt>
                <c:pt idx="56">
                  <c:v>1.2791213953587439</c:v>
                </c:pt>
                <c:pt idx="57">
                  <c:v>1.2149713072339789</c:v>
                </c:pt>
                <c:pt idx="58">
                  <c:v>-0.12712288281128337</c:v>
                </c:pt>
                <c:pt idx="59">
                  <c:v>-2.981612966540419</c:v>
                </c:pt>
                <c:pt idx="60">
                  <c:v>-3.9052677627505838</c:v>
                </c:pt>
                <c:pt idx="61">
                  <c:v>-3.9089571898758093</c:v>
                </c:pt>
                <c:pt idx="62">
                  <c:v>-4.9294581224387004</c:v>
                </c:pt>
                <c:pt idx="63">
                  <c:v>-4.0731501335814633</c:v>
                </c:pt>
                <c:pt idx="64">
                  <c:v>-4.8034537584377279</c:v>
                </c:pt>
                <c:pt idx="65">
                  <c:v>-4.8445695250523846</c:v>
                </c:pt>
                <c:pt idx="66">
                  <c:v>-5.1839580376902124</c:v>
                </c:pt>
                <c:pt idx="67">
                  <c:v>-6.1368443623270359</c:v>
                </c:pt>
                <c:pt idx="68">
                  <c:v>-6.1037416916157712</c:v>
                </c:pt>
                <c:pt idx="69">
                  <c:v>-7.2925666536211136</c:v>
                </c:pt>
                <c:pt idx="70">
                  <c:v>-7.299189418622051</c:v>
                </c:pt>
                <c:pt idx="71">
                  <c:v>-7.0243887310451587</c:v>
                </c:pt>
                <c:pt idx="72">
                  <c:v>-7.6169385463621007</c:v>
                </c:pt>
                <c:pt idx="73">
                  <c:v>-7.2273718246221961</c:v>
                </c:pt>
                <c:pt idx="74">
                  <c:v>-7.1505849599690592</c:v>
                </c:pt>
                <c:pt idx="75">
                  <c:v>-7.6959704366625417</c:v>
                </c:pt>
                <c:pt idx="76">
                  <c:v>-7.5802317310162941</c:v>
                </c:pt>
                <c:pt idx="77">
                  <c:v>-9.0889149586002684</c:v>
                </c:pt>
                <c:pt idx="78">
                  <c:v>-7.92421400348859</c:v>
                </c:pt>
                <c:pt idx="79">
                  <c:v>-8.4685697849821473</c:v>
                </c:pt>
                <c:pt idx="80">
                  <c:v>-1.8118866451737512</c:v>
                </c:pt>
                <c:pt idx="81">
                  <c:v>-1.1117949064264521</c:v>
                </c:pt>
                <c:pt idx="82">
                  <c:v>-0.8337337878739054</c:v>
                </c:pt>
                <c:pt idx="83">
                  <c:v>-0.69908647169304483</c:v>
                </c:pt>
                <c:pt idx="84">
                  <c:v>-0.7785720755854435</c:v>
                </c:pt>
                <c:pt idx="85">
                  <c:v>-4.70916967883291</c:v>
                </c:pt>
                <c:pt idx="86">
                  <c:v>-3.0459751853560944</c:v>
                </c:pt>
                <c:pt idx="87">
                  <c:v>-4.8560721736908361</c:v>
                </c:pt>
                <c:pt idx="88">
                  <c:v>-5.7785237432171774</c:v>
                </c:pt>
                <c:pt idx="89">
                  <c:v>-3.5210073369930805</c:v>
                </c:pt>
                <c:pt idx="90">
                  <c:v>-4.6907669624635924</c:v>
                </c:pt>
                <c:pt idx="91">
                  <c:v>-5.1000108887521591</c:v>
                </c:pt>
                <c:pt idx="92">
                  <c:v>-3.2244128994854955</c:v>
                </c:pt>
                <c:pt idx="93">
                  <c:v>-5.9260120061444095</c:v>
                </c:pt>
                <c:pt idx="94">
                  <c:v>-4.6165899954797425</c:v>
                </c:pt>
                <c:pt idx="95">
                  <c:v>-3.3931144113087153</c:v>
                </c:pt>
                <c:pt idx="96">
                  <c:v>-4.9357094345969728</c:v>
                </c:pt>
                <c:pt idx="97">
                  <c:v>-5.4382469092571988</c:v>
                </c:pt>
                <c:pt idx="98">
                  <c:v>-5.3821258097960758</c:v>
                </c:pt>
                <c:pt idx="99">
                  <c:v>-3.9244491373321448</c:v>
                </c:pt>
              </c:numCache>
            </c:numRef>
          </c:yVal>
          <c:smooth val="0"/>
          <c:extLst xmlns:c16r2="http://schemas.microsoft.com/office/drawing/2015/06/chart">
            <c:ext xmlns:c16="http://schemas.microsoft.com/office/drawing/2014/chart" uri="{C3380CC4-5D6E-409C-BE32-E72D297353CC}">
              <c16:uniqueId val="{00000002-6871-44CB-9AF1-F857873622FB}"/>
            </c:ext>
          </c:extLst>
        </c:ser>
        <c:ser>
          <c:idx val="0"/>
          <c:order val="3"/>
          <c:tx>
            <c:v>Fontannen</c:v>
          </c:tx>
          <c:spPr>
            <a:ln w="28575">
              <a:noFill/>
            </a:ln>
          </c:spPr>
          <c:marker>
            <c:symbol val="circle"/>
            <c:size val="7"/>
            <c:spPr>
              <a:solidFill>
                <a:schemeClr val="tx2">
                  <a:lumMod val="60000"/>
                  <a:lumOff val="40000"/>
                </a:schemeClr>
              </a:solidFill>
              <a:ln>
                <a:solidFill>
                  <a:schemeClr val="tx2">
                    <a:lumMod val="50000"/>
                  </a:schemeClr>
                </a:solidFill>
              </a:ln>
            </c:spPr>
          </c:marker>
          <c:xVal>
            <c:numRef>
              <c:f>Fontannen!$J$307:$J$318</c:f>
              <c:numCache>
                <c:formatCode>0.00</c:formatCode>
                <c:ptCount val="12"/>
                <c:pt idx="0">
                  <c:v>20.473589484314623</c:v>
                </c:pt>
                <c:pt idx="1">
                  <c:v>19.605900248120037</c:v>
                </c:pt>
                <c:pt idx="2">
                  <c:v>19.930861849827654</c:v>
                </c:pt>
                <c:pt idx="3">
                  <c:v>20.070394590926</c:v>
                </c:pt>
                <c:pt idx="4">
                  <c:v>19.845631890660268</c:v>
                </c:pt>
                <c:pt idx="5">
                  <c:v>19.615375726458236</c:v>
                </c:pt>
                <c:pt idx="6">
                  <c:v>19.634097729729877</c:v>
                </c:pt>
                <c:pt idx="7">
                  <c:v>20.652889545310618</c:v>
                </c:pt>
                <c:pt idx="8">
                  <c:v>20.154020339007307</c:v>
                </c:pt>
                <c:pt idx="9">
                  <c:v>19.926720416092909</c:v>
                </c:pt>
                <c:pt idx="10">
                  <c:v>19.848091543421294</c:v>
                </c:pt>
                <c:pt idx="11">
                  <c:v>19.805349295575702</c:v>
                </c:pt>
              </c:numCache>
            </c:numRef>
          </c:xVal>
          <c:yVal>
            <c:numRef>
              <c:f>Fontannen!$L$307:$L$318</c:f>
              <c:numCache>
                <c:formatCode>0.00</c:formatCode>
                <c:ptCount val="12"/>
                <c:pt idx="0">
                  <c:v>-5.8030139400000014</c:v>
                </c:pt>
                <c:pt idx="1">
                  <c:v>-5.9886372666067924</c:v>
                </c:pt>
                <c:pt idx="2">
                  <c:v>-4.0124900366666667</c:v>
                </c:pt>
                <c:pt idx="3">
                  <c:v>-4.6745207524999994</c:v>
                </c:pt>
                <c:pt idx="4">
                  <c:v>-4.0669170100000001</c:v>
                </c:pt>
                <c:pt idx="5">
                  <c:v>-4.975192953333333</c:v>
                </c:pt>
                <c:pt idx="6">
                  <c:v>-5.8265316283333339</c:v>
                </c:pt>
                <c:pt idx="7">
                  <c:v>-4.0200024074999989</c:v>
                </c:pt>
                <c:pt idx="8">
                  <c:v>-5.2964425057142863</c:v>
                </c:pt>
                <c:pt idx="9">
                  <c:v>-3.8924721133333322</c:v>
                </c:pt>
                <c:pt idx="10">
                  <c:v>-4.2458422333333337</c:v>
                </c:pt>
                <c:pt idx="11">
                  <c:v>-2.8225005750000003</c:v>
                </c:pt>
              </c:numCache>
            </c:numRef>
          </c:yVal>
          <c:smooth val="0"/>
          <c:extLst xmlns:c16r2="http://schemas.microsoft.com/office/drawing/2015/06/chart">
            <c:ext xmlns:c16="http://schemas.microsoft.com/office/drawing/2014/chart" uri="{C3380CC4-5D6E-409C-BE32-E72D297353CC}">
              <c16:uniqueId val="{00000003-6871-44CB-9AF1-F857873622FB}"/>
            </c:ext>
          </c:extLst>
        </c:ser>
        <c:ser>
          <c:idx val="1"/>
          <c:order val="4"/>
          <c:tx>
            <c:v>Jona</c:v>
          </c:tx>
          <c:spPr>
            <a:ln w="28575">
              <a:noFill/>
            </a:ln>
          </c:spPr>
          <c:marker>
            <c:symbol val="circle"/>
            <c:size val="7"/>
            <c:spPr>
              <a:solidFill>
                <a:schemeClr val="accent3"/>
              </a:solidFill>
              <a:ln>
                <a:solidFill>
                  <a:schemeClr val="accent3">
                    <a:lumMod val="50000"/>
                  </a:schemeClr>
                </a:solidFill>
              </a:ln>
            </c:spPr>
          </c:marker>
          <c:xVal>
            <c:numRef>
              <c:f>Jona!$F$287:$F$325</c:f>
              <c:numCache>
                <c:formatCode>0.00</c:formatCode>
                <c:ptCount val="39"/>
                <c:pt idx="0">
                  <c:v>21.754075623250522</c:v>
                </c:pt>
                <c:pt idx="1">
                  <c:v>21.450874558654419</c:v>
                </c:pt>
                <c:pt idx="2">
                  <c:v>22.11766588934314</c:v>
                </c:pt>
                <c:pt idx="3">
                  <c:v>20.946852210821906</c:v>
                </c:pt>
                <c:pt idx="4">
                  <c:v>21.118667880452399</c:v>
                </c:pt>
                <c:pt idx="5">
                  <c:v>21.926361675665085</c:v>
                </c:pt>
                <c:pt idx="6">
                  <c:v>21.424192196578396</c:v>
                </c:pt>
                <c:pt idx="7">
                  <c:v>21.831657641007283</c:v>
                </c:pt>
                <c:pt idx="8">
                  <c:v>22.920296155951991</c:v>
                </c:pt>
                <c:pt idx="9">
                  <c:v>25.498963395811543</c:v>
                </c:pt>
                <c:pt idx="10">
                  <c:v>22.775786659631883</c:v>
                </c:pt>
                <c:pt idx="11">
                  <c:v>22.406601292321493</c:v>
                </c:pt>
                <c:pt idx="12">
                  <c:v>21.655158522161177</c:v>
                </c:pt>
                <c:pt idx="13">
                  <c:v>23.616224811807186</c:v>
                </c:pt>
                <c:pt idx="14">
                  <c:v>21.677254185498967</c:v>
                </c:pt>
                <c:pt idx="15">
                  <c:v>21.638036598220452</c:v>
                </c:pt>
                <c:pt idx="16">
                  <c:v>21.292199349437723</c:v>
                </c:pt>
                <c:pt idx="17">
                  <c:v>24.629698709886512</c:v>
                </c:pt>
                <c:pt idx="18">
                  <c:v>24.370975859487913</c:v>
                </c:pt>
                <c:pt idx="19">
                  <c:v>21.506615201764664</c:v>
                </c:pt>
                <c:pt idx="20">
                  <c:v>22.127446104924442</c:v>
                </c:pt>
                <c:pt idx="21">
                  <c:v>23.001853229008553</c:v>
                </c:pt>
                <c:pt idx="22">
                  <c:v>25.539360550645586</c:v>
                </c:pt>
                <c:pt idx="23">
                  <c:v>23.047615494747252</c:v>
                </c:pt>
                <c:pt idx="24">
                  <c:v>26.624606578000858</c:v>
                </c:pt>
                <c:pt idx="25">
                  <c:v>22.49009704130777</c:v>
                </c:pt>
                <c:pt idx="26">
                  <c:v>21.992205642364542</c:v>
                </c:pt>
                <c:pt idx="27">
                  <c:v>21.38344707791962</c:v>
                </c:pt>
                <c:pt idx="28">
                  <c:v>24.200362554443132</c:v>
                </c:pt>
                <c:pt idx="29">
                  <c:v>22.774802217609675</c:v>
                </c:pt>
                <c:pt idx="30">
                  <c:v>23.406692842481913</c:v>
                </c:pt>
                <c:pt idx="31">
                  <c:v>22.066447713999622</c:v>
                </c:pt>
                <c:pt idx="32">
                  <c:v>23.08527658969447</c:v>
                </c:pt>
                <c:pt idx="33">
                  <c:v>25.638788504619441</c:v>
                </c:pt>
                <c:pt idx="34">
                  <c:v>23.571627012705225</c:v>
                </c:pt>
                <c:pt idx="35">
                  <c:v>22.5544596538478</c:v>
                </c:pt>
                <c:pt idx="36">
                  <c:v>22.364251110263094</c:v>
                </c:pt>
                <c:pt idx="37">
                  <c:v>22.415025002711658</c:v>
                </c:pt>
                <c:pt idx="38">
                  <c:v>23.468727053124255</c:v>
                </c:pt>
              </c:numCache>
            </c:numRef>
          </c:xVal>
          <c:yVal>
            <c:numRef>
              <c:f>Jona!$G$287:$G$325</c:f>
              <c:numCache>
                <c:formatCode>0.00</c:formatCode>
                <c:ptCount val="39"/>
                <c:pt idx="0">
                  <c:v>-5.6804845391558541</c:v>
                </c:pt>
                <c:pt idx="1">
                  <c:v>-6.0118766272644324</c:v>
                </c:pt>
                <c:pt idx="2">
                  <c:v>-6.782468629899185</c:v>
                </c:pt>
                <c:pt idx="3">
                  <c:v>-3.8995026674613933</c:v>
                </c:pt>
                <c:pt idx="4">
                  <c:v>-3.8795745380054916</c:v>
                </c:pt>
                <c:pt idx="5">
                  <c:v>-4.0863591564875898</c:v>
                </c:pt>
                <c:pt idx="6">
                  <c:v>-5.5020281748496664</c:v>
                </c:pt>
                <c:pt idx="7">
                  <c:v>-5.5359768338206781</c:v>
                </c:pt>
                <c:pt idx="8">
                  <c:v>-3.3638733840924804</c:v>
                </c:pt>
                <c:pt idx="9">
                  <c:v>-0.35506986887142733</c:v>
                </c:pt>
                <c:pt idx="10">
                  <c:v>-2.4503969361628433</c:v>
                </c:pt>
                <c:pt idx="11">
                  <c:v>-4.9839088586564522</c:v>
                </c:pt>
                <c:pt idx="12">
                  <c:v>-4.9555833264471305</c:v>
                </c:pt>
                <c:pt idx="13">
                  <c:v>-5.9346414782927894</c:v>
                </c:pt>
                <c:pt idx="14">
                  <c:v>-3.7651964070654018</c:v>
                </c:pt>
                <c:pt idx="15">
                  <c:v>-3.7753173240352225</c:v>
                </c:pt>
                <c:pt idx="16">
                  <c:v>-4.2270927374307705</c:v>
                </c:pt>
                <c:pt idx="17">
                  <c:v>8.2171325500730877E-2</c:v>
                </c:pt>
                <c:pt idx="18">
                  <c:v>-0.39624202509072493</c:v>
                </c:pt>
                <c:pt idx="19">
                  <c:v>-3.7418835073478598</c:v>
                </c:pt>
                <c:pt idx="20">
                  <c:v>-3.430246246268402</c:v>
                </c:pt>
                <c:pt idx="21">
                  <c:v>-2.065633630567131</c:v>
                </c:pt>
                <c:pt idx="22">
                  <c:v>0.34992145786339734</c:v>
                </c:pt>
                <c:pt idx="23">
                  <c:v>-2.7665130342289488</c:v>
                </c:pt>
                <c:pt idx="24">
                  <c:v>1.2470463512963614</c:v>
                </c:pt>
                <c:pt idx="25">
                  <c:v>-1.5543679246758511</c:v>
                </c:pt>
                <c:pt idx="26">
                  <c:v>-4.2478943583550306</c:v>
                </c:pt>
                <c:pt idx="27">
                  <c:v>-4.7262828636904466</c:v>
                </c:pt>
                <c:pt idx="28">
                  <c:v>-6.1037416916157712</c:v>
                </c:pt>
                <c:pt idx="29">
                  <c:v>-7.2053816010961071</c:v>
                </c:pt>
                <c:pt idx="30">
                  <c:v>-7.4227164419039742</c:v>
                </c:pt>
                <c:pt idx="31">
                  <c:v>-7.5802317310162941</c:v>
                </c:pt>
                <c:pt idx="32">
                  <c:v>-8.4938995823570007</c:v>
                </c:pt>
                <c:pt idx="33">
                  <c:v>-1.4618407758001015</c:v>
                </c:pt>
                <c:pt idx="34">
                  <c:v>-0.77046411171746454</c:v>
                </c:pt>
                <c:pt idx="35">
                  <c:v>-4.2037390126266132</c:v>
                </c:pt>
                <c:pt idx="36">
                  <c:v>-4.4629443661823007</c:v>
                </c:pt>
                <c:pt idx="37">
                  <c:v>-4.7178564618824606</c:v>
                </c:pt>
                <c:pt idx="38">
                  <c:v>-4.9149406187951401</c:v>
                </c:pt>
              </c:numCache>
            </c:numRef>
          </c:yVal>
          <c:smooth val="0"/>
          <c:extLst xmlns:c16r2="http://schemas.microsoft.com/office/drawing/2015/06/chart">
            <c:ext xmlns:c16="http://schemas.microsoft.com/office/drawing/2014/chart" uri="{C3380CC4-5D6E-409C-BE32-E72D297353CC}">
              <c16:uniqueId val="{00000004-6871-44CB-9AF1-F857873622FB}"/>
            </c:ext>
          </c:extLst>
        </c:ser>
        <c:ser>
          <c:idx val="2"/>
          <c:order val="5"/>
          <c:tx>
            <c:v>Aabach</c:v>
          </c:tx>
          <c:spPr>
            <a:ln w="28575">
              <a:noFill/>
            </a:ln>
          </c:spPr>
          <c:marker>
            <c:symbol val="circle"/>
            <c:size val="7"/>
            <c:spPr>
              <a:solidFill>
                <a:schemeClr val="accent6">
                  <a:lumMod val="75000"/>
                </a:schemeClr>
              </a:solidFill>
              <a:ln>
                <a:solidFill>
                  <a:schemeClr val="accent6">
                    <a:lumMod val="50000"/>
                  </a:schemeClr>
                </a:solidFill>
              </a:ln>
            </c:spPr>
          </c:marker>
          <c:xVal>
            <c:numRef>
              <c:f>'Zürich-Leimbach_Aabach'!$F$300:$F$316</c:f>
              <c:numCache>
                <c:formatCode>0.00</c:formatCode>
                <c:ptCount val="17"/>
                <c:pt idx="0">
                  <c:v>25.355615257345569</c:v>
                </c:pt>
                <c:pt idx="1">
                  <c:v>25.882704648071712</c:v>
                </c:pt>
                <c:pt idx="2">
                  <c:v>23.310119343088743</c:v>
                </c:pt>
                <c:pt idx="3">
                  <c:v>23.682979924117564</c:v>
                </c:pt>
                <c:pt idx="4">
                  <c:v>24.559602472339151</c:v>
                </c:pt>
                <c:pt idx="5">
                  <c:v>23.795717054273275</c:v>
                </c:pt>
                <c:pt idx="6">
                  <c:v>24.824480592810737</c:v>
                </c:pt>
                <c:pt idx="7">
                  <c:v>24.83098276245931</c:v>
                </c:pt>
                <c:pt idx="8">
                  <c:v>23.043834760833235</c:v>
                </c:pt>
                <c:pt idx="9">
                  <c:v>24.451100028122585</c:v>
                </c:pt>
                <c:pt idx="10">
                  <c:v>24.023993350797312</c:v>
                </c:pt>
                <c:pt idx="11">
                  <c:v>23.802042035013024</c:v>
                </c:pt>
                <c:pt idx="12">
                  <c:v>24.141765739620737</c:v>
                </c:pt>
                <c:pt idx="13">
                  <c:v>24.517452592410383</c:v>
                </c:pt>
                <c:pt idx="14">
                  <c:v>24.744024260355008</c:v>
                </c:pt>
                <c:pt idx="15">
                  <c:v>24.960696458818617</c:v>
                </c:pt>
                <c:pt idx="16">
                  <c:v>25.246187881418148</c:v>
                </c:pt>
              </c:numCache>
            </c:numRef>
          </c:xVal>
          <c:yVal>
            <c:numRef>
              <c:f>'Zürich-Leimbach_Aabach'!$H$300:$H$316</c:f>
              <c:numCache>
                <c:formatCode>0.00</c:formatCode>
                <c:ptCount val="17"/>
                <c:pt idx="0">
                  <c:v>-0.99034547359732383</c:v>
                </c:pt>
                <c:pt idx="1">
                  <c:v>-6.1611355493173763</c:v>
                </c:pt>
                <c:pt idx="2">
                  <c:v>-2.9793307227248267</c:v>
                </c:pt>
                <c:pt idx="3">
                  <c:v>-1.4615100084319899</c:v>
                </c:pt>
                <c:pt idx="4">
                  <c:v>-0.93037361616970449</c:v>
                </c:pt>
                <c:pt idx="5">
                  <c:v>-2.0229109213616154</c:v>
                </c:pt>
                <c:pt idx="6">
                  <c:v>-0.91928971580328656</c:v>
                </c:pt>
                <c:pt idx="7">
                  <c:v>-2.2350869726448526</c:v>
                </c:pt>
                <c:pt idx="8">
                  <c:v>-5.1945909031582138</c:v>
                </c:pt>
                <c:pt idx="9">
                  <c:v>-2.2458247727534504</c:v>
                </c:pt>
                <c:pt idx="10">
                  <c:v>-3.2723531048468169</c:v>
                </c:pt>
                <c:pt idx="11">
                  <c:v>-3.1187687165516262</c:v>
                </c:pt>
                <c:pt idx="12">
                  <c:v>-0.95428864683867565</c:v>
                </c:pt>
                <c:pt idx="13">
                  <c:v>-5.8706881797044002</c:v>
                </c:pt>
                <c:pt idx="14">
                  <c:v>-0.94591064069555642</c:v>
                </c:pt>
                <c:pt idx="15">
                  <c:v>-0.86611616591524232</c:v>
                </c:pt>
                <c:pt idx="16">
                  <c:v>-1.7095213910348293</c:v>
                </c:pt>
              </c:numCache>
            </c:numRef>
          </c:yVal>
          <c:smooth val="0"/>
          <c:extLst xmlns:c16r2="http://schemas.microsoft.com/office/drawing/2015/06/chart">
            <c:ext xmlns:c16="http://schemas.microsoft.com/office/drawing/2014/chart" uri="{C3380CC4-5D6E-409C-BE32-E72D297353CC}">
              <c16:uniqueId val="{00000005-6871-44CB-9AF1-F857873622FB}"/>
            </c:ext>
          </c:extLst>
        </c:ser>
        <c:ser>
          <c:idx val="3"/>
          <c:order val="6"/>
          <c:tx>
            <c:v>Aabach 1.quartil</c:v>
          </c:tx>
          <c:spPr>
            <a:ln w="28575">
              <a:noFill/>
            </a:ln>
          </c:spPr>
          <c:marker>
            <c:symbol val="circle"/>
            <c:size val="7"/>
            <c:spPr>
              <a:solidFill>
                <a:schemeClr val="accent6">
                  <a:lumMod val="75000"/>
                </a:schemeClr>
              </a:solidFill>
              <a:ln w="15875">
                <a:solidFill>
                  <a:schemeClr val="tx1"/>
                </a:solidFill>
              </a:ln>
            </c:spPr>
          </c:marker>
          <c:xVal>
            <c:numRef>
              <c:f>'13Cvs18O'!$F$21:$F$25</c:f>
              <c:numCache>
                <c:formatCode>0.00</c:formatCode>
                <c:ptCount val="5"/>
                <c:pt idx="0">
                  <c:v>23.802042035013024</c:v>
                </c:pt>
                <c:pt idx="1">
                  <c:v>23.043834760833235</c:v>
                </c:pt>
                <c:pt idx="2">
                  <c:v>23.795717054273275</c:v>
                </c:pt>
                <c:pt idx="3">
                  <c:v>23.682979924117564</c:v>
                </c:pt>
                <c:pt idx="4">
                  <c:v>23.310119343088743</c:v>
                </c:pt>
              </c:numCache>
            </c:numRef>
          </c:xVal>
          <c:yVal>
            <c:numRef>
              <c:f>'13Cvs18O'!$G$21:$G$25</c:f>
              <c:numCache>
                <c:formatCode>0.00</c:formatCode>
                <c:ptCount val="5"/>
                <c:pt idx="0">
                  <c:v>-3.1187687165516262</c:v>
                </c:pt>
                <c:pt idx="1">
                  <c:v>-5.1945909031582138</c:v>
                </c:pt>
                <c:pt idx="2">
                  <c:v>-2.0229109213616154</c:v>
                </c:pt>
                <c:pt idx="3">
                  <c:v>-1.4615100084319899</c:v>
                </c:pt>
                <c:pt idx="4">
                  <c:v>-2.9793307227248267</c:v>
                </c:pt>
              </c:numCache>
            </c:numRef>
          </c:yVal>
          <c:smooth val="0"/>
          <c:extLst xmlns:c16r2="http://schemas.microsoft.com/office/drawing/2015/06/chart">
            <c:ext xmlns:c16="http://schemas.microsoft.com/office/drawing/2014/chart" uri="{C3380CC4-5D6E-409C-BE32-E72D297353CC}">
              <c16:uniqueId val="{00000006-6871-44CB-9AF1-F857873622FB}"/>
            </c:ext>
          </c:extLst>
        </c:ser>
        <c:ser>
          <c:idx val="4"/>
          <c:order val="7"/>
          <c:tx>
            <c:v>Jona 1.quartil</c:v>
          </c:tx>
          <c:spPr>
            <a:ln w="28575">
              <a:noFill/>
            </a:ln>
          </c:spPr>
          <c:marker>
            <c:symbol val="circle"/>
            <c:size val="7"/>
            <c:spPr>
              <a:solidFill>
                <a:schemeClr val="accent3"/>
              </a:solidFill>
              <a:ln w="15875">
                <a:solidFill>
                  <a:schemeClr val="tx1"/>
                </a:solidFill>
              </a:ln>
            </c:spPr>
          </c:marker>
          <c:xVal>
            <c:numRef>
              <c:f>'13Cvs18O'!$F$10:$F$19</c:f>
              <c:numCache>
                <c:formatCode>0.00</c:formatCode>
                <c:ptCount val="10"/>
                <c:pt idx="0">
                  <c:v>21.38344707791962</c:v>
                </c:pt>
                <c:pt idx="1">
                  <c:v>21.506615201764664</c:v>
                </c:pt>
                <c:pt idx="2">
                  <c:v>21.292199349437723</c:v>
                </c:pt>
                <c:pt idx="3">
                  <c:v>21.638036598220452</c:v>
                </c:pt>
                <c:pt idx="4">
                  <c:v>21.677254185498967</c:v>
                </c:pt>
                <c:pt idx="5">
                  <c:v>21.655158522161177</c:v>
                </c:pt>
                <c:pt idx="6">
                  <c:v>21.424192196578396</c:v>
                </c:pt>
                <c:pt idx="7">
                  <c:v>21.118667880452399</c:v>
                </c:pt>
                <c:pt idx="8">
                  <c:v>20.946852210821906</c:v>
                </c:pt>
                <c:pt idx="9">
                  <c:v>21.450874558654419</c:v>
                </c:pt>
              </c:numCache>
            </c:numRef>
          </c:xVal>
          <c:yVal>
            <c:numRef>
              <c:f>'13Cvs18O'!$G$10:$G$19</c:f>
              <c:numCache>
                <c:formatCode>0.00</c:formatCode>
                <c:ptCount val="10"/>
                <c:pt idx="0">
                  <c:v>-4.7262828636904466</c:v>
                </c:pt>
                <c:pt idx="1">
                  <c:v>-3.7418835073478598</c:v>
                </c:pt>
                <c:pt idx="2">
                  <c:v>-4.2270927374307705</c:v>
                </c:pt>
                <c:pt idx="3">
                  <c:v>-3.7753173240352225</c:v>
                </c:pt>
                <c:pt idx="4">
                  <c:v>-3.7651964070654018</c:v>
                </c:pt>
                <c:pt idx="5">
                  <c:v>-4.9555833264471305</c:v>
                </c:pt>
                <c:pt idx="6">
                  <c:v>-5.5020281748496664</c:v>
                </c:pt>
                <c:pt idx="7">
                  <c:v>-3.8795745380054916</c:v>
                </c:pt>
                <c:pt idx="8">
                  <c:v>-3.8995026674613933</c:v>
                </c:pt>
                <c:pt idx="9">
                  <c:v>-6.0118766272644324</c:v>
                </c:pt>
              </c:numCache>
            </c:numRef>
          </c:yVal>
          <c:smooth val="0"/>
          <c:extLst xmlns:c16r2="http://schemas.microsoft.com/office/drawing/2015/06/chart">
            <c:ext xmlns:c16="http://schemas.microsoft.com/office/drawing/2014/chart" uri="{C3380CC4-5D6E-409C-BE32-E72D297353CC}">
              <c16:uniqueId val="{00000007-6871-44CB-9AF1-F857873622FB}"/>
            </c:ext>
          </c:extLst>
        </c:ser>
        <c:ser>
          <c:idx val="5"/>
          <c:order val="8"/>
          <c:tx>
            <c:v>Fontannen 1.quartil</c:v>
          </c:tx>
          <c:spPr>
            <a:ln w="28575">
              <a:noFill/>
            </a:ln>
          </c:spPr>
          <c:marker>
            <c:symbol val="circle"/>
            <c:size val="7"/>
            <c:spPr>
              <a:solidFill>
                <a:schemeClr val="tx2">
                  <a:lumMod val="60000"/>
                  <a:lumOff val="40000"/>
                </a:schemeClr>
              </a:solidFill>
              <a:ln w="15875">
                <a:solidFill>
                  <a:schemeClr val="tx1"/>
                </a:solidFill>
              </a:ln>
            </c:spPr>
          </c:marker>
          <c:xVal>
            <c:numRef>
              <c:f>'13Cvs18O'!$F$6:$F$8</c:f>
              <c:numCache>
                <c:formatCode>0.00</c:formatCode>
                <c:ptCount val="3"/>
                <c:pt idx="0">
                  <c:v>19.605900248120037</c:v>
                </c:pt>
                <c:pt idx="1">
                  <c:v>19.615375726458236</c:v>
                </c:pt>
                <c:pt idx="2">
                  <c:v>19.634097729729877</c:v>
                </c:pt>
              </c:numCache>
            </c:numRef>
          </c:xVal>
          <c:yVal>
            <c:numRef>
              <c:f>'13Cvs18O'!$G$6:$G$8</c:f>
              <c:numCache>
                <c:formatCode>0.00</c:formatCode>
                <c:ptCount val="3"/>
                <c:pt idx="0">
                  <c:v>-5.9886372666067924</c:v>
                </c:pt>
                <c:pt idx="1">
                  <c:v>-4.975192953333333</c:v>
                </c:pt>
                <c:pt idx="2">
                  <c:v>-5.8265316283333339</c:v>
                </c:pt>
              </c:numCache>
            </c:numRef>
          </c:yVal>
          <c:smooth val="0"/>
          <c:extLst xmlns:c16r2="http://schemas.microsoft.com/office/drawing/2015/06/chart">
            <c:ext xmlns:c16="http://schemas.microsoft.com/office/drawing/2014/chart" uri="{C3380CC4-5D6E-409C-BE32-E72D297353CC}">
              <c16:uniqueId val="{00000008-6871-44CB-9AF1-F857873622FB}"/>
            </c:ext>
          </c:extLst>
        </c:ser>
        <c:dLbls>
          <c:showLegendKey val="0"/>
          <c:showVal val="0"/>
          <c:showCatName val="0"/>
          <c:showSerName val="0"/>
          <c:showPercent val="0"/>
          <c:showBubbleSize val="0"/>
        </c:dLbls>
        <c:axId val="685404624"/>
        <c:axId val="685403840"/>
      </c:scatterChart>
      <c:valAx>
        <c:axId val="685404624"/>
        <c:scaling>
          <c:orientation val="minMax"/>
          <c:max val="28"/>
          <c:min val="18"/>
        </c:scaling>
        <c:delete val="0"/>
        <c:axPos val="b"/>
        <c:title>
          <c:tx>
            <c:rich>
              <a:bodyPr/>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sym typeface="Symbol"/>
                  </a:rPr>
                  <a:t></a:t>
                </a:r>
                <a:r>
                  <a:rPr lang="en-US" sz="900" b="0" baseline="30000">
                    <a:latin typeface="Arial" panose="020B0604020202020204" pitchFamily="34" charset="0"/>
                    <a:cs typeface="Arial" panose="020B0604020202020204" pitchFamily="34" charset="0"/>
                    <a:sym typeface="Symbol"/>
                  </a:rPr>
                  <a:t>18</a:t>
                </a:r>
                <a:r>
                  <a:rPr lang="en-US" sz="900" b="0">
                    <a:latin typeface="Arial" panose="020B0604020202020204" pitchFamily="34" charset="0"/>
                    <a:cs typeface="Arial" panose="020B0604020202020204" pitchFamily="34" charset="0"/>
                    <a:sym typeface="Symbol"/>
                  </a:rPr>
                  <a:t>O</a:t>
                </a:r>
                <a:r>
                  <a:rPr lang="en-US" sz="900" b="0" baseline="-25000">
                    <a:latin typeface="Arial" panose="020B0604020202020204" pitchFamily="34" charset="0"/>
                    <a:cs typeface="Arial" panose="020B0604020202020204" pitchFamily="34" charset="0"/>
                    <a:sym typeface="Symbol"/>
                  </a:rPr>
                  <a:t>c</a:t>
                </a:r>
                <a:r>
                  <a:rPr lang="en-US" sz="900" b="0">
                    <a:latin typeface="Arial" panose="020B0604020202020204" pitchFamily="34" charset="0"/>
                    <a:cs typeface="Arial" panose="020B0604020202020204" pitchFamily="34" charset="0"/>
                    <a:sym typeface="Symbol"/>
                  </a:rPr>
                  <a:t> (‰, VSMOW)</a:t>
                </a:r>
                <a:endParaRPr lang="en-US" sz="900" b="0">
                  <a:latin typeface="Arial" panose="020B0604020202020204" pitchFamily="34" charset="0"/>
                  <a:cs typeface="Arial" panose="020B0604020202020204" pitchFamily="34" charset="0"/>
                </a:endParaRPr>
              </a:p>
            </c:rich>
          </c:tx>
          <c:layout>
            <c:manualLayout>
              <c:xMode val="edge"/>
              <c:yMode val="edge"/>
              <c:x val="0.43806149094050906"/>
              <c:y val="0.91040706892985923"/>
            </c:manualLayout>
          </c:layout>
          <c:overlay val="0"/>
        </c:title>
        <c:numFmt formatCode="0" sourceLinked="0"/>
        <c:majorTickMark val="out"/>
        <c:minorTickMark val="out"/>
        <c:tickLblPos val="nextTo"/>
        <c:txPr>
          <a:bodyPr/>
          <a:lstStyle/>
          <a:p>
            <a:pPr>
              <a:defRPr sz="900">
                <a:latin typeface="Arial" panose="020B0604020202020204" pitchFamily="34" charset="0"/>
                <a:cs typeface="Arial" panose="020B0604020202020204" pitchFamily="34" charset="0"/>
              </a:defRPr>
            </a:pPr>
            <a:endParaRPr lang="de-DE"/>
          </a:p>
        </c:txPr>
        <c:crossAx val="685403840"/>
        <c:crossesAt val="-10"/>
        <c:crossBetween val="midCat"/>
        <c:majorUnit val="2"/>
      </c:valAx>
      <c:valAx>
        <c:axId val="685403840"/>
        <c:scaling>
          <c:orientation val="minMax"/>
          <c:max val="2"/>
          <c:min val="-10"/>
        </c:scaling>
        <c:delete val="0"/>
        <c:axPos val="l"/>
        <c:title>
          <c:tx>
            <c:rich>
              <a:bodyPr rot="-5400000" vert="horz"/>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sym typeface="Symbol"/>
                  </a:rPr>
                  <a:t></a:t>
                </a:r>
                <a:r>
                  <a:rPr lang="en-US" sz="900" b="0" baseline="30000">
                    <a:latin typeface="Arial" panose="020B0604020202020204" pitchFamily="34" charset="0"/>
                    <a:cs typeface="Arial" panose="020B0604020202020204" pitchFamily="34" charset="0"/>
                    <a:sym typeface="Symbol"/>
                  </a:rPr>
                  <a:t>13</a:t>
                </a:r>
                <a:r>
                  <a:rPr lang="en-US" sz="900" b="0">
                    <a:latin typeface="Arial" panose="020B0604020202020204" pitchFamily="34" charset="0"/>
                    <a:cs typeface="Arial" panose="020B0604020202020204" pitchFamily="34" charset="0"/>
                    <a:sym typeface="Symbol"/>
                  </a:rPr>
                  <a:t>C</a:t>
                </a:r>
                <a:r>
                  <a:rPr lang="en-US" sz="900" b="0" baseline="0">
                    <a:latin typeface="Arial" panose="020B0604020202020204" pitchFamily="34" charset="0"/>
                    <a:cs typeface="Arial" panose="020B0604020202020204" pitchFamily="34" charset="0"/>
                    <a:sym typeface="Symbol"/>
                  </a:rPr>
                  <a:t> </a:t>
                </a:r>
                <a:r>
                  <a:rPr lang="en-US" sz="900" b="0">
                    <a:latin typeface="Arial" panose="020B0604020202020204" pitchFamily="34" charset="0"/>
                    <a:cs typeface="Arial" panose="020B0604020202020204" pitchFamily="34" charset="0"/>
                    <a:sym typeface="Symbol"/>
                  </a:rPr>
                  <a:t>(‰, VPDB)</a:t>
                </a:r>
                <a:endParaRPr lang="en-US" sz="900" b="0">
                  <a:latin typeface="Arial" panose="020B0604020202020204" pitchFamily="34" charset="0"/>
                  <a:cs typeface="Arial" panose="020B0604020202020204" pitchFamily="34" charset="0"/>
                </a:endParaRPr>
              </a:p>
            </c:rich>
          </c:tx>
          <c:layout>
            <c:manualLayout>
              <c:xMode val="edge"/>
              <c:yMode val="edge"/>
              <c:x val="3.0555555555555555E-2"/>
              <c:y val="0.30060734728977995"/>
            </c:manualLayout>
          </c:layout>
          <c:overlay val="0"/>
        </c:title>
        <c:numFmt formatCode="0" sourceLinked="0"/>
        <c:majorTickMark val="out"/>
        <c:minorTickMark val="out"/>
        <c:tickLblPos val="nextTo"/>
        <c:txPr>
          <a:bodyPr/>
          <a:lstStyle/>
          <a:p>
            <a:pPr>
              <a:defRPr sz="900">
                <a:latin typeface="Arial" panose="020B0604020202020204" pitchFamily="34" charset="0"/>
                <a:cs typeface="Arial" panose="020B0604020202020204" pitchFamily="34" charset="0"/>
              </a:defRPr>
            </a:pPr>
            <a:endParaRPr lang="de-DE"/>
          </a:p>
        </c:txPr>
        <c:crossAx val="685404624"/>
        <c:crosses val="autoZero"/>
        <c:crossBetween val="midCat"/>
        <c:minorUnit val="1"/>
      </c:valAx>
      <c:spPr>
        <a:noFill/>
        <a:ln>
          <a:solidFill>
            <a:schemeClr val="tx2">
              <a:lumMod val="50000"/>
            </a:schemeClr>
          </a:solidFill>
        </a:ln>
      </c:spPr>
    </c:plotArea>
    <c:legend>
      <c:legendPos val="t"/>
      <c:legendEntry>
        <c:idx val="0"/>
        <c:delete val="1"/>
      </c:legendEntry>
      <c:legendEntry>
        <c:idx val="1"/>
        <c:delete val="1"/>
      </c:legendEntry>
      <c:legendEntry>
        <c:idx val="6"/>
        <c:delete val="1"/>
      </c:legendEntry>
      <c:legendEntry>
        <c:idx val="7"/>
        <c:delete val="1"/>
      </c:legendEntry>
      <c:legendEntry>
        <c:idx val="8"/>
        <c:delete val="1"/>
      </c:legendEntry>
      <c:overlay val="0"/>
      <c:txPr>
        <a:bodyPr/>
        <a:lstStyle/>
        <a:p>
          <a:pPr>
            <a:defRPr sz="900">
              <a:latin typeface="Arial" panose="020B0604020202020204" pitchFamily="34" charset="0"/>
              <a:cs typeface="Arial" panose="020B0604020202020204" pitchFamily="34" charset="0"/>
            </a:defRPr>
          </a:pPr>
          <a:endParaRPr lang="de-DE"/>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7B57-34A2-465C-817F-1DBA67E4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14</Pages>
  <Words>18764</Words>
  <Characters>118215</Characters>
  <Application>Microsoft Office Word</Application>
  <DocSecurity>0</DocSecurity>
  <Lines>985</Lines>
  <Paragraphs>273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vt:lpstr>
      <vt:lpstr>Blank</vt:lpstr>
    </vt:vector>
  </TitlesOfParts>
  <Company>Copernicus Gesellschaft mbH</Company>
  <LinksUpToDate>false</LinksUpToDate>
  <CharactersWithSpaces>136706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Emilija Krsnik</cp:lastModifiedBy>
  <cp:revision>3</cp:revision>
  <cp:lastPrinted>2021-04-30T14:41:00Z</cp:lastPrinted>
  <dcterms:created xsi:type="dcterms:W3CDTF">2021-11-19T14:18:00Z</dcterms:created>
  <dcterms:modified xsi:type="dcterms:W3CDTF">2021-11-19T14:28:00Z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http://www.zotero.org/styles/copernicus-publications</vt:lpwstr>
  </property>
  <property fmtid="{D5CDD505-2E9C-101B-9397-08002B2CF9AE}" pid="15" name="Mendeley Recent Style Name 6_1">
    <vt:lpwstr>Copernicus Publications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a29ef01d-77a0-316a-bfd8-a93697ec8a75</vt:lpwstr>
  </property>
  <property fmtid="{D5CDD505-2E9C-101B-9397-08002B2CF9AE}" pid="24" name="Mendeley Citation Style_1">
    <vt:lpwstr>http://www.zotero.org/styles/copernicus-publications</vt:lpwstr>
  </property>
</Properties>
</file>