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52"/>
        <w:tblW w:w="15203" w:type="dxa"/>
        <w:tblLook w:val="04A0" w:firstRow="1" w:lastRow="0" w:firstColumn="1" w:lastColumn="0" w:noHBand="0" w:noVBand="1"/>
      </w:tblPr>
      <w:tblGrid>
        <w:gridCol w:w="1328"/>
        <w:gridCol w:w="1763"/>
        <w:gridCol w:w="1442"/>
        <w:gridCol w:w="2786"/>
        <w:gridCol w:w="1958"/>
        <w:gridCol w:w="877"/>
        <w:gridCol w:w="1281"/>
        <w:gridCol w:w="3768"/>
      </w:tblGrid>
      <w:tr w:rsidR="006F1485" w:rsidRPr="006F1485" w14:paraId="6869E65F" w14:textId="77777777" w:rsidTr="00CD6910">
        <w:tc>
          <w:tcPr>
            <w:tcW w:w="1328" w:type="dxa"/>
          </w:tcPr>
          <w:p w14:paraId="27900706" w14:textId="42F616B1" w:rsidR="006F1485" w:rsidRPr="006F1485" w:rsidRDefault="006F1485" w:rsidP="00CD6910">
            <w:pPr>
              <w:jc w:val="center"/>
              <w:rPr>
                <w:b/>
              </w:rPr>
            </w:pPr>
            <w:r w:rsidRPr="006F1485">
              <w:rPr>
                <w:b/>
              </w:rPr>
              <w:t>Metabolite ID</w:t>
            </w:r>
          </w:p>
        </w:tc>
        <w:tc>
          <w:tcPr>
            <w:tcW w:w="1763" w:type="dxa"/>
          </w:tcPr>
          <w:p w14:paraId="5B6A4313" w14:textId="72AE22A1" w:rsidR="006F1485" w:rsidRPr="006F1485" w:rsidRDefault="006F1485" w:rsidP="00CD6910">
            <w:pPr>
              <w:jc w:val="center"/>
              <w:rPr>
                <w:b/>
              </w:rPr>
            </w:pPr>
            <w:r w:rsidRPr="006F1485">
              <w:rPr>
                <w:b/>
              </w:rPr>
              <w:t>MSV dataset</w:t>
            </w:r>
          </w:p>
        </w:tc>
        <w:tc>
          <w:tcPr>
            <w:tcW w:w="1442" w:type="dxa"/>
          </w:tcPr>
          <w:p w14:paraId="169C1E33" w14:textId="1BEA1C94" w:rsidR="006F1485" w:rsidRPr="006F1485" w:rsidRDefault="006F1485" w:rsidP="00CD6910">
            <w:pPr>
              <w:jc w:val="center"/>
              <w:rPr>
                <w:b/>
              </w:rPr>
            </w:pPr>
            <w:r w:rsidRPr="006F1485">
              <w:rPr>
                <w:b/>
              </w:rPr>
              <w:t>Title</w:t>
            </w:r>
          </w:p>
        </w:tc>
        <w:tc>
          <w:tcPr>
            <w:tcW w:w="2786" w:type="dxa"/>
          </w:tcPr>
          <w:p w14:paraId="7E3F4C63" w14:textId="0CFBBB59" w:rsidR="006F1485" w:rsidRPr="006F1485" w:rsidRDefault="006F1485" w:rsidP="00CD6910">
            <w:pPr>
              <w:jc w:val="center"/>
              <w:rPr>
                <w:b/>
              </w:rPr>
            </w:pPr>
            <w:r w:rsidRPr="006F1485">
              <w:rPr>
                <w:b/>
              </w:rPr>
              <w:t>Description</w:t>
            </w:r>
          </w:p>
        </w:tc>
        <w:tc>
          <w:tcPr>
            <w:tcW w:w="1958" w:type="dxa"/>
          </w:tcPr>
          <w:p w14:paraId="5D626534" w14:textId="44354601" w:rsidR="006F1485" w:rsidRPr="006F1485" w:rsidRDefault="006F1485" w:rsidP="00CD6910">
            <w:pPr>
              <w:jc w:val="center"/>
              <w:rPr>
                <w:b/>
              </w:rPr>
            </w:pPr>
            <w:r w:rsidRPr="006F1485">
              <w:rPr>
                <w:b/>
              </w:rPr>
              <w:t>Organisms</w:t>
            </w:r>
          </w:p>
        </w:tc>
        <w:tc>
          <w:tcPr>
            <w:tcW w:w="877" w:type="dxa"/>
          </w:tcPr>
          <w:p w14:paraId="22D163D1" w14:textId="1D18F357" w:rsidR="006F1485" w:rsidRPr="006F1485" w:rsidRDefault="006F1485" w:rsidP="00CD6910">
            <w:pPr>
              <w:jc w:val="center"/>
              <w:rPr>
                <w:b/>
              </w:rPr>
            </w:pPr>
            <w:r w:rsidRPr="006F1485">
              <w:rPr>
                <w:b/>
              </w:rPr>
              <w:t>Cosine score</w:t>
            </w:r>
          </w:p>
        </w:tc>
        <w:tc>
          <w:tcPr>
            <w:tcW w:w="1281" w:type="dxa"/>
          </w:tcPr>
          <w:p w14:paraId="55EF204B" w14:textId="06AAF130" w:rsidR="006F1485" w:rsidRPr="006F1485" w:rsidRDefault="006F1485" w:rsidP="00CD6910">
            <w:pPr>
              <w:jc w:val="center"/>
              <w:rPr>
                <w:b/>
              </w:rPr>
            </w:pPr>
            <w:r w:rsidRPr="006F1485">
              <w:rPr>
                <w:b/>
              </w:rPr>
              <w:t>Matched Peaks</w:t>
            </w:r>
          </w:p>
        </w:tc>
        <w:tc>
          <w:tcPr>
            <w:tcW w:w="3768" w:type="dxa"/>
          </w:tcPr>
          <w:p w14:paraId="51B6AF24" w14:textId="519DF7AF" w:rsidR="006F1485" w:rsidRPr="006F1485" w:rsidRDefault="006F1485" w:rsidP="00CD6910">
            <w:pPr>
              <w:jc w:val="center"/>
              <w:rPr>
                <w:b/>
              </w:rPr>
            </w:pPr>
            <w:r w:rsidRPr="006F1485">
              <w:rPr>
                <w:b/>
              </w:rPr>
              <w:t>All matches</w:t>
            </w:r>
          </w:p>
        </w:tc>
      </w:tr>
      <w:tr w:rsidR="006F1485" w14:paraId="022D9659" w14:textId="77777777" w:rsidTr="00CD6910">
        <w:tc>
          <w:tcPr>
            <w:tcW w:w="1328" w:type="dxa"/>
          </w:tcPr>
          <w:p w14:paraId="06684CA6" w14:textId="29ED92AD" w:rsidR="006F1485" w:rsidRDefault="006F1485" w:rsidP="00CD6910">
            <w:pPr>
              <w:jc w:val="center"/>
            </w:pPr>
            <w:r>
              <w:rPr>
                <w:rFonts w:ascii="Calibri" w:hAnsi="Calibri" w:cs="Calibri"/>
                <w:color w:val="000000"/>
              </w:rPr>
              <w:t>4724</w:t>
            </w:r>
          </w:p>
        </w:tc>
        <w:tc>
          <w:tcPr>
            <w:tcW w:w="1763" w:type="dxa"/>
          </w:tcPr>
          <w:p w14:paraId="6A511FAB" w14:textId="1DB1FB3F" w:rsidR="006F1485" w:rsidRPr="006F1485" w:rsidRDefault="006F1485" w:rsidP="00CD6910">
            <w:pPr>
              <w:jc w:val="center"/>
            </w:pPr>
            <w:r w:rsidRPr="006F1485">
              <w:t>MSV000083446</w:t>
            </w:r>
          </w:p>
        </w:tc>
        <w:tc>
          <w:tcPr>
            <w:tcW w:w="1442" w:type="dxa"/>
          </w:tcPr>
          <w:p w14:paraId="048561B6"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GNPS - Antibiotic Mice All Tissue</w:t>
            </w:r>
          </w:p>
          <w:p w14:paraId="4538D922" w14:textId="77777777" w:rsidR="006F1485" w:rsidRDefault="006F1485" w:rsidP="00CD6910">
            <w:pPr>
              <w:jc w:val="center"/>
            </w:pPr>
          </w:p>
        </w:tc>
        <w:tc>
          <w:tcPr>
            <w:tcW w:w="2786" w:type="dxa"/>
          </w:tcPr>
          <w:p w14:paraId="7B45A2EB" w14:textId="3325AF91" w:rsidR="006F1485" w:rsidRPr="006F1485" w:rsidRDefault="006F1485" w:rsidP="00CD6910">
            <w:pPr>
              <w:rPr>
                <w:rFonts w:eastAsia="Times New Roman"/>
              </w:rPr>
            </w:pPr>
            <w:r>
              <w:rPr>
                <w:rFonts w:ascii="Trebuchet MS" w:hAnsi="Trebuchet MS"/>
                <w:color w:val="000000"/>
                <w:sz w:val="20"/>
                <w:szCs w:val="20"/>
                <w:shd w:val="clear" w:color="auto" w:fill="FFFFFF"/>
              </w:rPr>
              <w:t xml:space="preserve">These are raw and </w:t>
            </w:r>
            <w:proofErr w:type="spellStart"/>
            <w:r>
              <w:rPr>
                <w:rFonts w:ascii="Trebuchet MS" w:hAnsi="Trebuchet MS"/>
                <w:color w:val="000000"/>
                <w:sz w:val="20"/>
                <w:szCs w:val="20"/>
                <w:shd w:val="clear" w:color="auto" w:fill="FFFFFF"/>
              </w:rPr>
              <w:t>mzXML</w:t>
            </w:r>
            <w:proofErr w:type="spellEnd"/>
            <w:r>
              <w:rPr>
                <w:rFonts w:ascii="Trebuchet MS" w:hAnsi="Trebuchet MS"/>
                <w:color w:val="000000"/>
                <w:sz w:val="20"/>
                <w:szCs w:val="20"/>
                <w:shd w:val="clear" w:color="auto" w:fill="FFFFFF"/>
              </w:rPr>
              <w:t xml:space="preserve"> data from mice tissue obtained from the </w:t>
            </w:r>
            <w:proofErr w:type="spellStart"/>
            <w:r>
              <w:rPr>
                <w:rFonts w:ascii="Trebuchet MS" w:hAnsi="Trebuchet MS"/>
                <w:color w:val="000000"/>
                <w:sz w:val="20"/>
                <w:szCs w:val="20"/>
                <w:shd w:val="clear" w:color="auto" w:fill="FFFFFF"/>
              </w:rPr>
              <w:t>Raffatellu</w:t>
            </w:r>
            <w:proofErr w:type="spellEnd"/>
            <w:r>
              <w:rPr>
                <w:rFonts w:ascii="Trebuchet MS" w:hAnsi="Trebuchet MS"/>
                <w:color w:val="000000"/>
                <w:sz w:val="20"/>
                <w:szCs w:val="20"/>
                <w:shd w:val="clear" w:color="auto" w:fill="FFFFFF"/>
              </w:rPr>
              <w:t xml:space="preserve"> lab. This excludes the fecal data collected from the time series.</w:t>
            </w:r>
          </w:p>
          <w:p w14:paraId="30EECA6A" w14:textId="77777777" w:rsidR="006F1485" w:rsidRDefault="006F1485" w:rsidP="00CD6910">
            <w:pPr>
              <w:rPr>
                <w:rFonts w:ascii="Trebuchet MS" w:hAnsi="Trebuchet MS"/>
                <w:color w:val="000000"/>
                <w:sz w:val="20"/>
                <w:szCs w:val="20"/>
                <w:shd w:val="clear" w:color="auto" w:fill="FFFFFF"/>
              </w:rPr>
            </w:pPr>
          </w:p>
        </w:tc>
        <w:tc>
          <w:tcPr>
            <w:tcW w:w="1958" w:type="dxa"/>
          </w:tcPr>
          <w:p w14:paraId="3DC99FBD" w14:textId="382B9D99" w:rsidR="006F1485" w:rsidRDefault="008811F1" w:rsidP="00CD6910">
            <w:pPr>
              <w:jc w:val="center"/>
              <w:rPr>
                <w:rFonts w:eastAsia="Times New Roman"/>
                <w:lang w:val="de-DE"/>
              </w:rPr>
            </w:pPr>
            <w:r>
              <w:rPr>
                <w:rFonts w:ascii="Trebuchet MS" w:hAnsi="Trebuchet MS"/>
                <w:color w:val="000000"/>
                <w:sz w:val="20"/>
                <w:szCs w:val="20"/>
                <w:shd w:val="clear" w:color="auto" w:fill="FFFFFF"/>
              </w:rPr>
              <w:t>A</w:t>
            </w:r>
            <w:r w:rsidR="006F1485">
              <w:rPr>
                <w:rFonts w:ascii="Trebuchet MS" w:hAnsi="Trebuchet MS"/>
                <w:color w:val="000000"/>
                <w:sz w:val="20"/>
                <w:szCs w:val="20"/>
                <w:shd w:val="clear" w:color="auto" w:fill="FFFFFF"/>
              </w:rPr>
              <w:t>nimalia</w:t>
            </w:r>
          </w:p>
          <w:p w14:paraId="53D80EE9" w14:textId="77777777" w:rsidR="006F1485" w:rsidRDefault="006F1485" w:rsidP="00CD6910">
            <w:pPr>
              <w:jc w:val="center"/>
              <w:rPr>
                <w:rFonts w:ascii="Trebuchet MS" w:hAnsi="Trebuchet MS"/>
                <w:color w:val="000000"/>
                <w:sz w:val="20"/>
                <w:szCs w:val="20"/>
                <w:shd w:val="clear" w:color="auto" w:fill="FFFFFF"/>
              </w:rPr>
            </w:pPr>
          </w:p>
        </w:tc>
        <w:tc>
          <w:tcPr>
            <w:tcW w:w="877" w:type="dxa"/>
          </w:tcPr>
          <w:p w14:paraId="74691945"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0.93</w:t>
            </w:r>
          </w:p>
          <w:p w14:paraId="22C0E8A6" w14:textId="77777777" w:rsidR="006F1485" w:rsidRDefault="006F1485" w:rsidP="00CD6910">
            <w:pPr>
              <w:jc w:val="center"/>
            </w:pPr>
          </w:p>
        </w:tc>
        <w:tc>
          <w:tcPr>
            <w:tcW w:w="1281" w:type="dxa"/>
          </w:tcPr>
          <w:p w14:paraId="5DA9E046" w14:textId="0E86A40A" w:rsidR="006F1485" w:rsidRDefault="006F1485" w:rsidP="00CD6910">
            <w:pPr>
              <w:jc w:val="center"/>
            </w:pPr>
            <w:r>
              <w:t>22</w:t>
            </w:r>
          </w:p>
        </w:tc>
        <w:tc>
          <w:tcPr>
            <w:tcW w:w="3768" w:type="dxa"/>
          </w:tcPr>
          <w:p w14:paraId="56080990" w14:textId="6CEE1B59" w:rsidR="006F1485" w:rsidRDefault="006F1485" w:rsidP="00CD6910">
            <w:r w:rsidRPr="006F1485">
              <w:t>https://gnps.ucsd.edu/ProteoSAFe</w:t>
            </w:r>
          </w:p>
          <w:p w14:paraId="647DFFEF" w14:textId="77777777" w:rsidR="006F1485" w:rsidRDefault="006F1485" w:rsidP="00CD6910">
            <w:r w:rsidRPr="006F1485">
              <w:t>/</w:t>
            </w:r>
            <w:proofErr w:type="spellStart"/>
            <w:r w:rsidRPr="006F1485">
              <w:t>result.jsp?task</w:t>
            </w:r>
            <w:proofErr w:type="spellEnd"/>
            <w:r w:rsidRPr="006F1485">
              <w:t>=78cd1c95b76b465</w:t>
            </w:r>
          </w:p>
          <w:p w14:paraId="1779B51C" w14:textId="77777777" w:rsidR="006F1485" w:rsidRDefault="006F1485" w:rsidP="00CD6910">
            <w:r w:rsidRPr="006F1485">
              <w:t>5a0ce3c0fecfebcea&amp;view=</w:t>
            </w:r>
            <w:proofErr w:type="spellStart"/>
            <w:r w:rsidRPr="006F1485">
              <w:t>view_al</w:t>
            </w:r>
            <w:r>
              <w:t>l</w:t>
            </w:r>
            <w:proofErr w:type="spellEnd"/>
          </w:p>
          <w:p w14:paraId="590DD191" w14:textId="219620EC" w:rsidR="006F1485" w:rsidRDefault="006F1485" w:rsidP="00CD6910">
            <w:r w:rsidRPr="006F1485">
              <w:t>_</w:t>
            </w:r>
            <w:proofErr w:type="spellStart"/>
            <w:r w:rsidRPr="006F1485">
              <w:t>datasets_matched</w:t>
            </w:r>
            <w:proofErr w:type="spellEnd"/>
          </w:p>
        </w:tc>
      </w:tr>
      <w:tr w:rsidR="006F1485" w14:paraId="042E4A15" w14:textId="77777777" w:rsidTr="00CD6910">
        <w:tc>
          <w:tcPr>
            <w:tcW w:w="1328" w:type="dxa"/>
          </w:tcPr>
          <w:p w14:paraId="41B7B2BD" w14:textId="6281CF78" w:rsidR="006F1485" w:rsidRDefault="006F1485" w:rsidP="00CD6910">
            <w:pPr>
              <w:jc w:val="center"/>
            </w:pPr>
            <w:r>
              <w:t>4000</w:t>
            </w:r>
          </w:p>
        </w:tc>
        <w:tc>
          <w:tcPr>
            <w:tcW w:w="1763" w:type="dxa"/>
          </w:tcPr>
          <w:p w14:paraId="3F50C989" w14:textId="4F6123CD" w:rsidR="006F1485" w:rsidRDefault="006F1485" w:rsidP="00CD6910">
            <w:pPr>
              <w:jc w:val="center"/>
            </w:pPr>
            <w:r w:rsidRPr="006F1485">
              <w:t>MSV000080655</w:t>
            </w:r>
          </w:p>
        </w:tc>
        <w:tc>
          <w:tcPr>
            <w:tcW w:w="1442" w:type="dxa"/>
          </w:tcPr>
          <w:p w14:paraId="77BF9849" w14:textId="77777777" w:rsidR="006F1485" w:rsidRPr="006F1485" w:rsidRDefault="006F1485" w:rsidP="00CD6910">
            <w:pPr>
              <w:jc w:val="center"/>
              <w:rPr>
                <w:rFonts w:eastAsia="Times New Roman"/>
              </w:rPr>
            </w:pPr>
            <w:r>
              <w:t>GNPS Cross Sectional CF Sputum Samples</w:t>
            </w:r>
          </w:p>
          <w:p w14:paraId="1950748C" w14:textId="77777777" w:rsidR="006F1485" w:rsidRDefault="006F1485" w:rsidP="00CD6910">
            <w:pPr>
              <w:jc w:val="center"/>
            </w:pPr>
          </w:p>
        </w:tc>
        <w:tc>
          <w:tcPr>
            <w:tcW w:w="2786" w:type="dxa"/>
          </w:tcPr>
          <w:p w14:paraId="3D04214A" w14:textId="77777777" w:rsidR="006F1485" w:rsidRPr="006F1485" w:rsidRDefault="006F1485" w:rsidP="00CD6910">
            <w:pPr>
              <w:rPr>
                <w:rFonts w:eastAsia="Times New Roman"/>
              </w:rPr>
            </w:pPr>
            <w:r>
              <w:rPr>
                <w:rFonts w:ascii="Trebuchet MS" w:hAnsi="Trebuchet MS"/>
                <w:color w:val="000000"/>
                <w:sz w:val="20"/>
                <w:szCs w:val="20"/>
                <w:shd w:val="clear" w:color="auto" w:fill="FFFFFF"/>
              </w:rPr>
              <w:t xml:space="preserve">A collection of cross sectional sputum samples and some longitudinal from adult patients at the UCSD adult CF center. These samples were extracted in both ethyl </w:t>
            </w:r>
            <w:proofErr w:type="spellStart"/>
            <w:r>
              <w:rPr>
                <w:rFonts w:ascii="Trebuchet MS" w:hAnsi="Trebuchet MS"/>
                <w:color w:val="000000"/>
                <w:sz w:val="20"/>
                <w:szCs w:val="20"/>
                <w:shd w:val="clear" w:color="auto" w:fill="FFFFFF"/>
              </w:rPr>
              <w:t>actetate</w:t>
            </w:r>
            <w:proofErr w:type="spellEnd"/>
            <w:r>
              <w:rPr>
                <w:rFonts w:ascii="Trebuchet MS" w:hAnsi="Trebuchet MS"/>
                <w:color w:val="000000"/>
                <w:sz w:val="20"/>
                <w:szCs w:val="20"/>
                <w:shd w:val="clear" w:color="auto" w:fill="FFFFFF"/>
              </w:rPr>
              <w:t>/methanol and in 80% ethanol.</w:t>
            </w:r>
          </w:p>
          <w:p w14:paraId="3E93E84A" w14:textId="77777777" w:rsidR="006F1485" w:rsidRDefault="006F1485" w:rsidP="00CD6910"/>
        </w:tc>
        <w:tc>
          <w:tcPr>
            <w:tcW w:w="1958" w:type="dxa"/>
          </w:tcPr>
          <w:p w14:paraId="3EFC85E3" w14:textId="77777777" w:rsidR="006F1485" w:rsidRDefault="006F1485" w:rsidP="00CD6910">
            <w:pPr>
              <w:jc w:val="center"/>
              <w:rPr>
                <w:rFonts w:eastAsia="Times New Roman"/>
                <w:lang w:val="de-DE"/>
              </w:rPr>
            </w:pPr>
            <w:r w:rsidRPr="00F37712">
              <w:rPr>
                <w:rFonts w:ascii="Trebuchet MS" w:hAnsi="Trebuchet MS"/>
                <w:i/>
                <w:color w:val="000000"/>
                <w:sz w:val="20"/>
                <w:szCs w:val="20"/>
                <w:shd w:val="clear" w:color="auto" w:fill="FFFFFF"/>
              </w:rPr>
              <w:t>Homo sapiens</w:t>
            </w:r>
            <w:r>
              <w:rPr>
                <w:rFonts w:ascii="Trebuchet MS" w:hAnsi="Trebuchet MS"/>
                <w:color w:val="000000"/>
                <w:sz w:val="20"/>
                <w:szCs w:val="20"/>
                <w:shd w:val="clear" w:color="auto" w:fill="FFFFFF"/>
              </w:rPr>
              <w:t xml:space="preserve"> (NCBITaxon:9606)</w:t>
            </w:r>
          </w:p>
          <w:p w14:paraId="4B433905" w14:textId="77777777" w:rsidR="006F1485" w:rsidRDefault="006F1485" w:rsidP="00CD6910">
            <w:pPr>
              <w:jc w:val="center"/>
            </w:pPr>
          </w:p>
        </w:tc>
        <w:tc>
          <w:tcPr>
            <w:tcW w:w="877" w:type="dxa"/>
          </w:tcPr>
          <w:p w14:paraId="6CEF625C" w14:textId="6D778A00" w:rsidR="006F1485" w:rsidRDefault="006F1485" w:rsidP="00CD6910">
            <w:pPr>
              <w:jc w:val="center"/>
            </w:pPr>
            <w:r>
              <w:t>0.97</w:t>
            </w:r>
          </w:p>
        </w:tc>
        <w:tc>
          <w:tcPr>
            <w:tcW w:w="1281" w:type="dxa"/>
          </w:tcPr>
          <w:p w14:paraId="369D52B1" w14:textId="04D04A8F" w:rsidR="006F1485" w:rsidRDefault="006F1485" w:rsidP="00CD6910">
            <w:pPr>
              <w:jc w:val="center"/>
            </w:pPr>
            <w:r>
              <w:t>19</w:t>
            </w:r>
          </w:p>
        </w:tc>
        <w:tc>
          <w:tcPr>
            <w:tcW w:w="3768" w:type="dxa"/>
          </w:tcPr>
          <w:p w14:paraId="1DC9B6D9" w14:textId="32950327" w:rsidR="004E1D47" w:rsidRDefault="004E1D47" w:rsidP="00CD6910">
            <w:r w:rsidRPr="004E1D47">
              <w:t>https://gnps.ucsd.edu/ProteoSAFe</w:t>
            </w:r>
          </w:p>
          <w:p w14:paraId="77EA42AE" w14:textId="77777777" w:rsidR="004E1D47" w:rsidRDefault="004E1D47" w:rsidP="00CD6910">
            <w:r w:rsidRPr="004E1D47">
              <w:t>/</w:t>
            </w:r>
            <w:proofErr w:type="spellStart"/>
            <w:r w:rsidRPr="004E1D47">
              <w:t>result.jsp?task</w:t>
            </w:r>
            <w:proofErr w:type="spellEnd"/>
            <w:r w:rsidRPr="004E1D47">
              <w:t>=e0d9f4d16f71467</w:t>
            </w:r>
          </w:p>
          <w:p w14:paraId="1DB70299" w14:textId="77777777" w:rsidR="004E1D47" w:rsidRDefault="004E1D47" w:rsidP="00CD6910">
            <w:r w:rsidRPr="004E1D47">
              <w:t>e87ece31fa11c39ab&amp;view=</w:t>
            </w:r>
            <w:proofErr w:type="spellStart"/>
            <w:r w:rsidRPr="004E1D47">
              <w:t>view_all</w:t>
            </w:r>
            <w:proofErr w:type="spellEnd"/>
          </w:p>
          <w:p w14:paraId="4C7A2019" w14:textId="710D13A1" w:rsidR="006F1485" w:rsidRDefault="004E1D47" w:rsidP="00CD6910">
            <w:r w:rsidRPr="004E1D47">
              <w:t>_</w:t>
            </w:r>
            <w:proofErr w:type="spellStart"/>
            <w:r w:rsidRPr="004E1D47">
              <w:t>datasets_matched</w:t>
            </w:r>
            <w:proofErr w:type="spellEnd"/>
          </w:p>
        </w:tc>
      </w:tr>
      <w:tr w:rsidR="006F1485" w14:paraId="326EC35D" w14:textId="77777777" w:rsidTr="00CD6910">
        <w:tc>
          <w:tcPr>
            <w:tcW w:w="1328" w:type="dxa"/>
          </w:tcPr>
          <w:p w14:paraId="7EDCC9C9" w14:textId="365208E6" w:rsidR="006F1485" w:rsidRDefault="006F1485" w:rsidP="00CD6910">
            <w:pPr>
              <w:jc w:val="center"/>
            </w:pPr>
            <w:r>
              <w:t>184</w:t>
            </w:r>
          </w:p>
        </w:tc>
        <w:tc>
          <w:tcPr>
            <w:tcW w:w="1763" w:type="dxa"/>
          </w:tcPr>
          <w:p w14:paraId="77363321" w14:textId="0705F4FF" w:rsidR="006F1485" w:rsidRDefault="006F1485" w:rsidP="00CD6910">
            <w:pPr>
              <w:jc w:val="center"/>
            </w:pPr>
            <w:r w:rsidRPr="006F1485">
              <w:t>MSV000080016</w:t>
            </w:r>
          </w:p>
        </w:tc>
        <w:tc>
          <w:tcPr>
            <w:tcW w:w="1442" w:type="dxa"/>
          </w:tcPr>
          <w:p w14:paraId="482A3DDA"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GNPS - Sugarcane Microbe interaction</w:t>
            </w:r>
          </w:p>
          <w:p w14:paraId="755476CA" w14:textId="77777777" w:rsidR="006F1485" w:rsidRDefault="006F1485" w:rsidP="00CD6910">
            <w:pPr>
              <w:jc w:val="center"/>
            </w:pPr>
          </w:p>
        </w:tc>
        <w:tc>
          <w:tcPr>
            <w:tcW w:w="2786" w:type="dxa"/>
          </w:tcPr>
          <w:p w14:paraId="41AD2410" w14:textId="77777777" w:rsidR="006F1485" w:rsidRPr="006F1485" w:rsidRDefault="006F1485" w:rsidP="00CD6910">
            <w:pPr>
              <w:rPr>
                <w:rFonts w:eastAsia="Times New Roman"/>
              </w:rPr>
            </w:pPr>
            <w:r>
              <w:rPr>
                <w:rFonts w:ascii="Trebuchet MS" w:hAnsi="Trebuchet MS"/>
                <w:color w:val="000000"/>
                <w:sz w:val="20"/>
                <w:szCs w:val="20"/>
                <w:shd w:val="clear" w:color="auto" w:fill="FFFFFF"/>
              </w:rPr>
              <w:t xml:space="preserve">LC-MSMS based 3D spatial metabolomics of two sugarcane plants and their interaction with a </w:t>
            </w:r>
            <w:proofErr w:type="spellStart"/>
            <w:r>
              <w:rPr>
                <w:rFonts w:ascii="Trebuchet MS" w:hAnsi="Trebuchet MS"/>
                <w:color w:val="000000"/>
                <w:sz w:val="20"/>
                <w:szCs w:val="20"/>
                <w:shd w:val="clear" w:color="auto" w:fill="FFFFFF"/>
              </w:rPr>
              <w:t>Xanthomonas</w:t>
            </w:r>
            <w:proofErr w:type="spellEnd"/>
            <w:r>
              <w:rPr>
                <w:rFonts w:ascii="Trebuchet MS" w:hAnsi="Trebuchet MS"/>
                <w:color w:val="000000"/>
                <w:sz w:val="20"/>
                <w:szCs w:val="20"/>
                <w:shd w:val="clear" w:color="auto" w:fill="FFFFFF"/>
              </w:rPr>
              <w:t xml:space="preserve"> isolate.</w:t>
            </w:r>
          </w:p>
          <w:p w14:paraId="445E22B0" w14:textId="77777777" w:rsidR="006F1485" w:rsidRDefault="006F1485" w:rsidP="00CD6910"/>
        </w:tc>
        <w:tc>
          <w:tcPr>
            <w:tcW w:w="1958" w:type="dxa"/>
          </w:tcPr>
          <w:p w14:paraId="53B04C65"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Sugarcane</w:t>
            </w:r>
          </w:p>
          <w:p w14:paraId="6A6584CA" w14:textId="77777777" w:rsidR="006F1485" w:rsidRDefault="006F1485" w:rsidP="00CD6910">
            <w:pPr>
              <w:jc w:val="center"/>
            </w:pPr>
          </w:p>
        </w:tc>
        <w:tc>
          <w:tcPr>
            <w:tcW w:w="877" w:type="dxa"/>
          </w:tcPr>
          <w:p w14:paraId="6E96F10B"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0.85</w:t>
            </w:r>
          </w:p>
          <w:p w14:paraId="53A424D4" w14:textId="77777777" w:rsidR="006F1485" w:rsidRDefault="006F1485" w:rsidP="00CD6910">
            <w:pPr>
              <w:jc w:val="center"/>
            </w:pPr>
          </w:p>
        </w:tc>
        <w:tc>
          <w:tcPr>
            <w:tcW w:w="1281" w:type="dxa"/>
          </w:tcPr>
          <w:p w14:paraId="5B25C4FC" w14:textId="2BE046DD" w:rsidR="006F1485" w:rsidRDefault="006F1485" w:rsidP="00CD6910">
            <w:pPr>
              <w:jc w:val="center"/>
            </w:pPr>
            <w:r>
              <w:t>14</w:t>
            </w:r>
          </w:p>
        </w:tc>
        <w:tc>
          <w:tcPr>
            <w:tcW w:w="3768" w:type="dxa"/>
          </w:tcPr>
          <w:p w14:paraId="55E338E0" w14:textId="31A188AA" w:rsidR="006F1485" w:rsidRDefault="006F1485" w:rsidP="00CD6910">
            <w:r w:rsidRPr="00CD6910">
              <w:t>https://gnps.ucsd.edu/ProteoSAFe</w:t>
            </w:r>
          </w:p>
          <w:p w14:paraId="4730011B" w14:textId="77777777" w:rsidR="006F1485" w:rsidRDefault="006F1485" w:rsidP="00CD6910">
            <w:r w:rsidRPr="006F1485">
              <w:t>/</w:t>
            </w:r>
            <w:proofErr w:type="spellStart"/>
            <w:r w:rsidRPr="006F1485">
              <w:t>result.jsp?task</w:t>
            </w:r>
            <w:proofErr w:type="spellEnd"/>
            <w:r w:rsidRPr="006F1485">
              <w:t>=d56022e5ac924fd</w:t>
            </w:r>
          </w:p>
          <w:p w14:paraId="08865708" w14:textId="77777777" w:rsidR="006F1485" w:rsidRDefault="006F1485" w:rsidP="00CD6910">
            <w:r w:rsidRPr="006F1485">
              <w:t>498ba917a9597df79&amp;view=</w:t>
            </w:r>
            <w:proofErr w:type="spellStart"/>
            <w:r w:rsidRPr="006F1485">
              <w:t>view_all</w:t>
            </w:r>
            <w:proofErr w:type="spellEnd"/>
          </w:p>
          <w:p w14:paraId="5302EDEF" w14:textId="17A74ECA" w:rsidR="006F1485" w:rsidRDefault="006F1485" w:rsidP="00CD6910">
            <w:r w:rsidRPr="006F1485">
              <w:t>_</w:t>
            </w:r>
            <w:proofErr w:type="spellStart"/>
            <w:r w:rsidRPr="006F1485">
              <w:t>datasets_matched</w:t>
            </w:r>
            <w:proofErr w:type="spellEnd"/>
          </w:p>
        </w:tc>
      </w:tr>
      <w:tr w:rsidR="006F1485" w14:paraId="799EA713" w14:textId="77777777" w:rsidTr="00CD6910">
        <w:tc>
          <w:tcPr>
            <w:tcW w:w="1328" w:type="dxa"/>
          </w:tcPr>
          <w:p w14:paraId="5E49A2F2" w14:textId="7F478F44" w:rsidR="006F1485" w:rsidRDefault="006F1485" w:rsidP="00CD6910">
            <w:pPr>
              <w:jc w:val="center"/>
            </w:pPr>
            <w:bookmarkStart w:id="0" w:name="_GoBack" w:colFirst="0" w:colLast="8"/>
            <w:r>
              <w:t>7453</w:t>
            </w:r>
          </w:p>
        </w:tc>
        <w:tc>
          <w:tcPr>
            <w:tcW w:w="1763" w:type="dxa"/>
          </w:tcPr>
          <w:p w14:paraId="49FD07CA" w14:textId="72539523" w:rsidR="006F1485" w:rsidRPr="006F1485" w:rsidRDefault="006F1485" w:rsidP="00CD6910">
            <w:pPr>
              <w:jc w:val="center"/>
              <w:rPr>
                <w:lang w:val="de-DE"/>
              </w:rPr>
            </w:pPr>
            <w:r w:rsidRPr="006F1485">
              <w:rPr>
                <w:lang w:val="de-DE"/>
              </w:rPr>
              <w:t>MSV000080050</w:t>
            </w:r>
          </w:p>
        </w:tc>
        <w:tc>
          <w:tcPr>
            <w:tcW w:w="1442" w:type="dxa"/>
          </w:tcPr>
          <w:p w14:paraId="0B209D1D" w14:textId="72E0832E" w:rsidR="006F1485" w:rsidRDefault="006F1485" w:rsidP="00CD6910">
            <w:pPr>
              <w:jc w:val="center"/>
            </w:pPr>
            <w:r w:rsidRPr="006F1485">
              <w:t>GNPS - Global Stool Dataset - C18-LC-MS/MS Positive polarity</w:t>
            </w:r>
          </w:p>
        </w:tc>
        <w:tc>
          <w:tcPr>
            <w:tcW w:w="2786" w:type="dxa"/>
          </w:tcPr>
          <w:p w14:paraId="33B83BEE" w14:textId="77777777" w:rsidR="006F1485" w:rsidRDefault="006F1485" w:rsidP="00CD6910">
            <w:pPr>
              <w:rPr>
                <w:rFonts w:eastAsia="Times New Roman"/>
                <w:lang w:val="de-DE"/>
              </w:rPr>
            </w:pPr>
            <w:r>
              <w:rPr>
                <w:rFonts w:ascii="Trebuchet MS" w:hAnsi="Trebuchet MS"/>
                <w:color w:val="000000"/>
                <w:sz w:val="20"/>
                <w:szCs w:val="20"/>
                <w:shd w:val="clear" w:color="auto" w:fill="FFFFFF"/>
              </w:rPr>
              <w:t xml:space="preserve">Human and rat stool sample Data was acquired using a Bruker </w:t>
            </w:r>
            <w:proofErr w:type="spellStart"/>
            <w:r>
              <w:rPr>
                <w:rFonts w:ascii="Trebuchet MS" w:hAnsi="Trebuchet MS"/>
                <w:color w:val="000000"/>
                <w:sz w:val="20"/>
                <w:szCs w:val="20"/>
                <w:shd w:val="clear" w:color="auto" w:fill="FFFFFF"/>
              </w:rPr>
              <w:t>Daltonics</w:t>
            </w:r>
            <w:proofErr w:type="spellEnd"/>
            <w:r>
              <w:rPr>
                <w:rFonts w:ascii="Trebuchet MS" w:hAnsi="Trebuchet MS"/>
                <w:color w:val="000000"/>
                <w:sz w:val="20"/>
                <w:szCs w:val="20"/>
                <w:shd w:val="clear" w:color="auto" w:fill="FFFFFF"/>
              </w:rPr>
              <w:t xml:space="preserve"> </w:t>
            </w:r>
            <w:proofErr w:type="spellStart"/>
            <w:r>
              <w:rPr>
                <w:rFonts w:ascii="Trebuchet MS" w:hAnsi="Trebuchet MS"/>
                <w:color w:val="000000"/>
                <w:sz w:val="20"/>
                <w:szCs w:val="20"/>
                <w:shd w:val="clear" w:color="auto" w:fill="FFFFFF"/>
              </w:rPr>
              <w:t>maXis</w:t>
            </w:r>
            <w:proofErr w:type="spellEnd"/>
            <w:r>
              <w:rPr>
                <w:rFonts w:ascii="Trebuchet MS" w:hAnsi="Trebuchet MS"/>
                <w:color w:val="000000"/>
                <w:sz w:val="20"/>
                <w:szCs w:val="20"/>
                <w:shd w:val="clear" w:color="auto" w:fill="FFFFFF"/>
              </w:rPr>
              <w:t xml:space="preserve"> Impact and C18 RP-UHPLC. Positive polarity acquisition of LC-MS/MS.</w:t>
            </w:r>
          </w:p>
          <w:p w14:paraId="7D381502" w14:textId="77777777" w:rsidR="006F1485" w:rsidRDefault="006F1485" w:rsidP="00CD6910"/>
        </w:tc>
        <w:tc>
          <w:tcPr>
            <w:tcW w:w="1958" w:type="dxa"/>
          </w:tcPr>
          <w:p w14:paraId="21022C33" w14:textId="77777777" w:rsidR="006F1485" w:rsidRPr="00F37712" w:rsidRDefault="006F1485" w:rsidP="00CD6910">
            <w:pPr>
              <w:jc w:val="center"/>
              <w:rPr>
                <w:rFonts w:ascii="Trebuchet MS" w:hAnsi="Trebuchet MS"/>
                <w:color w:val="000000"/>
                <w:sz w:val="20"/>
                <w:szCs w:val="20"/>
                <w:shd w:val="clear" w:color="auto" w:fill="FFFFFF"/>
                <w:lang w:val="es-ES"/>
              </w:rPr>
            </w:pPr>
            <w:r w:rsidRPr="00F37712">
              <w:rPr>
                <w:rFonts w:ascii="Trebuchet MS" w:hAnsi="Trebuchet MS"/>
                <w:i/>
                <w:color w:val="000000"/>
                <w:sz w:val="20"/>
                <w:szCs w:val="20"/>
                <w:shd w:val="clear" w:color="auto" w:fill="FFFFFF"/>
                <w:lang w:val="es-ES"/>
              </w:rPr>
              <w:t>Homo sapiens</w:t>
            </w:r>
            <w:r w:rsidRPr="00F37712">
              <w:rPr>
                <w:rFonts w:ascii="Trebuchet MS" w:hAnsi="Trebuchet MS"/>
                <w:color w:val="000000"/>
                <w:sz w:val="20"/>
                <w:szCs w:val="20"/>
                <w:shd w:val="clear" w:color="auto" w:fill="FFFFFF"/>
                <w:lang w:val="es-ES"/>
              </w:rPr>
              <w:t xml:space="preserve"> (NCBITaxon:9606);</w:t>
            </w:r>
          </w:p>
          <w:p w14:paraId="0F46F0A5" w14:textId="47CD1096" w:rsidR="006F1485" w:rsidRPr="00F37712" w:rsidRDefault="006F1485" w:rsidP="00CD6910">
            <w:pPr>
              <w:jc w:val="center"/>
              <w:rPr>
                <w:rFonts w:eastAsia="Times New Roman"/>
                <w:lang w:val="es-ES"/>
              </w:rPr>
            </w:pPr>
            <w:r w:rsidRPr="00F37712">
              <w:rPr>
                <w:rFonts w:ascii="Trebuchet MS" w:hAnsi="Trebuchet MS"/>
                <w:i/>
                <w:color w:val="000000"/>
                <w:sz w:val="20"/>
                <w:szCs w:val="20"/>
                <w:shd w:val="clear" w:color="auto" w:fill="FFFFFF"/>
                <w:lang w:val="es-ES"/>
              </w:rPr>
              <w:t>Rattus norvegicus</w:t>
            </w:r>
            <w:r w:rsidRPr="00F37712">
              <w:rPr>
                <w:rFonts w:ascii="Trebuchet MS" w:hAnsi="Trebuchet MS"/>
                <w:color w:val="000000"/>
                <w:sz w:val="20"/>
                <w:szCs w:val="20"/>
                <w:shd w:val="clear" w:color="auto" w:fill="FFFFFF"/>
                <w:lang w:val="es-ES"/>
              </w:rPr>
              <w:t xml:space="preserve"> (NCBITaxon:10116)</w:t>
            </w:r>
          </w:p>
          <w:p w14:paraId="6B8AE5C2" w14:textId="77777777" w:rsidR="006F1485" w:rsidRPr="00F37712" w:rsidRDefault="006F1485" w:rsidP="00CD6910">
            <w:pPr>
              <w:jc w:val="center"/>
              <w:rPr>
                <w:lang w:val="es-ES"/>
              </w:rPr>
            </w:pPr>
          </w:p>
        </w:tc>
        <w:tc>
          <w:tcPr>
            <w:tcW w:w="877" w:type="dxa"/>
          </w:tcPr>
          <w:p w14:paraId="6C8DBB81" w14:textId="77777777" w:rsidR="006F1485" w:rsidRDefault="006F1485" w:rsidP="00CD6910">
            <w:pPr>
              <w:jc w:val="center"/>
              <w:rPr>
                <w:rFonts w:eastAsia="Times New Roman"/>
                <w:lang w:val="de-DE"/>
              </w:rPr>
            </w:pPr>
            <w:r>
              <w:rPr>
                <w:rFonts w:ascii="Trebuchet MS" w:hAnsi="Trebuchet MS"/>
                <w:color w:val="000000"/>
                <w:sz w:val="20"/>
                <w:szCs w:val="20"/>
                <w:shd w:val="clear" w:color="auto" w:fill="FFFFFF"/>
              </w:rPr>
              <w:t>0.84</w:t>
            </w:r>
          </w:p>
          <w:p w14:paraId="4A9D4361" w14:textId="77777777" w:rsidR="006F1485" w:rsidRDefault="006F1485" w:rsidP="00CD6910">
            <w:pPr>
              <w:jc w:val="center"/>
            </w:pPr>
          </w:p>
        </w:tc>
        <w:tc>
          <w:tcPr>
            <w:tcW w:w="1281" w:type="dxa"/>
          </w:tcPr>
          <w:p w14:paraId="0E2EBC7A" w14:textId="21B280BE" w:rsidR="006F1485" w:rsidRDefault="006F1485" w:rsidP="00CD6910">
            <w:pPr>
              <w:jc w:val="center"/>
            </w:pPr>
            <w:r>
              <w:t>14</w:t>
            </w:r>
          </w:p>
        </w:tc>
        <w:tc>
          <w:tcPr>
            <w:tcW w:w="3768" w:type="dxa"/>
          </w:tcPr>
          <w:p w14:paraId="459FF9B1" w14:textId="57D4A2D1" w:rsidR="006F1485" w:rsidRDefault="006F1485" w:rsidP="00CD6910">
            <w:r w:rsidRPr="00CD6910">
              <w:t>https://gnps.ucsd.edu/ProteoSAFe</w:t>
            </w:r>
          </w:p>
          <w:p w14:paraId="32339673" w14:textId="77777777" w:rsidR="006F1485" w:rsidRDefault="006F1485" w:rsidP="00CD6910">
            <w:r w:rsidRPr="006F1485">
              <w:t>/</w:t>
            </w:r>
            <w:proofErr w:type="spellStart"/>
            <w:r w:rsidRPr="006F1485">
              <w:t>result.jsp?task</w:t>
            </w:r>
            <w:proofErr w:type="spellEnd"/>
            <w:r w:rsidRPr="006F1485">
              <w:t>=4bd6c51c36e341c</w:t>
            </w:r>
          </w:p>
          <w:p w14:paraId="56100A56" w14:textId="77777777" w:rsidR="006F1485" w:rsidRDefault="006F1485" w:rsidP="00CD6910">
            <w:r w:rsidRPr="006F1485">
              <w:t>b9d86c2ecf8024739&amp;view=</w:t>
            </w:r>
            <w:proofErr w:type="spellStart"/>
            <w:r w:rsidRPr="006F1485">
              <w:t>view_all</w:t>
            </w:r>
            <w:proofErr w:type="spellEnd"/>
          </w:p>
          <w:p w14:paraId="32015ECD" w14:textId="001F9126" w:rsidR="006F1485" w:rsidRDefault="006F1485" w:rsidP="00CD6910">
            <w:r w:rsidRPr="006F1485">
              <w:t>_</w:t>
            </w:r>
            <w:proofErr w:type="spellStart"/>
            <w:r w:rsidRPr="006F1485">
              <w:t>datasets_matched</w:t>
            </w:r>
            <w:proofErr w:type="spellEnd"/>
          </w:p>
        </w:tc>
      </w:tr>
    </w:tbl>
    <w:bookmarkEnd w:id="0"/>
    <w:p w14:paraId="542FE9EF" w14:textId="72597730" w:rsidR="00CD0341" w:rsidRDefault="00CD6910">
      <w:r>
        <w:t xml:space="preserve">Supplementary Table </w:t>
      </w:r>
      <w:r w:rsidR="00C901BE">
        <w:t>3</w:t>
      </w:r>
      <w:r>
        <w:t>. Further details of MASST matches. Full results including mirrored peaks can be seen via the link.</w:t>
      </w:r>
    </w:p>
    <w:p w14:paraId="58899D59" w14:textId="393250F6" w:rsidR="00CD6910" w:rsidRDefault="00CD6910"/>
    <w:p w14:paraId="0A83125A" w14:textId="77777777" w:rsidR="00C901BE" w:rsidRDefault="00C901BE">
      <w:pPr>
        <w:sectPr w:rsidR="00C901BE" w:rsidSect="006F1485">
          <w:pgSz w:w="16820" w:h="11900" w:orient="landscape"/>
          <w:pgMar w:top="1417" w:right="1134" w:bottom="1417" w:left="1417" w:header="708" w:footer="708" w:gutter="0"/>
          <w:cols w:space="708"/>
          <w:docGrid w:linePitch="360"/>
        </w:sectPr>
      </w:pPr>
    </w:p>
    <w:p w14:paraId="76C33C1A" w14:textId="77777777" w:rsidR="00C901BE" w:rsidRDefault="00C901BE">
      <w:r>
        <w:rPr>
          <w:noProof/>
          <w:lang w:val="en-GB" w:eastAsia="en-GB"/>
        </w:rPr>
        <w:lastRenderedPageBreak/>
        <w:drawing>
          <wp:inline distT="0" distB="0" distL="0" distR="0" wp14:anchorId="435B2208" wp14:editId="30841605">
            <wp:extent cx="4178596" cy="673478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DAPC_cross_val.pdf"/>
                    <pic:cNvPicPr/>
                  </pic:nvPicPr>
                  <pic:blipFill>
                    <a:blip r:embed="rId4">
                      <a:extLst>
                        <a:ext uri="{28A0092B-C50C-407E-A947-70E740481C1C}">
                          <a14:useLocalDpi xmlns:a14="http://schemas.microsoft.com/office/drawing/2010/main" val="0"/>
                        </a:ext>
                      </a:extLst>
                    </a:blip>
                    <a:stretch>
                      <a:fillRect/>
                    </a:stretch>
                  </pic:blipFill>
                  <pic:spPr>
                    <a:xfrm>
                      <a:off x="0" y="0"/>
                      <a:ext cx="4178596" cy="6734782"/>
                    </a:xfrm>
                    <a:prstGeom prst="rect">
                      <a:avLst/>
                    </a:prstGeom>
                  </pic:spPr>
                </pic:pic>
              </a:graphicData>
            </a:graphic>
          </wp:inline>
        </w:drawing>
      </w:r>
    </w:p>
    <w:p w14:paraId="634FFD09" w14:textId="17F6D1AD" w:rsidR="00C901BE" w:rsidRPr="00C901BE" w:rsidRDefault="00C901BE">
      <w:r w:rsidRPr="00C901BE">
        <w:rPr>
          <w:b/>
        </w:rPr>
        <w:t xml:space="preserve">Supplementary Figure 1. </w:t>
      </w:r>
      <w:r>
        <w:t xml:space="preserve">Cross validation of DAPC analysis, retaining different numbers of principal components (PCs) to determine the number of PCs resulting in the smallest root mean squared error. Default values for train-test split were used with the </w:t>
      </w:r>
      <w:proofErr w:type="spellStart"/>
      <w:r>
        <w:rPr>
          <w:i/>
        </w:rPr>
        <w:t>xvalDapc</w:t>
      </w:r>
      <w:proofErr w:type="spellEnd"/>
      <w:r>
        <w:rPr>
          <w:i/>
        </w:rPr>
        <w:t xml:space="preserve"> </w:t>
      </w:r>
      <w:r>
        <w:t xml:space="preserve">function in </w:t>
      </w:r>
      <w:proofErr w:type="spellStart"/>
      <w:r>
        <w:t>adegenet</w:t>
      </w:r>
      <w:proofErr w:type="spellEnd"/>
      <w:r>
        <w:t xml:space="preserve"> package implemented in R.</w:t>
      </w:r>
    </w:p>
    <w:p w14:paraId="5A1699A8" w14:textId="77777777" w:rsidR="00C901BE" w:rsidRDefault="00C901BE"/>
    <w:p w14:paraId="106C22EE" w14:textId="77777777" w:rsidR="00C901BE" w:rsidRDefault="00C901BE">
      <w:r>
        <w:rPr>
          <w:noProof/>
          <w:lang w:val="en-GB" w:eastAsia="en-GB"/>
        </w:rPr>
        <w:lastRenderedPageBreak/>
        <w:drawing>
          <wp:inline distT="0" distB="0" distL="0" distR="0" wp14:anchorId="7EE207C5" wp14:editId="5ACBD39D">
            <wp:extent cx="5093195" cy="820833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CA_variance_explained.pdf"/>
                    <pic:cNvPicPr/>
                  </pic:nvPicPr>
                  <pic:blipFill>
                    <a:blip r:embed="rId5">
                      <a:extLst>
                        <a:ext uri="{28A0092B-C50C-407E-A947-70E740481C1C}">
                          <a14:useLocalDpi xmlns:a14="http://schemas.microsoft.com/office/drawing/2010/main" val="0"/>
                        </a:ext>
                      </a:extLst>
                    </a:blip>
                    <a:stretch>
                      <a:fillRect/>
                    </a:stretch>
                  </pic:blipFill>
                  <pic:spPr>
                    <a:xfrm>
                      <a:off x="0" y="0"/>
                      <a:ext cx="5093195" cy="8208335"/>
                    </a:xfrm>
                    <a:prstGeom prst="rect">
                      <a:avLst/>
                    </a:prstGeom>
                  </pic:spPr>
                </pic:pic>
              </a:graphicData>
            </a:graphic>
          </wp:inline>
        </w:drawing>
      </w:r>
    </w:p>
    <w:p w14:paraId="4021546A" w14:textId="77777777" w:rsidR="00C901BE" w:rsidRDefault="00C901BE"/>
    <w:p w14:paraId="30903A4F" w14:textId="77777777" w:rsidR="00C901BE" w:rsidRDefault="00C901BE">
      <w:r>
        <w:rPr>
          <w:b/>
        </w:rPr>
        <w:t xml:space="preserve">Supplementary Figure 2. </w:t>
      </w:r>
      <w:r>
        <w:t>Cumulative variance explained by principal component analysis.</w:t>
      </w:r>
    </w:p>
    <w:p w14:paraId="7D26D260" w14:textId="77777777" w:rsidR="00C901BE" w:rsidRDefault="00C901BE"/>
    <w:p w14:paraId="1BC451D9" w14:textId="77777777" w:rsidR="00C901BE" w:rsidRDefault="00C901BE"/>
    <w:p w14:paraId="5E3F286E" w14:textId="2BBB52C0" w:rsidR="00C901BE" w:rsidRDefault="00F37712">
      <w:r>
        <w:rPr>
          <w:noProof/>
        </w:rPr>
        <w:lastRenderedPageBreak/>
        <w:drawing>
          <wp:inline distT="0" distB="0" distL="0" distR="0" wp14:anchorId="4C625DFA" wp14:editId="6D14D261">
            <wp:extent cx="3784600" cy="763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usion_matrix.png"/>
                    <pic:cNvPicPr/>
                  </pic:nvPicPr>
                  <pic:blipFill>
                    <a:blip r:embed="rId6">
                      <a:extLst>
                        <a:ext uri="{28A0092B-C50C-407E-A947-70E740481C1C}">
                          <a14:useLocalDpi xmlns:a14="http://schemas.microsoft.com/office/drawing/2010/main" val="0"/>
                        </a:ext>
                      </a:extLst>
                    </a:blip>
                    <a:stretch>
                      <a:fillRect/>
                    </a:stretch>
                  </pic:blipFill>
                  <pic:spPr>
                    <a:xfrm>
                      <a:off x="0" y="0"/>
                      <a:ext cx="3784600" cy="7632700"/>
                    </a:xfrm>
                    <a:prstGeom prst="rect">
                      <a:avLst/>
                    </a:prstGeom>
                  </pic:spPr>
                </pic:pic>
              </a:graphicData>
            </a:graphic>
          </wp:inline>
        </w:drawing>
      </w:r>
    </w:p>
    <w:p w14:paraId="471438B5" w14:textId="77777777" w:rsidR="00C901BE" w:rsidRDefault="00C901BE"/>
    <w:p w14:paraId="4CFD9838" w14:textId="093CA108" w:rsidR="00C901BE" w:rsidRPr="00C901BE" w:rsidRDefault="00C901BE">
      <w:pPr>
        <w:sectPr w:rsidR="00C901BE" w:rsidRPr="00C901BE" w:rsidSect="00C901BE">
          <w:pgSz w:w="11900" w:h="16820"/>
          <w:pgMar w:top="1417" w:right="1417" w:bottom="1134" w:left="1417" w:header="708" w:footer="708" w:gutter="0"/>
          <w:cols w:space="708"/>
          <w:docGrid w:linePitch="360"/>
        </w:sectPr>
      </w:pPr>
      <w:r w:rsidRPr="00C901BE">
        <w:rPr>
          <w:b/>
        </w:rPr>
        <w:t>Supplementary Figure 3.</w:t>
      </w:r>
      <w:r>
        <w:t xml:space="preserve"> Confusion matrix for each of the three machine learning models used  showing the proportions of true positives, true negatives, false positives and false negatives.</w:t>
      </w:r>
    </w:p>
    <w:p w14:paraId="31885C07" w14:textId="77777777" w:rsidR="00C901BE" w:rsidRPr="006355A8" w:rsidRDefault="00C901BE" w:rsidP="00C901BE">
      <w:pPr>
        <w:rPr>
          <w:b/>
        </w:rPr>
      </w:pPr>
      <w:r>
        <w:rPr>
          <w:b/>
        </w:rPr>
        <w:lastRenderedPageBreak/>
        <w:t>Random Forest</w:t>
      </w:r>
    </w:p>
    <w:p w14:paraId="573F4B90" w14:textId="77777777" w:rsidR="00C901BE" w:rsidRDefault="00C901BE" w:rsidP="00C901BE">
      <w:r>
        <w:rPr>
          <w:noProof/>
          <w:lang w:val="en-GB" w:eastAsia="en-GB"/>
        </w:rPr>
        <w:drawing>
          <wp:inline distT="0" distB="0" distL="0" distR="0" wp14:anchorId="487B65C3" wp14:editId="40FBB571">
            <wp:extent cx="9060815" cy="980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12-21 at 15.05.52.png"/>
                    <pic:cNvPicPr/>
                  </pic:nvPicPr>
                  <pic:blipFill>
                    <a:blip r:embed="rId7">
                      <a:extLst>
                        <a:ext uri="{28A0092B-C50C-407E-A947-70E740481C1C}">
                          <a14:useLocalDpi xmlns:a14="http://schemas.microsoft.com/office/drawing/2010/main" val="0"/>
                        </a:ext>
                      </a:extLst>
                    </a:blip>
                    <a:stretch>
                      <a:fillRect/>
                    </a:stretch>
                  </pic:blipFill>
                  <pic:spPr>
                    <a:xfrm>
                      <a:off x="0" y="0"/>
                      <a:ext cx="9060815" cy="980440"/>
                    </a:xfrm>
                    <a:prstGeom prst="rect">
                      <a:avLst/>
                    </a:prstGeom>
                  </pic:spPr>
                </pic:pic>
              </a:graphicData>
            </a:graphic>
          </wp:inline>
        </w:drawing>
      </w:r>
    </w:p>
    <w:p w14:paraId="3242B70B" w14:textId="77777777" w:rsidR="00C901BE" w:rsidRDefault="00C901BE" w:rsidP="00C901BE">
      <w:pPr>
        <w:rPr>
          <w:b/>
        </w:rPr>
      </w:pPr>
      <w:r>
        <w:rPr>
          <w:b/>
        </w:rPr>
        <w:t>Gradient Boosting</w:t>
      </w:r>
      <w:r>
        <w:rPr>
          <w:b/>
          <w:noProof/>
          <w:lang w:val="en-GB" w:eastAsia="en-GB"/>
        </w:rPr>
        <w:drawing>
          <wp:inline distT="0" distB="0" distL="0" distR="0" wp14:anchorId="136C9475" wp14:editId="47880F44">
            <wp:extent cx="9060815"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12-21 at 15.06.12.png"/>
                    <pic:cNvPicPr/>
                  </pic:nvPicPr>
                  <pic:blipFill>
                    <a:blip r:embed="rId8">
                      <a:extLst>
                        <a:ext uri="{28A0092B-C50C-407E-A947-70E740481C1C}">
                          <a14:useLocalDpi xmlns:a14="http://schemas.microsoft.com/office/drawing/2010/main" val="0"/>
                        </a:ext>
                      </a:extLst>
                    </a:blip>
                    <a:stretch>
                      <a:fillRect/>
                    </a:stretch>
                  </pic:blipFill>
                  <pic:spPr>
                    <a:xfrm>
                      <a:off x="0" y="0"/>
                      <a:ext cx="9060815" cy="1019175"/>
                    </a:xfrm>
                    <a:prstGeom prst="rect">
                      <a:avLst/>
                    </a:prstGeom>
                  </pic:spPr>
                </pic:pic>
              </a:graphicData>
            </a:graphic>
          </wp:inline>
        </w:drawing>
      </w:r>
    </w:p>
    <w:p w14:paraId="4474F1C5" w14:textId="77777777" w:rsidR="00C901BE" w:rsidRDefault="00C901BE" w:rsidP="00C901BE">
      <w:pPr>
        <w:rPr>
          <w:b/>
        </w:rPr>
      </w:pPr>
      <w:r>
        <w:rPr>
          <w:b/>
        </w:rPr>
        <w:t>Logistic Regression</w:t>
      </w:r>
    </w:p>
    <w:p w14:paraId="556BE510" w14:textId="77777777" w:rsidR="00C901BE" w:rsidRDefault="00C901BE" w:rsidP="00C901BE">
      <w:pPr>
        <w:rPr>
          <w:b/>
        </w:rPr>
      </w:pPr>
      <w:r>
        <w:rPr>
          <w:b/>
          <w:noProof/>
          <w:lang w:val="en-GB" w:eastAsia="en-GB"/>
        </w:rPr>
        <w:drawing>
          <wp:inline distT="0" distB="0" distL="0" distR="0" wp14:anchorId="49BE7779" wp14:editId="2AFA39A5">
            <wp:extent cx="9060815" cy="1077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12-21 at 16.12.14.png"/>
                    <pic:cNvPicPr/>
                  </pic:nvPicPr>
                  <pic:blipFill>
                    <a:blip r:embed="rId9">
                      <a:extLst>
                        <a:ext uri="{28A0092B-C50C-407E-A947-70E740481C1C}">
                          <a14:useLocalDpi xmlns:a14="http://schemas.microsoft.com/office/drawing/2010/main" val="0"/>
                        </a:ext>
                      </a:extLst>
                    </a:blip>
                    <a:stretch>
                      <a:fillRect/>
                    </a:stretch>
                  </pic:blipFill>
                  <pic:spPr>
                    <a:xfrm>
                      <a:off x="0" y="0"/>
                      <a:ext cx="9060815" cy="1077595"/>
                    </a:xfrm>
                    <a:prstGeom prst="rect">
                      <a:avLst/>
                    </a:prstGeom>
                  </pic:spPr>
                </pic:pic>
              </a:graphicData>
            </a:graphic>
          </wp:inline>
        </w:drawing>
      </w:r>
    </w:p>
    <w:p w14:paraId="273F7021" w14:textId="77777777" w:rsidR="00C901BE" w:rsidRDefault="00C901BE" w:rsidP="00C901BE">
      <w:pPr>
        <w:rPr>
          <w:b/>
        </w:rPr>
      </w:pPr>
    </w:p>
    <w:p w14:paraId="47BD693F" w14:textId="1C35A7F0" w:rsidR="00C901BE" w:rsidRPr="00D711BE" w:rsidRDefault="00C901BE" w:rsidP="00C901BE">
      <w:r>
        <w:rPr>
          <w:b/>
        </w:rPr>
        <w:t>Supplementary Figure 4.</w:t>
      </w:r>
      <w:r>
        <w:t xml:space="preserve"> Example explanations from each model for sample 118. These explanations show the proportion that each feature pushes the model from the base value. The base value is determined by averaging the model output over the entire training set. Feature</w:t>
      </w:r>
      <w:r w:rsidR="002F43C2">
        <w:t>s</w:t>
      </w:r>
      <w:r>
        <w:t xml:space="preserve"> pushing the model output higher are shown in red, while those pushing the model output lower are shown in blue. All code can be found at </w:t>
      </w:r>
      <w:r w:rsidRPr="00D711BE">
        <w:t>https://github.com/ntobias-85/Rprolixus_metabolites</w:t>
      </w:r>
      <w:r>
        <w:t>.</w:t>
      </w:r>
    </w:p>
    <w:p w14:paraId="5A58BA8B" w14:textId="6163CEB3" w:rsidR="00C901BE" w:rsidRDefault="00C901BE"/>
    <w:p w14:paraId="666FA168" w14:textId="515271F9" w:rsidR="006355A8" w:rsidRDefault="00C901BE" w:rsidP="00C901BE">
      <w:pPr>
        <w:jc w:val="center"/>
      </w:pPr>
      <w:r>
        <w:rPr>
          <w:noProof/>
          <w:lang w:val="en-GB" w:eastAsia="en-GB"/>
        </w:rPr>
        <w:lastRenderedPageBreak/>
        <w:drawing>
          <wp:inline distT="0" distB="0" distL="0" distR="0" wp14:anchorId="62EB4E13" wp14:editId="088A5AC9">
            <wp:extent cx="7889359" cy="483015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imeSeries_top9.png"/>
                    <pic:cNvPicPr/>
                  </pic:nvPicPr>
                  <pic:blipFill>
                    <a:blip r:embed="rId10">
                      <a:extLst>
                        <a:ext uri="{28A0092B-C50C-407E-A947-70E740481C1C}">
                          <a14:useLocalDpi xmlns:a14="http://schemas.microsoft.com/office/drawing/2010/main" val="0"/>
                        </a:ext>
                      </a:extLst>
                    </a:blip>
                    <a:stretch>
                      <a:fillRect/>
                    </a:stretch>
                  </pic:blipFill>
                  <pic:spPr>
                    <a:xfrm>
                      <a:off x="0" y="0"/>
                      <a:ext cx="7889359" cy="4830152"/>
                    </a:xfrm>
                    <a:prstGeom prst="rect">
                      <a:avLst/>
                    </a:prstGeom>
                  </pic:spPr>
                </pic:pic>
              </a:graphicData>
            </a:graphic>
          </wp:inline>
        </w:drawing>
      </w:r>
    </w:p>
    <w:p w14:paraId="4CFE1860" w14:textId="3F308F16" w:rsidR="006355A8" w:rsidRDefault="006355A8">
      <w:r w:rsidRPr="00C901BE">
        <w:rPr>
          <w:b/>
        </w:rPr>
        <w:t xml:space="preserve">Supplementary Figure </w:t>
      </w:r>
      <w:r w:rsidR="00C901BE">
        <w:rPr>
          <w:b/>
        </w:rPr>
        <w:t>5</w:t>
      </w:r>
      <w:r w:rsidRPr="00C901BE">
        <w:rPr>
          <w:b/>
        </w:rPr>
        <w:t>.</w:t>
      </w:r>
      <w:r>
        <w:t xml:space="preserve"> Metabolite abundance of top nine machine learning features, broken down by gut compartment (AM: anterior midgut, PM: posterior midgut, H: hindgut). Box plots are separated based on annotated metadata (Supplementary Table </w:t>
      </w:r>
      <w:r w:rsidR="00C901BE">
        <w:t>1</w:t>
      </w:r>
      <w:r>
        <w:t>). Box plots show interquartile range, with median, minimum, maximum and outliers shown. All plots were generated with the GNPS Feature Based Molecular Networking dashboard (v0.1).</w:t>
      </w:r>
    </w:p>
    <w:sectPr w:rsidR="006355A8" w:rsidSect="006F1485">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5"/>
    <w:rsid w:val="002F43C2"/>
    <w:rsid w:val="004E1D47"/>
    <w:rsid w:val="00596C35"/>
    <w:rsid w:val="006355A8"/>
    <w:rsid w:val="006F1485"/>
    <w:rsid w:val="00803CAD"/>
    <w:rsid w:val="008811F1"/>
    <w:rsid w:val="00B17EA0"/>
    <w:rsid w:val="00C22349"/>
    <w:rsid w:val="00C3543D"/>
    <w:rsid w:val="00C901BE"/>
    <w:rsid w:val="00CA39F3"/>
    <w:rsid w:val="00CD0341"/>
    <w:rsid w:val="00CD6910"/>
    <w:rsid w:val="00D711BE"/>
    <w:rsid w:val="00E85583"/>
    <w:rsid w:val="00F37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43DE"/>
  <w15:chartTrackingRefBased/>
  <w15:docId w15:val="{D434F5B1-3EBB-D446-93AF-B174000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485"/>
    <w:rPr>
      <w:color w:val="0563C1" w:themeColor="hyperlink"/>
      <w:u w:val="single"/>
    </w:rPr>
  </w:style>
  <w:style w:type="character" w:customStyle="1" w:styleId="UnresolvedMention1">
    <w:name w:val="Unresolved Mention1"/>
    <w:basedOn w:val="DefaultParagraphFont"/>
    <w:uiPriority w:val="99"/>
    <w:semiHidden/>
    <w:unhideWhenUsed/>
    <w:rsid w:val="006F1485"/>
    <w:rPr>
      <w:color w:val="605E5C"/>
      <w:shd w:val="clear" w:color="auto" w:fill="E1DFDD"/>
    </w:rPr>
  </w:style>
  <w:style w:type="paragraph" w:styleId="BalloonText">
    <w:name w:val="Balloon Text"/>
    <w:basedOn w:val="Normal"/>
    <w:link w:val="BalloonTextChar"/>
    <w:uiPriority w:val="99"/>
    <w:semiHidden/>
    <w:unhideWhenUsed/>
    <w:rsid w:val="0088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1F1"/>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2F43C2"/>
    <w:rPr>
      <w:sz w:val="16"/>
      <w:szCs w:val="16"/>
    </w:rPr>
  </w:style>
  <w:style w:type="paragraph" w:styleId="CommentText">
    <w:name w:val="annotation text"/>
    <w:basedOn w:val="Normal"/>
    <w:link w:val="CommentTextChar"/>
    <w:uiPriority w:val="99"/>
    <w:semiHidden/>
    <w:unhideWhenUsed/>
    <w:rsid w:val="002F43C2"/>
    <w:rPr>
      <w:sz w:val="20"/>
      <w:szCs w:val="20"/>
    </w:rPr>
  </w:style>
  <w:style w:type="character" w:customStyle="1" w:styleId="CommentTextChar">
    <w:name w:val="Comment Text Char"/>
    <w:basedOn w:val="DefaultParagraphFont"/>
    <w:link w:val="CommentText"/>
    <w:uiPriority w:val="99"/>
    <w:semiHidden/>
    <w:rsid w:val="002F43C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F43C2"/>
    <w:rPr>
      <w:b/>
      <w:bCs/>
    </w:rPr>
  </w:style>
  <w:style w:type="character" w:customStyle="1" w:styleId="CommentSubjectChar">
    <w:name w:val="Comment Subject Char"/>
    <w:basedOn w:val="CommentTextChar"/>
    <w:link w:val="CommentSubject"/>
    <w:uiPriority w:val="99"/>
    <w:semiHidden/>
    <w:rsid w:val="002F43C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078">
      <w:bodyDiv w:val="1"/>
      <w:marLeft w:val="0"/>
      <w:marRight w:val="0"/>
      <w:marTop w:val="0"/>
      <w:marBottom w:val="0"/>
      <w:divBdr>
        <w:top w:val="none" w:sz="0" w:space="0" w:color="auto"/>
        <w:left w:val="none" w:sz="0" w:space="0" w:color="auto"/>
        <w:bottom w:val="none" w:sz="0" w:space="0" w:color="auto"/>
        <w:right w:val="none" w:sz="0" w:space="0" w:color="auto"/>
      </w:divBdr>
    </w:div>
    <w:div w:id="162210803">
      <w:bodyDiv w:val="1"/>
      <w:marLeft w:val="0"/>
      <w:marRight w:val="0"/>
      <w:marTop w:val="0"/>
      <w:marBottom w:val="0"/>
      <w:divBdr>
        <w:top w:val="none" w:sz="0" w:space="0" w:color="auto"/>
        <w:left w:val="none" w:sz="0" w:space="0" w:color="auto"/>
        <w:bottom w:val="none" w:sz="0" w:space="0" w:color="auto"/>
        <w:right w:val="none" w:sz="0" w:space="0" w:color="auto"/>
      </w:divBdr>
    </w:div>
    <w:div w:id="315115676">
      <w:bodyDiv w:val="1"/>
      <w:marLeft w:val="0"/>
      <w:marRight w:val="0"/>
      <w:marTop w:val="0"/>
      <w:marBottom w:val="0"/>
      <w:divBdr>
        <w:top w:val="none" w:sz="0" w:space="0" w:color="auto"/>
        <w:left w:val="none" w:sz="0" w:space="0" w:color="auto"/>
        <w:bottom w:val="none" w:sz="0" w:space="0" w:color="auto"/>
        <w:right w:val="none" w:sz="0" w:space="0" w:color="auto"/>
      </w:divBdr>
    </w:div>
    <w:div w:id="360130233">
      <w:bodyDiv w:val="1"/>
      <w:marLeft w:val="0"/>
      <w:marRight w:val="0"/>
      <w:marTop w:val="0"/>
      <w:marBottom w:val="0"/>
      <w:divBdr>
        <w:top w:val="none" w:sz="0" w:space="0" w:color="auto"/>
        <w:left w:val="none" w:sz="0" w:space="0" w:color="auto"/>
        <w:bottom w:val="none" w:sz="0" w:space="0" w:color="auto"/>
        <w:right w:val="none" w:sz="0" w:space="0" w:color="auto"/>
      </w:divBdr>
    </w:div>
    <w:div w:id="416053284">
      <w:bodyDiv w:val="1"/>
      <w:marLeft w:val="0"/>
      <w:marRight w:val="0"/>
      <w:marTop w:val="0"/>
      <w:marBottom w:val="0"/>
      <w:divBdr>
        <w:top w:val="none" w:sz="0" w:space="0" w:color="auto"/>
        <w:left w:val="none" w:sz="0" w:space="0" w:color="auto"/>
        <w:bottom w:val="none" w:sz="0" w:space="0" w:color="auto"/>
        <w:right w:val="none" w:sz="0" w:space="0" w:color="auto"/>
      </w:divBdr>
    </w:div>
    <w:div w:id="464733690">
      <w:bodyDiv w:val="1"/>
      <w:marLeft w:val="0"/>
      <w:marRight w:val="0"/>
      <w:marTop w:val="0"/>
      <w:marBottom w:val="0"/>
      <w:divBdr>
        <w:top w:val="none" w:sz="0" w:space="0" w:color="auto"/>
        <w:left w:val="none" w:sz="0" w:space="0" w:color="auto"/>
        <w:bottom w:val="none" w:sz="0" w:space="0" w:color="auto"/>
        <w:right w:val="none" w:sz="0" w:space="0" w:color="auto"/>
      </w:divBdr>
    </w:div>
    <w:div w:id="625738921">
      <w:bodyDiv w:val="1"/>
      <w:marLeft w:val="0"/>
      <w:marRight w:val="0"/>
      <w:marTop w:val="0"/>
      <w:marBottom w:val="0"/>
      <w:divBdr>
        <w:top w:val="none" w:sz="0" w:space="0" w:color="auto"/>
        <w:left w:val="none" w:sz="0" w:space="0" w:color="auto"/>
        <w:bottom w:val="none" w:sz="0" w:space="0" w:color="auto"/>
        <w:right w:val="none" w:sz="0" w:space="0" w:color="auto"/>
      </w:divBdr>
    </w:div>
    <w:div w:id="630478618">
      <w:bodyDiv w:val="1"/>
      <w:marLeft w:val="0"/>
      <w:marRight w:val="0"/>
      <w:marTop w:val="0"/>
      <w:marBottom w:val="0"/>
      <w:divBdr>
        <w:top w:val="none" w:sz="0" w:space="0" w:color="auto"/>
        <w:left w:val="none" w:sz="0" w:space="0" w:color="auto"/>
        <w:bottom w:val="none" w:sz="0" w:space="0" w:color="auto"/>
        <w:right w:val="none" w:sz="0" w:space="0" w:color="auto"/>
      </w:divBdr>
    </w:div>
    <w:div w:id="1141533404">
      <w:bodyDiv w:val="1"/>
      <w:marLeft w:val="0"/>
      <w:marRight w:val="0"/>
      <w:marTop w:val="0"/>
      <w:marBottom w:val="0"/>
      <w:divBdr>
        <w:top w:val="none" w:sz="0" w:space="0" w:color="auto"/>
        <w:left w:val="none" w:sz="0" w:space="0" w:color="auto"/>
        <w:bottom w:val="none" w:sz="0" w:space="0" w:color="auto"/>
        <w:right w:val="none" w:sz="0" w:space="0" w:color="auto"/>
      </w:divBdr>
    </w:div>
    <w:div w:id="1285578117">
      <w:bodyDiv w:val="1"/>
      <w:marLeft w:val="0"/>
      <w:marRight w:val="0"/>
      <w:marTop w:val="0"/>
      <w:marBottom w:val="0"/>
      <w:divBdr>
        <w:top w:val="none" w:sz="0" w:space="0" w:color="auto"/>
        <w:left w:val="none" w:sz="0" w:space="0" w:color="auto"/>
        <w:bottom w:val="none" w:sz="0" w:space="0" w:color="auto"/>
        <w:right w:val="none" w:sz="0" w:space="0" w:color="auto"/>
      </w:divBdr>
    </w:div>
    <w:div w:id="1351764199">
      <w:bodyDiv w:val="1"/>
      <w:marLeft w:val="0"/>
      <w:marRight w:val="0"/>
      <w:marTop w:val="0"/>
      <w:marBottom w:val="0"/>
      <w:divBdr>
        <w:top w:val="none" w:sz="0" w:space="0" w:color="auto"/>
        <w:left w:val="none" w:sz="0" w:space="0" w:color="auto"/>
        <w:bottom w:val="none" w:sz="0" w:space="0" w:color="auto"/>
        <w:right w:val="none" w:sz="0" w:space="0" w:color="auto"/>
      </w:divBdr>
    </w:div>
    <w:div w:id="1535075240">
      <w:bodyDiv w:val="1"/>
      <w:marLeft w:val="0"/>
      <w:marRight w:val="0"/>
      <w:marTop w:val="0"/>
      <w:marBottom w:val="0"/>
      <w:divBdr>
        <w:top w:val="none" w:sz="0" w:space="0" w:color="auto"/>
        <w:left w:val="none" w:sz="0" w:space="0" w:color="auto"/>
        <w:bottom w:val="none" w:sz="0" w:space="0" w:color="auto"/>
        <w:right w:val="none" w:sz="0" w:space="0" w:color="auto"/>
      </w:divBdr>
    </w:div>
    <w:div w:id="1556625807">
      <w:bodyDiv w:val="1"/>
      <w:marLeft w:val="0"/>
      <w:marRight w:val="0"/>
      <w:marTop w:val="0"/>
      <w:marBottom w:val="0"/>
      <w:divBdr>
        <w:top w:val="none" w:sz="0" w:space="0" w:color="auto"/>
        <w:left w:val="none" w:sz="0" w:space="0" w:color="auto"/>
        <w:bottom w:val="none" w:sz="0" w:space="0" w:color="auto"/>
        <w:right w:val="none" w:sz="0" w:space="0" w:color="auto"/>
      </w:divBdr>
    </w:div>
    <w:div w:id="1746996726">
      <w:bodyDiv w:val="1"/>
      <w:marLeft w:val="0"/>
      <w:marRight w:val="0"/>
      <w:marTop w:val="0"/>
      <w:marBottom w:val="0"/>
      <w:divBdr>
        <w:top w:val="none" w:sz="0" w:space="0" w:color="auto"/>
        <w:left w:val="none" w:sz="0" w:space="0" w:color="auto"/>
        <w:bottom w:val="none" w:sz="0" w:space="0" w:color="auto"/>
        <w:right w:val="none" w:sz="0" w:space="0" w:color="auto"/>
      </w:divBdr>
      <w:divsChild>
        <w:div w:id="597447959">
          <w:marLeft w:val="0"/>
          <w:marRight w:val="0"/>
          <w:marTop w:val="0"/>
          <w:marBottom w:val="0"/>
          <w:divBdr>
            <w:top w:val="none" w:sz="0" w:space="0" w:color="auto"/>
            <w:left w:val="none" w:sz="0" w:space="0" w:color="auto"/>
            <w:bottom w:val="none" w:sz="0" w:space="0" w:color="auto"/>
            <w:right w:val="none" w:sz="0" w:space="0" w:color="auto"/>
          </w:divBdr>
        </w:div>
      </w:divsChild>
    </w:div>
    <w:div w:id="1813407353">
      <w:bodyDiv w:val="1"/>
      <w:marLeft w:val="0"/>
      <w:marRight w:val="0"/>
      <w:marTop w:val="0"/>
      <w:marBottom w:val="0"/>
      <w:divBdr>
        <w:top w:val="none" w:sz="0" w:space="0" w:color="auto"/>
        <w:left w:val="none" w:sz="0" w:space="0" w:color="auto"/>
        <w:bottom w:val="none" w:sz="0" w:space="0" w:color="auto"/>
        <w:right w:val="none" w:sz="0" w:space="0" w:color="auto"/>
      </w:divBdr>
    </w:div>
    <w:div w:id="18992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482</Words>
  <Characters>2748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Tobias</cp:lastModifiedBy>
  <cp:revision>2</cp:revision>
  <dcterms:created xsi:type="dcterms:W3CDTF">2021-02-01T12:52:00Z</dcterms:created>
  <dcterms:modified xsi:type="dcterms:W3CDTF">2021-02-01T12:52:00Z</dcterms:modified>
</cp:coreProperties>
</file>