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6E82" w14:textId="06DF7E84" w:rsidR="00614413" w:rsidRDefault="00614413" w:rsidP="00614413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Supplement</w:t>
      </w:r>
      <w:r w:rsidR="00D7681E">
        <w:rPr>
          <w:lang w:val="en-US"/>
        </w:rPr>
        <w:t>ary table</w:t>
      </w:r>
      <w:r w:rsidR="00BE3C37">
        <w:rPr>
          <w:lang w:val="en-US"/>
        </w:rPr>
        <w:t xml:space="preserve"> </w:t>
      </w:r>
    </w:p>
    <w:p w14:paraId="182EDF4D" w14:textId="03A89A5D" w:rsidR="00614413" w:rsidRDefault="00614413" w:rsidP="00FF286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547"/>
        <w:gridCol w:w="1000"/>
        <w:gridCol w:w="992"/>
        <w:gridCol w:w="1276"/>
        <w:gridCol w:w="3544"/>
        <w:gridCol w:w="939"/>
      </w:tblGrid>
      <w:tr w:rsidR="00614413" w14:paraId="60F04092" w14:textId="77777777" w:rsidTr="00396CF6">
        <w:trPr>
          <w:trHeight w:val="631"/>
        </w:trPr>
        <w:tc>
          <w:tcPr>
            <w:tcW w:w="1547" w:type="dxa"/>
          </w:tcPr>
          <w:p w14:paraId="056B91F9" w14:textId="77777777" w:rsidR="00614413" w:rsidRPr="00E1696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E16967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 xml:space="preserve">Age, </w:t>
            </w:r>
            <w:r w:rsidRPr="00E16967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sz w:val="20"/>
                <w:szCs w:val="20"/>
                <w:lang w:val="en-US"/>
              </w:rPr>
              <w:t>comparison age groups [y/n]</w:t>
            </w:r>
          </w:p>
        </w:tc>
        <w:tc>
          <w:tcPr>
            <w:tcW w:w="1000" w:type="dxa"/>
          </w:tcPr>
          <w:p w14:paraId="0ACBAD7D" w14:textId="77777777" w:rsidR="00614413" w:rsidRPr="00E1696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E16967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 xml:space="preserve">Inclusion </w:t>
            </w:r>
          </w:p>
        </w:tc>
        <w:tc>
          <w:tcPr>
            <w:tcW w:w="992" w:type="dxa"/>
          </w:tcPr>
          <w:p w14:paraId="42CB5872" w14:textId="77777777" w:rsidR="00614413" w:rsidRPr="00E1696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E16967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 xml:space="preserve">Outcome </w:t>
            </w:r>
          </w:p>
        </w:tc>
        <w:tc>
          <w:tcPr>
            <w:tcW w:w="1276" w:type="dxa"/>
          </w:tcPr>
          <w:p w14:paraId="0E0CE48F" w14:textId="77777777" w:rsidR="00614413" w:rsidRPr="00E1696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E16967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Study population</w:t>
            </w:r>
          </w:p>
        </w:tc>
        <w:tc>
          <w:tcPr>
            <w:tcW w:w="3544" w:type="dxa"/>
          </w:tcPr>
          <w:p w14:paraId="1FA8FEF1" w14:textId="20FB4942" w:rsidR="00614413" w:rsidRPr="00E16967" w:rsidRDefault="000169E4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939" w:type="dxa"/>
          </w:tcPr>
          <w:p w14:paraId="314937D9" w14:textId="77777777" w:rsidR="00614413" w:rsidRPr="00E1696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E16967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Author, year</w:t>
            </w:r>
          </w:p>
        </w:tc>
      </w:tr>
      <w:tr w:rsidR="00614413" w14:paraId="59EE5F8C" w14:textId="77777777" w:rsidTr="000F3827">
        <w:trPr>
          <w:trHeight w:val="94"/>
        </w:trPr>
        <w:tc>
          <w:tcPr>
            <w:tcW w:w="9298" w:type="dxa"/>
            <w:gridSpan w:val="6"/>
          </w:tcPr>
          <w:p w14:paraId="7BE9F87A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Children (4 studies)</w:t>
            </w:r>
          </w:p>
        </w:tc>
      </w:tr>
      <w:tr w:rsidR="00614413" w:rsidRPr="00E07106" w14:paraId="2CF17AE9" w14:textId="77777777" w:rsidTr="00396CF6">
        <w:trPr>
          <w:trHeight w:val="925"/>
        </w:trPr>
        <w:tc>
          <w:tcPr>
            <w:tcW w:w="1547" w:type="dxa"/>
          </w:tcPr>
          <w:p w14:paraId="28D4682F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Children 5-11y, </w:t>
            </w:r>
            <w:r w:rsidRPr="00664799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77ADA33F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Burn injuries</w:t>
            </w:r>
          </w:p>
        </w:tc>
        <w:tc>
          <w:tcPr>
            <w:tcW w:w="992" w:type="dxa"/>
          </w:tcPr>
          <w:p w14:paraId="5B5C8F5D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276" w:type="dxa"/>
          </w:tcPr>
          <w:p w14:paraId="08F4B6C9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N=12,996 with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burns (study group)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and without burns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(controls)</w:t>
            </w:r>
          </w:p>
        </w:tc>
        <w:tc>
          <w:tcPr>
            <w:tcW w:w="3544" w:type="dxa"/>
          </w:tcPr>
          <w:p w14:paraId="2F14E1E3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Study group vs.  controls: a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bnormal hyperactivity OR 1.24 [1.01-1.54]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p=0.04</w:t>
            </w:r>
          </w:p>
        </w:tc>
        <w:tc>
          <w:tcPr>
            <w:tcW w:w="939" w:type="dxa"/>
          </w:tcPr>
          <w:p w14:paraId="4F2A8307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Emond et al. 2017</w:t>
            </w:r>
          </w:p>
        </w:tc>
      </w:tr>
      <w:tr w:rsidR="00614413" w:rsidRPr="00E07106" w14:paraId="21DB61D7" w14:textId="77777777" w:rsidTr="00396CF6">
        <w:trPr>
          <w:trHeight w:val="925"/>
        </w:trPr>
        <w:tc>
          <w:tcPr>
            <w:tcW w:w="1547" w:type="dxa"/>
          </w:tcPr>
          <w:p w14:paraId="47050E8B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Male children 6-12y, </w:t>
            </w:r>
            <w:r w:rsidRPr="00664799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280BB26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63C8E7D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Accidents and medical illnesses</w:t>
            </w:r>
          </w:p>
        </w:tc>
        <w:tc>
          <w:tcPr>
            <w:tcW w:w="1276" w:type="dxa"/>
          </w:tcPr>
          <w:p w14:paraId="2D725688" w14:textId="77777777" w:rsidR="00614413" w:rsidRPr="00E07106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N=135 boys with ADHD, N=1365 controls (boys) without ADHD</w:t>
            </w:r>
          </w:p>
        </w:tc>
        <w:tc>
          <w:tcPr>
            <w:tcW w:w="3544" w:type="dxa"/>
          </w:tcPr>
          <w:p w14:paraId="166E60D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Motor vehicle accident/injury at fault &gt;2 accidents: </w:t>
            </w:r>
          </w:p>
          <w:p w14:paraId="238521B9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35%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</w:t>
            </w: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vs. 19%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controls </w:t>
            </w: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p=0.004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;</w:t>
            </w:r>
          </w:p>
          <w:p w14:paraId="456B69FC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S</w:t>
            </w: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omeone injured in accident 49%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</w:t>
            </w: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vs. 20%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controls </w:t>
            </w: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p=0.0001; head injury 9%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</w:t>
            </w: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vs. 3%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controls</w:t>
            </w: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p=0.04</w:t>
            </w:r>
          </w:p>
        </w:tc>
        <w:tc>
          <w:tcPr>
            <w:tcW w:w="939" w:type="dxa"/>
          </w:tcPr>
          <w:p w14:paraId="44CDAFBB" w14:textId="6841E4D5" w:rsidR="00614413" w:rsidRDefault="00730A16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Olazagasti</w:t>
            </w:r>
            <w:proofErr w:type="spellEnd"/>
            <w:r w:rsidR="00614413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2013</w:t>
            </w:r>
          </w:p>
        </w:tc>
      </w:tr>
      <w:tr w:rsidR="00614413" w:rsidRPr="00E07106" w14:paraId="0AD7A3B2" w14:textId="77777777" w:rsidTr="00396CF6">
        <w:trPr>
          <w:trHeight w:val="925"/>
        </w:trPr>
        <w:tc>
          <w:tcPr>
            <w:tcW w:w="1547" w:type="dxa"/>
          </w:tcPr>
          <w:p w14:paraId="784544D3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Children 7 y, </w:t>
            </w:r>
            <w:r w:rsidRPr="00664799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146E5D0C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symptoms </w:t>
            </w:r>
          </w:p>
        </w:tc>
        <w:tc>
          <w:tcPr>
            <w:tcW w:w="992" w:type="dxa"/>
          </w:tcPr>
          <w:p w14:paraId="68F45BB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Accidents</w:t>
            </w:r>
          </w:p>
        </w:tc>
        <w:tc>
          <w:tcPr>
            <w:tcW w:w="1276" w:type="dxa"/>
          </w:tcPr>
          <w:p w14:paraId="016F6AD4" w14:textId="77777777" w:rsidR="00614413" w:rsidRPr="00E07106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N=2695 individuals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 thereof 7% with Hyperactivity</w:t>
            </w:r>
          </w:p>
        </w:tc>
        <w:tc>
          <w:tcPr>
            <w:tcW w:w="3544" w:type="dxa"/>
          </w:tcPr>
          <w:p w14:paraId="2A61F759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O</w:t>
            </w: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ne accident vs. no accident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:</w:t>
            </w: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OR 1.40 (1.06–1.84)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;</w:t>
            </w: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</w:p>
          <w:p w14:paraId="0B5ACAE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T</w:t>
            </w: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wo or more accidents vs. no accident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:</w:t>
            </w: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OR 1.56 (1.12–2.18)</w:t>
            </w:r>
          </w:p>
        </w:tc>
        <w:tc>
          <w:tcPr>
            <w:tcW w:w="939" w:type="dxa"/>
          </w:tcPr>
          <w:p w14:paraId="3525EBE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Palili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2011</w:t>
            </w:r>
          </w:p>
        </w:tc>
      </w:tr>
      <w:tr w:rsidR="00614413" w:rsidRPr="00E07106" w14:paraId="028C9D49" w14:textId="77777777" w:rsidTr="00396CF6">
        <w:trPr>
          <w:trHeight w:val="925"/>
        </w:trPr>
        <w:tc>
          <w:tcPr>
            <w:tcW w:w="1547" w:type="dxa"/>
          </w:tcPr>
          <w:p w14:paraId="0DAFAA4A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Children 3-10y, </w:t>
            </w:r>
            <w:r w:rsidRPr="00664799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272480B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66479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self-inserted foreign bodies</w:t>
            </w:r>
          </w:p>
        </w:tc>
        <w:tc>
          <w:tcPr>
            <w:tcW w:w="992" w:type="dxa"/>
          </w:tcPr>
          <w:p w14:paraId="3E6A7B3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276" w:type="dxa"/>
          </w:tcPr>
          <w:p w14:paraId="16055B1D" w14:textId="77777777" w:rsidR="00614413" w:rsidRPr="00E07106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66479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N=34 with foreign body insertion</w:t>
            </w:r>
          </w:p>
        </w:tc>
        <w:tc>
          <w:tcPr>
            <w:tcW w:w="3544" w:type="dxa"/>
          </w:tcPr>
          <w:p w14:paraId="668521D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66479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14.3% with ADHD</w:t>
            </w:r>
          </w:p>
        </w:tc>
        <w:tc>
          <w:tcPr>
            <w:tcW w:w="939" w:type="dxa"/>
          </w:tcPr>
          <w:p w14:paraId="1C6FA7FF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Perera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2009</w:t>
            </w:r>
          </w:p>
        </w:tc>
      </w:tr>
      <w:tr w:rsidR="00614413" w14:paraId="65EA1FBA" w14:textId="77777777" w:rsidTr="000F3827">
        <w:trPr>
          <w:trHeight w:val="207"/>
        </w:trPr>
        <w:tc>
          <w:tcPr>
            <w:tcW w:w="9298" w:type="dxa"/>
            <w:gridSpan w:val="6"/>
          </w:tcPr>
          <w:p w14:paraId="677A9D1C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Adolescents (2 studies)</w:t>
            </w:r>
          </w:p>
        </w:tc>
      </w:tr>
      <w:tr w:rsidR="00614413" w14:paraId="52B83FCB" w14:textId="77777777" w:rsidTr="00396CF6">
        <w:trPr>
          <w:trHeight w:val="925"/>
        </w:trPr>
        <w:tc>
          <w:tcPr>
            <w:tcW w:w="1547" w:type="dxa"/>
          </w:tcPr>
          <w:p w14:paraId="61D00A45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dolescents 15-17y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664799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0526E1E5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3FB4C617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Injuries</w:t>
            </w:r>
          </w:p>
        </w:tc>
        <w:tc>
          <w:tcPr>
            <w:tcW w:w="1276" w:type="dxa"/>
          </w:tcPr>
          <w:p w14:paraId="1520272A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N= 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262 with ADHD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N= 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4260 without ADHD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(controls)</w:t>
            </w:r>
          </w:p>
        </w:tc>
        <w:tc>
          <w:tcPr>
            <w:tcW w:w="3544" w:type="dxa"/>
          </w:tcPr>
          <w:p w14:paraId="0D8B42B0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Injury the last 12 months: 29.5%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vs. 20.4%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controls, 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OR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1.41 [1.10-1.81] p&lt;0.01;  </w:t>
            </w:r>
          </w:p>
          <w:p w14:paraId="328A17E8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Hospitalization due to injury (lifetime): 42.7% ADHD vs. 24.1%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controls,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OR 1.63[1.35-1.97] p&lt;0.001;</w:t>
            </w:r>
          </w:p>
        </w:tc>
        <w:tc>
          <w:tcPr>
            <w:tcW w:w="939" w:type="dxa"/>
          </w:tcPr>
          <w:p w14:paraId="76C3DB12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Jernbro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2020</w:t>
            </w:r>
          </w:p>
        </w:tc>
      </w:tr>
      <w:tr w:rsidR="00614413" w:rsidRPr="00203D1F" w14:paraId="2070532C" w14:textId="77777777" w:rsidTr="00396CF6">
        <w:trPr>
          <w:trHeight w:val="925"/>
        </w:trPr>
        <w:tc>
          <w:tcPr>
            <w:tcW w:w="1547" w:type="dxa"/>
          </w:tcPr>
          <w:p w14:paraId="01742B23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Male </w:t>
            </w:r>
            <w:r w:rsidRPr="00203D1F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adolescents and adults 16-19y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664799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60A78FC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203D1F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accidents (road trauma)</w:t>
            </w:r>
          </w:p>
        </w:tc>
        <w:tc>
          <w:tcPr>
            <w:tcW w:w="992" w:type="dxa"/>
          </w:tcPr>
          <w:p w14:paraId="174338EF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276" w:type="dxa"/>
          </w:tcPr>
          <w:p w14:paraId="08EBE8E4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203D1F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N=3,421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with</w:t>
            </w:r>
            <w:r w:rsidRPr="00203D1F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accidents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203D1F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N=3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</w:t>
            </w:r>
            <w:r w:rsidRPr="00203D1F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812 controls (appendicitis)</w:t>
            </w:r>
          </w:p>
        </w:tc>
        <w:tc>
          <w:tcPr>
            <w:tcW w:w="3544" w:type="dxa"/>
          </w:tcPr>
          <w:p w14:paraId="5D5231EB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12% ADHD in accident group vs. 9% ADHD in control group, </w:t>
            </w:r>
            <w:r w:rsidRPr="00203D1F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OR 1.34 [1.15-1.56]</w:t>
            </w:r>
          </w:p>
        </w:tc>
        <w:tc>
          <w:tcPr>
            <w:tcW w:w="939" w:type="dxa"/>
          </w:tcPr>
          <w:p w14:paraId="3551DBF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Redelmeier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2010</w:t>
            </w:r>
          </w:p>
        </w:tc>
      </w:tr>
      <w:tr w:rsidR="00614413" w14:paraId="21F15C93" w14:textId="77777777" w:rsidTr="000F3827">
        <w:trPr>
          <w:trHeight w:val="430"/>
        </w:trPr>
        <w:tc>
          <w:tcPr>
            <w:tcW w:w="9298" w:type="dxa"/>
            <w:gridSpan w:val="6"/>
          </w:tcPr>
          <w:p w14:paraId="10337A8E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Children and adolescents (16 studies)</w:t>
            </w:r>
          </w:p>
        </w:tc>
      </w:tr>
      <w:tr w:rsidR="00614413" w14:paraId="3FBFF687" w14:textId="77777777" w:rsidTr="00396CF6">
        <w:trPr>
          <w:trHeight w:val="925"/>
        </w:trPr>
        <w:tc>
          <w:tcPr>
            <w:tcW w:w="1547" w:type="dxa"/>
          </w:tcPr>
          <w:p w14:paraId="437935B7" w14:textId="7EED667F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and adolescents 3</w:t>
            </w:r>
            <w:r w:rsidR="00016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—</w:t>
            </w: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17</w:t>
            </w:r>
            <w:r w:rsidR="00016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y,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0C0174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1C0E7DC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Foreign body ingestion </w:t>
            </w:r>
          </w:p>
        </w:tc>
        <w:tc>
          <w:tcPr>
            <w:tcW w:w="992" w:type="dxa"/>
          </w:tcPr>
          <w:p w14:paraId="72FD16E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276" w:type="dxa"/>
          </w:tcPr>
          <w:p w14:paraId="7263CE24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N=53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ER visit with </w:t>
            </w: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foreign body ingestion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(study group)</w:t>
            </w: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; N= 47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ER visit </w:t>
            </w: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non-traumatic causes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(control group)</w:t>
            </w:r>
          </w:p>
        </w:tc>
        <w:tc>
          <w:tcPr>
            <w:tcW w:w="3544" w:type="dxa"/>
          </w:tcPr>
          <w:p w14:paraId="79E82699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</w:t>
            </w: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yperactivity 32.1%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study group vs. 10.6% controls; </w:t>
            </w: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ADHD-Index 34%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study group vs. </w:t>
            </w: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14.9%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controls</w:t>
            </w:r>
          </w:p>
        </w:tc>
        <w:tc>
          <w:tcPr>
            <w:tcW w:w="939" w:type="dxa"/>
          </w:tcPr>
          <w:p w14:paraId="5A1DAE98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 w:rsidRPr="00250860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Turgut et al. 2019</w:t>
            </w:r>
          </w:p>
        </w:tc>
      </w:tr>
      <w:tr w:rsidR="00614413" w14:paraId="53B03E96" w14:textId="77777777" w:rsidTr="00396CF6">
        <w:trPr>
          <w:trHeight w:val="925"/>
        </w:trPr>
        <w:tc>
          <w:tcPr>
            <w:tcW w:w="1547" w:type="dxa"/>
          </w:tcPr>
          <w:p w14:paraId="426175CE" w14:textId="45262488" w:rsidR="00614413" w:rsidRPr="00250860" w:rsidRDefault="000169E4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lastRenderedPageBreak/>
              <w:t>C</w:t>
            </w: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and adolescents 2-17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y</w:t>
            </w:r>
          </w:p>
        </w:tc>
        <w:tc>
          <w:tcPr>
            <w:tcW w:w="1000" w:type="dxa"/>
          </w:tcPr>
          <w:p w14:paraId="2FF134BB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5380BC0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mild traumatic brain injury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mTBI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14:paraId="0CBB41ED" w14:textId="77777777" w:rsidR="00614413" w:rsidRPr="00250860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N=10,739 with ADHD</w:t>
            </w:r>
          </w:p>
        </w:tc>
        <w:tc>
          <w:tcPr>
            <w:tcW w:w="3544" w:type="dxa"/>
          </w:tcPr>
          <w:p w14:paraId="06DCD69A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>Age groups: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</w:p>
          <w:p w14:paraId="61217995" w14:textId="77777777" w:rsidR="00614413" w:rsidRPr="00E016F7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2–4y: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OR </w:t>
            </w: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0.66 [0.18, 2.42]</w:t>
            </w:r>
          </w:p>
          <w:p w14:paraId="5C422657" w14:textId="77777777" w:rsidR="00614413" w:rsidRPr="00E016F7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5–8y: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OR </w:t>
            </w: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0.86 [0.53, 1.40]</w:t>
            </w:r>
          </w:p>
          <w:p w14:paraId="70C5AFF1" w14:textId="77777777" w:rsidR="00614413" w:rsidRPr="00E016F7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9–12y: Ref.</w:t>
            </w:r>
          </w:p>
          <w:p w14:paraId="6AFBB6AC" w14:textId="77777777" w:rsidR="00614413" w:rsidRPr="00B56C7E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</w:pPr>
            <w:r w:rsidRPr="00B56C7E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 xml:space="preserve">13–17y: </w:t>
            </w:r>
            <w:r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 xml:space="preserve">OR </w:t>
            </w:r>
            <w:r w:rsidRPr="00B56C7E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1.71 [1.20, 2.45]</w:t>
            </w:r>
          </w:p>
        </w:tc>
        <w:tc>
          <w:tcPr>
            <w:tcW w:w="939" w:type="dxa"/>
          </w:tcPr>
          <w:p w14:paraId="559BC3B8" w14:textId="77777777" w:rsidR="00614413" w:rsidRPr="00250860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Karic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2019</w:t>
            </w:r>
          </w:p>
        </w:tc>
      </w:tr>
      <w:tr w:rsidR="00614413" w14:paraId="0A9ECD12" w14:textId="77777777" w:rsidTr="00396CF6">
        <w:trPr>
          <w:trHeight w:val="925"/>
        </w:trPr>
        <w:tc>
          <w:tcPr>
            <w:tcW w:w="1547" w:type="dxa"/>
          </w:tcPr>
          <w:p w14:paraId="2B5DEB0B" w14:textId="3BA0305F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A764E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and adolescents 5-18y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A764E8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4D0EC3B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Unintentional injuries</w:t>
            </w:r>
          </w:p>
        </w:tc>
        <w:tc>
          <w:tcPr>
            <w:tcW w:w="992" w:type="dxa"/>
          </w:tcPr>
          <w:p w14:paraId="4A76F83B" w14:textId="77777777" w:rsidR="00614413" w:rsidRPr="000C0174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276" w:type="dxa"/>
          </w:tcPr>
          <w:p w14:paraId="511DC47A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N=222 injured patients</w:t>
            </w:r>
          </w:p>
        </w:tc>
        <w:tc>
          <w:tcPr>
            <w:tcW w:w="3544" w:type="dxa"/>
          </w:tcPr>
          <w:p w14:paraId="7E075C60" w14:textId="77777777" w:rsidR="00614413" w:rsidRPr="00A764E8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A764E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81.6% with ADHD</w:t>
            </w:r>
          </w:p>
        </w:tc>
        <w:tc>
          <w:tcPr>
            <w:tcW w:w="939" w:type="dxa"/>
          </w:tcPr>
          <w:p w14:paraId="7B6FC9D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2018</w:t>
            </w:r>
          </w:p>
        </w:tc>
      </w:tr>
      <w:tr w:rsidR="00614413" w14:paraId="31665A9A" w14:textId="77777777" w:rsidTr="00396CF6">
        <w:trPr>
          <w:trHeight w:val="925"/>
        </w:trPr>
        <w:tc>
          <w:tcPr>
            <w:tcW w:w="1547" w:type="dxa"/>
          </w:tcPr>
          <w:p w14:paraId="092DD32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hildren and adolescents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3-17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756D9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3E0B428F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5105404A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Injury (fracture, thermal injury and poisoning)</w:t>
            </w:r>
          </w:p>
        </w:tc>
        <w:tc>
          <w:tcPr>
            <w:tcW w:w="1276" w:type="dxa"/>
          </w:tcPr>
          <w:p w14:paraId="518036A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N=15,126 with ADHD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N=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263,724 without ADHD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(controls)</w:t>
            </w:r>
          </w:p>
        </w:tc>
        <w:tc>
          <w:tcPr>
            <w:tcW w:w="3544" w:type="dxa"/>
          </w:tcPr>
          <w:p w14:paraId="3EBD10AA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fracture: 28.9%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vs. 18.7%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controls,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HR 1.25 [1.19-1.31]; </w:t>
            </w:r>
          </w:p>
          <w:p w14:paraId="7635107D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thermal injury 4.4%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vs.2.2%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controls, 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HR 2.00 [1.76-2.27]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; </w:t>
            </w:r>
          </w:p>
          <w:p w14:paraId="6CC6773B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p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oisoning 6.3%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vs. 12.9%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controls, 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HR 3.72 [3.32-4.17]; </w:t>
            </w:r>
          </w:p>
          <w:p w14:paraId="14D8FAF6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87223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>Age groups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: </w:t>
            </w:r>
          </w:p>
          <w:p w14:paraId="632071D4" w14:textId="77777777" w:rsidR="00614413" w:rsidRPr="00A764E8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fractures with ADHD vs. without ADHD 3-4y.: 7.7% vs. 7.2%, </w:t>
            </w:r>
            <w:r w:rsidRPr="003A6C62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5-9y- 51.2% vs. 51.4%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; 10-14y:35.4% vs. 37.2%, 15-17y. 5.7% vs. 4.2%;          thermal injuries with ADHD vs. without ADHD 3-4y.: 7.6% vs. 7.2%, </w:t>
            </w:r>
            <w:r w:rsidRPr="003A6C62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5-9y- 51.1% vs. 51.4%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; 10-14y:35.6% vs. 37.3%, 15-17y. 5.7% vs. 4.2%;         Poisonings with ADHD vs. without ADHD 3-4y.: 7.6% vs. 7.2%, </w:t>
            </w:r>
            <w:r w:rsidRPr="003A6C62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5-9y- 51.2% vs. 51.4%;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10-14y:35.5% vs. 37.2%, 15-17y. 5.7% vs. 4.2%;</w:t>
            </w:r>
          </w:p>
        </w:tc>
        <w:tc>
          <w:tcPr>
            <w:tcW w:w="939" w:type="dxa"/>
          </w:tcPr>
          <w:p w14:paraId="6EBBB04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Prasad et al. 2018</w:t>
            </w:r>
          </w:p>
        </w:tc>
      </w:tr>
      <w:tr w:rsidR="00614413" w:rsidRPr="00E07106" w14:paraId="550A6D4B" w14:textId="77777777" w:rsidTr="00396CF6">
        <w:trPr>
          <w:trHeight w:val="925"/>
        </w:trPr>
        <w:tc>
          <w:tcPr>
            <w:tcW w:w="1547" w:type="dxa"/>
          </w:tcPr>
          <w:p w14:paraId="3EAE9273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Group 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A: children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and adolescents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6–17 y; </w:t>
            </w:r>
          </w:p>
          <w:p w14:paraId="4A350AB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Group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B: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adolescents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~15y</w:t>
            </w:r>
          </w:p>
          <w:p w14:paraId="6FE8C626" w14:textId="77777777" w:rsidR="00614413" w:rsidRPr="00E07106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</w:pPr>
            <w:r w:rsidRPr="00E07106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Age group comparison</w:t>
            </w:r>
          </w:p>
        </w:tc>
        <w:tc>
          <w:tcPr>
            <w:tcW w:w="1000" w:type="dxa"/>
          </w:tcPr>
          <w:p w14:paraId="50069E6F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28F8E14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Injuries </w:t>
            </w:r>
          </w:p>
        </w:tc>
        <w:tc>
          <w:tcPr>
            <w:tcW w:w="1276" w:type="dxa"/>
          </w:tcPr>
          <w:p w14:paraId="6EE6B87B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Group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A: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= 599 with ADHD;</w:t>
            </w:r>
          </w:p>
          <w:p w14:paraId="24402B2A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Group B: N 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=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101 with ADHD</w:t>
            </w:r>
          </w:p>
        </w:tc>
        <w:tc>
          <w:tcPr>
            <w:tcW w:w="3544" w:type="dxa"/>
          </w:tcPr>
          <w:p w14:paraId="4CC4B410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Group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: 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RR 1.65 [95% CI: 1.32–2.05];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G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roup B: RR 1.57 [95% CI: 1.27– 1.95] </w:t>
            </w:r>
          </w:p>
          <w:p w14:paraId="313CA06E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>Age groups: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</w:p>
          <w:p w14:paraId="7DE374E6" w14:textId="77777777" w:rsidR="00614413" w:rsidRPr="00A764E8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Pre-school RR 1.11 [0.16–7.65], </w:t>
            </w:r>
            <w:r w:rsidRPr="00B56C7E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4th grade RR 1.99 [1.01–3.94]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7th grade RR 0.81 [0.38–1.74], 9th grade RR 1.57 [1.27–1.95], </w:t>
            </w:r>
            <w:r w:rsidRPr="00B56C7E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1st year of high school ADHD RR 1.73 [1.36–2.19]</w:t>
            </w:r>
          </w:p>
        </w:tc>
        <w:tc>
          <w:tcPr>
            <w:tcW w:w="939" w:type="dxa"/>
          </w:tcPr>
          <w:p w14:paraId="1A088CB3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Bonander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2016</w:t>
            </w:r>
          </w:p>
        </w:tc>
      </w:tr>
      <w:tr w:rsidR="00614413" w:rsidRPr="00E07106" w14:paraId="2A8155EB" w14:textId="77777777" w:rsidTr="00396CF6">
        <w:trPr>
          <w:trHeight w:val="925"/>
        </w:trPr>
        <w:tc>
          <w:tcPr>
            <w:tcW w:w="1547" w:type="dxa"/>
          </w:tcPr>
          <w:p w14:paraId="0C0FADEA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and adolescents 6-18 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756D9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508FB16A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33960D5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Unintentional injuries</w:t>
            </w:r>
          </w:p>
        </w:tc>
        <w:tc>
          <w:tcPr>
            <w:tcW w:w="1276" w:type="dxa"/>
          </w:tcPr>
          <w:p w14:paraId="1E89C62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N=1430 with ADHD</w:t>
            </w:r>
          </w:p>
        </w:tc>
        <w:tc>
          <w:tcPr>
            <w:tcW w:w="3544" w:type="dxa"/>
          </w:tcPr>
          <w:p w14:paraId="268384F6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12.8%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unintentional injuries in ADHD group</w:t>
            </w:r>
          </w:p>
        </w:tc>
        <w:tc>
          <w:tcPr>
            <w:tcW w:w="939" w:type="dxa"/>
          </w:tcPr>
          <w:p w14:paraId="1E908D1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A0BB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Ayaz et al. 2016</w:t>
            </w:r>
          </w:p>
        </w:tc>
      </w:tr>
      <w:tr w:rsidR="00614413" w:rsidRPr="00E07106" w14:paraId="7150FF77" w14:textId="77777777" w:rsidTr="00396CF6">
        <w:trPr>
          <w:trHeight w:val="925"/>
        </w:trPr>
        <w:tc>
          <w:tcPr>
            <w:tcW w:w="1547" w:type="dxa"/>
          </w:tcPr>
          <w:p w14:paraId="3EC9D271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Group 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A: children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and adolescents 3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–17 y; </w:t>
            </w:r>
          </w:p>
          <w:p w14:paraId="5F9B0A1F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Group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B: children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and adolescents 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~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4-23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 n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 xml:space="preserve">o </w:t>
            </w:r>
            <w:r w:rsidRPr="00E07106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1000" w:type="dxa"/>
          </w:tcPr>
          <w:p w14:paraId="59E035A1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097650AF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Accident or injury</w:t>
            </w:r>
          </w:p>
        </w:tc>
        <w:tc>
          <w:tcPr>
            <w:tcW w:w="1276" w:type="dxa"/>
          </w:tcPr>
          <w:p w14:paraId="1B021255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Group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A: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= </w:t>
            </w:r>
            <w:r w:rsidRPr="00F7687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653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 ADHD;</w:t>
            </w:r>
          </w:p>
          <w:p w14:paraId="398608AB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Group B: N 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=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F7687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18,741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 ADHD</w:t>
            </w:r>
          </w:p>
        </w:tc>
        <w:tc>
          <w:tcPr>
            <w:tcW w:w="3544" w:type="dxa"/>
          </w:tcPr>
          <w:p w14:paraId="66074E07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Group</w:t>
            </w:r>
            <w:r w:rsidRPr="00E07106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: </w:t>
            </w:r>
            <w:r w:rsidRPr="00F7687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23%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ADHD</w:t>
            </w:r>
            <w:r w:rsidRPr="00F7687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vs. 15.3%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controls without ADHD </w:t>
            </w:r>
            <w:r w:rsidRPr="00F7687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OR 1.60 [1.34-1.91]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p&lt;0.01</w:t>
            </w:r>
          </w:p>
          <w:p w14:paraId="41494E71" w14:textId="77777777" w:rsidR="00614413" w:rsidRPr="00F76872" w:rsidRDefault="00614413" w:rsidP="000F3827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Group B: </w:t>
            </w:r>
            <w:r w:rsidRPr="00F7687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60.48%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</w:t>
            </w:r>
            <w:r w:rsidRPr="00F7687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vs. 43.9% controls without ADHD OR 1.89 [1.84-1.95]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p&lt;0.01</w:t>
            </w:r>
          </w:p>
        </w:tc>
        <w:tc>
          <w:tcPr>
            <w:tcW w:w="939" w:type="dxa"/>
          </w:tcPr>
          <w:p w14:paraId="34530E1B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Lange et al. 2016</w:t>
            </w:r>
          </w:p>
        </w:tc>
      </w:tr>
      <w:tr w:rsidR="00614413" w:rsidRPr="00E07106" w14:paraId="31E0B52F" w14:textId="77777777" w:rsidTr="00396CF6">
        <w:trPr>
          <w:trHeight w:val="925"/>
        </w:trPr>
        <w:tc>
          <w:tcPr>
            <w:tcW w:w="1547" w:type="dxa"/>
          </w:tcPr>
          <w:p w14:paraId="4B657A61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hildren and adolescents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&lt;</w:t>
            </w: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18y.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E07106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Age group comparison</w:t>
            </w:r>
          </w:p>
        </w:tc>
        <w:tc>
          <w:tcPr>
            <w:tcW w:w="1000" w:type="dxa"/>
          </w:tcPr>
          <w:p w14:paraId="0F14C8B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2B64B00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Bone fracture</w:t>
            </w:r>
          </w:p>
        </w:tc>
        <w:tc>
          <w:tcPr>
            <w:tcW w:w="1276" w:type="dxa"/>
          </w:tcPr>
          <w:p w14:paraId="50C2DCE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N=3,640 with ADHD and 14,560 controls without ADHD</w:t>
            </w:r>
          </w:p>
        </w:tc>
        <w:tc>
          <w:tcPr>
            <w:tcW w:w="3544" w:type="dxa"/>
          </w:tcPr>
          <w:p w14:paraId="5EA27A1D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</w:t>
            </w: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istory of fracture: 6.7% ADHD vs. 1.1% controls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; Fractures </w:t>
            </w: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10.7%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ADHD</w:t>
            </w: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vs. 8.2% controls HR 1.26 [1.12–1.42]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p&lt;0.001</w:t>
            </w:r>
          </w:p>
          <w:p w14:paraId="1A339AB5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>Age groups: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</w:p>
          <w:p w14:paraId="48C2C202" w14:textId="77777777" w:rsidR="00614413" w:rsidRPr="00B56C7E" w:rsidRDefault="00614413" w:rsidP="000F3827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</w:pPr>
            <w:r w:rsidRPr="00B56C7E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&lt;12y. HR 1.26 [1.11–1.43]</w:t>
            </w:r>
          </w:p>
          <w:p w14:paraId="72999FAA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&gt;12y. </w:t>
            </w: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HR 1.21 [0.86–1.70</w:t>
            </w:r>
          </w:p>
        </w:tc>
        <w:tc>
          <w:tcPr>
            <w:tcW w:w="939" w:type="dxa"/>
          </w:tcPr>
          <w:p w14:paraId="0A8F2DE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Chou et al. 2014</w:t>
            </w:r>
          </w:p>
        </w:tc>
      </w:tr>
      <w:tr w:rsidR="00614413" w:rsidRPr="00C11520" w14:paraId="65063C9C" w14:textId="77777777" w:rsidTr="00396CF6">
        <w:trPr>
          <w:trHeight w:val="925"/>
        </w:trPr>
        <w:tc>
          <w:tcPr>
            <w:tcW w:w="1547" w:type="dxa"/>
          </w:tcPr>
          <w:p w14:paraId="1493A3BE" w14:textId="77777777" w:rsidR="00614413" w:rsidRPr="0058199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lastRenderedPageBreak/>
              <w:t>C</w:t>
            </w: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hildren and adolescents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&lt;</w:t>
            </w:r>
            <w:r w:rsidRPr="0058199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18y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 no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 xml:space="preserve"> </w:t>
            </w:r>
            <w:r w:rsidRPr="00E07106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1000" w:type="dxa"/>
          </w:tcPr>
          <w:p w14:paraId="7EFD776D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 (based on medication)</w:t>
            </w:r>
          </w:p>
        </w:tc>
        <w:tc>
          <w:tcPr>
            <w:tcW w:w="992" w:type="dxa"/>
          </w:tcPr>
          <w:p w14:paraId="5CDB94C5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Injuries</w:t>
            </w:r>
          </w:p>
        </w:tc>
        <w:tc>
          <w:tcPr>
            <w:tcW w:w="1276" w:type="dxa"/>
          </w:tcPr>
          <w:p w14:paraId="6EE7334A" w14:textId="77777777" w:rsidR="00614413" w:rsidRPr="0058199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</w:t>
            </w:r>
            <w:r w:rsidRPr="003257CC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= 1,289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 ADHD medication; N= </w:t>
            </w:r>
            <w:r w:rsidRPr="003257CC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7,332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without ADHD medication </w:t>
            </w:r>
          </w:p>
        </w:tc>
        <w:tc>
          <w:tcPr>
            <w:tcW w:w="3544" w:type="dxa"/>
          </w:tcPr>
          <w:p w14:paraId="36A78309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257CC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IRR 2.2 (1.6–2.9)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</w:p>
          <w:p w14:paraId="535AD280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</w:p>
        </w:tc>
        <w:tc>
          <w:tcPr>
            <w:tcW w:w="939" w:type="dxa"/>
          </w:tcPr>
          <w:p w14:paraId="5E4A575C" w14:textId="77777777" w:rsidR="00614413" w:rsidRPr="00C11520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C11520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Van den Ban et al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. 2014</w:t>
            </w:r>
          </w:p>
        </w:tc>
      </w:tr>
      <w:tr w:rsidR="00614413" w:rsidRPr="00C11520" w14:paraId="79D11997" w14:textId="77777777" w:rsidTr="00396CF6">
        <w:trPr>
          <w:trHeight w:val="925"/>
        </w:trPr>
        <w:tc>
          <w:tcPr>
            <w:tcW w:w="1547" w:type="dxa"/>
          </w:tcPr>
          <w:p w14:paraId="3B5024DC" w14:textId="4A859C46" w:rsidR="00614413" w:rsidRPr="0058199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3257CC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and adolescents 6-18y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 no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 xml:space="preserve"> </w:t>
            </w:r>
            <w:r w:rsidRPr="00E07106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1000" w:type="dxa"/>
          </w:tcPr>
          <w:p w14:paraId="0CA2CCE3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5C9AE67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injury</w:t>
            </w:r>
          </w:p>
        </w:tc>
        <w:tc>
          <w:tcPr>
            <w:tcW w:w="1276" w:type="dxa"/>
          </w:tcPr>
          <w:p w14:paraId="3D879648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N=1.965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with </w:t>
            </w: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ADHD, N=7860 controls without ADHD</w:t>
            </w:r>
          </w:p>
        </w:tc>
        <w:tc>
          <w:tcPr>
            <w:tcW w:w="3544" w:type="dxa"/>
          </w:tcPr>
          <w:p w14:paraId="159D0D18" w14:textId="77777777" w:rsidR="00614413" w:rsidRPr="003257CC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94.45%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with ADHD vs. </w:t>
            </w: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77.00%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controls; </w:t>
            </w: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OR 5.01 [4.16–6.21] p&lt;0.001</w:t>
            </w:r>
          </w:p>
        </w:tc>
        <w:tc>
          <w:tcPr>
            <w:tcW w:w="939" w:type="dxa"/>
          </w:tcPr>
          <w:p w14:paraId="450C0964" w14:textId="77777777" w:rsidR="00614413" w:rsidRPr="00C11520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Tai et al. 2013</w:t>
            </w:r>
          </w:p>
        </w:tc>
      </w:tr>
      <w:tr w:rsidR="00614413" w:rsidRPr="00C11520" w14:paraId="7816C074" w14:textId="77777777" w:rsidTr="00396CF6">
        <w:trPr>
          <w:trHeight w:val="925"/>
        </w:trPr>
        <w:tc>
          <w:tcPr>
            <w:tcW w:w="1547" w:type="dxa"/>
          </w:tcPr>
          <w:p w14:paraId="65CFB50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974E1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children and adolescents 2-17 y.</w:t>
            </w:r>
            <w:r w:rsidRPr="00756D9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 xml:space="preserve"> no comparison</w:t>
            </w:r>
          </w:p>
        </w:tc>
        <w:tc>
          <w:tcPr>
            <w:tcW w:w="1000" w:type="dxa"/>
          </w:tcPr>
          <w:p w14:paraId="6C5FF101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37ADA70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Unintentional injuries</w:t>
            </w:r>
          </w:p>
        </w:tc>
        <w:tc>
          <w:tcPr>
            <w:tcW w:w="1276" w:type="dxa"/>
          </w:tcPr>
          <w:p w14:paraId="1BEE88F3" w14:textId="77777777" w:rsidR="00614413" w:rsidRPr="00756D92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974E1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N=6369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individuals </w:t>
            </w:r>
            <w:r w:rsidRPr="00974E1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with injuries</w:t>
            </w:r>
          </w:p>
        </w:tc>
        <w:tc>
          <w:tcPr>
            <w:tcW w:w="3544" w:type="dxa"/>
          </w:tcPr>
          <w:p w14:paraId="290882FC" w14:textId="77777777" w:rsidR="00614413" w:rsidRPr="00756D92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974E1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8.5%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974E1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with ADHD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</w:t>
            </w:r>
            <w:r w:rsidRPr="00974E1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RR 1.41 [0.88-1.95]</w:t>
            </w:r>
          </w:p>
        </w:tc>
        <w:tc>
          <w:tcPr>
            <w:tcW w:w="939" w:type="dxa"/>
          </w:tcPr>
          <w:p w14:paraId="4695B39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Brenner et al. 2013</w:t>
            </w:r>
          </w:p>
        </w:tc>
      </w:tr>
      <w:tr w:rsidR="00614413" w:rsidRPr="00756D92" w14:paraId="695EF13A" w14:textId="77777777" w:rsidTr="00396CF6">
        <w:trPr>
          <w:trHeight w:val="925"/>
        </w:trPr>
        <w:tc>
          <w:tcPr>
            <w:tcW w:w="1547" w:type="dxa"/>
          </w:tcPr>
          <w:p w14:paraId="1BE208DF" w14:textId="74F99AF3" w:rsidR="00614413" w:rsidRPr="003257CC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Children and adolescents 6-17y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756D9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497B07B0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0FE2B90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Accidental injury</w:t>
            </w:r>
          </w:p>
        </w:tc>
        <w:tc>
          <w:tcPr>
            <w:tcW w:w="1276" w:type="dxa"/>
          </w:tcPr>
          <w:p w14:paraId="07E08C46" w14:textId="77777777" w:rsidR="00614413" w:rsidRPr="00756D92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N=26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with </w:t>
            </w: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ADHD, N= 26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controls (</w:t>
            </w:r>
            <w:r w:rsidRPr="00756D92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siblings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) without ADHD</w:t>
            </w:r>
          </w:p>
        </w:tc>
        <w:tc>
          <w:tcPr>
            <w:tcW w:w="3544" w:type="dxa"/>
          </w:tcPr>
          <w:p w14:paraId="4C720749" w14:textId="77777777" w:rsidR="00614413" w:rsidRPr="00756D92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50% in ADHD, 23% in controls without ADHD</w:t>
            </w:r>
          </w:p>
        </w:tc>
        <w:tc>
          <w:tcPr>
            <w:tcW w:w="939" w:type="dxa"/>
          </w:tcPr>
          <w:p w14:paraId="4D8E5BA7" w14:textId="77777777" w:rsidR="00614413" w:rsidRPr="00756D92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Shilon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2012</w:t>
            </w:r>
          </w:p>
        </w:tc>
      </w:tr>
      <w:tr w:rsidR="00614413" w:rsidRPr="00756D92" w14:paraId="1683D617" w14:textId="77777777" w:rsidTr="00396CF6">
        <w:trPr>
          <w:trHeight w:val="925"/>
        </w:trPr>
        <w:tc>
          <w:tcPr>
            <w:tcW w:w="1547" w:type="dxa"/>
          </w:tcPr>
          <w:p w14:paraId="7A593CEC" w14:textId="77777777" w:rsidR="00614413" w:rsidRPr="00756D92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and adolescents 7-16y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756D9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 xml:space="preserve"> age groups</w:t>
            </w:r>
          </w:p>
        </w:tc>
        <w:tc>
          <w:tcPr>
            <w:tcW w:w="1000" w:type="dxa"/>
          </w:tcPr>
          <w:p w14:paraId="4C83176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</w:t>
            </w:r>
          </w:p>
        </w:tc>
        <w:tc>
          <w:tcPr>
            <w:tcW w:w="992" w:type="dxa"/>
          </w:tcPr>
          <w:p w14:paraId="5C26ADCD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Traumatic dental injuries</w:t>
            </w:r>
          </w:p>
        </w:tc>
        <w:tc>
          <w:tcPr>
            <w:tcW w:w="1276" w:type="dxa"/>
          </w:tcPr>
          <w:p w14:paraId="52E67F51" w14:textId="77777777" w:rsidR="00614413" w:rsidRPr="00756D92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N=247 with ADHD</w:t>
            </w:r>
          </w:p>
        </w:tc>
        <w:tc>
          <w:tcPr>
            <w:tcW w:w="3544" w:type="dxa"/>
          </w:tcPr>
          <w:p w14:paraId="6FAF2B34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19.4% with dental injuries</w:t>
            </w:r>
          </w:p>
          <w:p w14:paraId="2E194F7F" w14:textId="77777777" w:rsidR="00614413" w:rsidRPr="001F59B5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</w:pP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 xml:space="preserve">Age groups: </w:t>
            </w:r>
          </w:p>
          <w:p w14:paraId="1C0B7A4E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7-9 y: 33.3%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; </w:t>
            </w:r>
            <w:r w:rsidRPr="00B56C7E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10-12y: 37.2%;</w:t>
            </w:r>
            <w:r w:rsidRPr="001F59B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13-16y: 29.5% </w:t>
            </w:r>
          </w:p>
        </w:tc>
        <w:tc>
          <w:tcPr>
            <w:tcW w:w="939" w:type="dxa"/>
          </w:tcPr>
          <w:p w14:paraId="7F5FBA8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Avsar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2009</w:t>
            </w:r>
          </w:p>
        </w:tc>
      </w:tr>
      <w:tr w:rsidR="00614413" w:rsidRPr="00756D92" w14:paraId="48DB609E" w14:textId="77777777" w:rsidTr="00396CF6">
        <w:trPr>
          <w:trHeight w:val="925"/>
        </w:trPr>
        <w:tc>
          <w:tcPr>
            <w:tcW w:w="1547" w:type="dxa"/>
          </w:tcPr>
          <w:p w14:paraId="5AB8EC5F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4A550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and adolescents 5–15 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756D9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0350E550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5179D7A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Unintentional injuries (fractures)</w:t>
            </w:r>
          </w:p>
        </w:tc>
        <w:tc>
          <w:tcPr>
            <w:tcW w:w="1276" w:type="dxa"/>
          </w:tcPr>
          <w:p w14:paraId="4A52CDE1" w14:textId="77777777" w:rsidR="00614413" w:rsidRPr="001F59B5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4A550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 10,438 individuals with and without ADHD</w:t>
            </w:r>
          </w:p>
        </w:tc>
        <w:tc>
          <w:tcPr>
            <w:tcW w:w="3544" w:type="dxa"/>
          </w:tcPr>
          <w:p w14:paraId="65B101A9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4A550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adjusted OR fractures: OR 1.6 [1.2-2.3], p&lt;0.01; </w:t>
            </w:r>
          </w:p>
          <w:p w14:paraId="529990D4" w14:textId="77777777" w:rsidR="00614413" w:rsidRPr="001F59B5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4A550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simple OR: burns 2.3 (1.2–4.6) p&lt;0.05, poisoning 2.3 (1.1–4.8) p&lt;0.05, head injury 2.1 (1.2–3.5) p&lt;0.01</w:t>
            </w:r>
          </w:p>
        </w:tc>
        <w:tc>
          <w:tcPr>
            <w:tcW w:w="939" w:type="dxa"/>
          </w:tcPr>
          <w:p w14:paraId="6855E61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Rowe et al. 2004</w:t>
            </w:r>
          </w:p>
          <w:p w14:paraId="4268C85D" w14:textId="77777777" w:rsidR="00614413" w:rsidRPr="004A5507" w:rsidRDefault="00614413" w:rsidP="000F3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14413" w:rsidRPr="00756D92" w14:paraId="7AB85FD3" w14:textId="77777777" w:rsidTr="00396CF6">
        <w:trPr>
          <w:trHeight w:val="925"/>
        </w:trPr>
        <w:tc>
          <w:tcPr>
            <w:tcW w:w="1547" w:type="dxa"/>
          </w:tcPr>
          <w:p w14:paraId="23165628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750F9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and adolescents 4–15 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756D9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2AF3FE5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 symptoms</w:t>
            </w:r>
          </w:p>
        </w:tc>
        <w:tc>
          <w:tcPr>
            <w:tcW w:w="992" w:type="dxa"/>
          </w:tcPr>
          <w:p w14:paraId="6D7055B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Head Injury</w:t>
            </w:r>
          </w:p>
        </w:tc>
        <w:tc>
          <w:tcPr>
            <w:tcW w:w="1276" w:type="dxa"/>
          </w:tcPr>
          <w:p w14:paraId="09947990" w14:textId="77777777" w:rsidR="00614413" w:rsidRPr="004A550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N= </w:t>
            </w:r>
            <w:r w:rsidRPr="00750F9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4,470 with normal hyperactivity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(controls), N=</w:t>
            </w:r>
            <w:r w:rsidRPr="00750F9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736 with high hyperactivity</w:t>
            </w:r>
          </w:p>
        </w:tc>
        <w:tc>
          <w:tcPr>
            <w:tcW w:w="3544" w:type="dxa"/>
          </w:tcPr>
          <w:p w14:paraId="2008525F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B0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Head injury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: </w:t>
            </w:r>
            <w:r w:rsidRPr="000B0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6.3%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  <w:r w:rsidRPr="000B0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vs.  3.4%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controls,</w:t>
            </w:r>
            <w:r w:rsidRPr="000B0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OR 1.94 [1.38-2.73]; </w:t>
            </w:r>
          </w:p>
          <w:p w14:paraId="7A4CBDCE" w14:textId="77777777" w:rsidR="00614413" w:rsidRPr="004A5507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B0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minor head injury: 3.4%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</w:t>
            </w:r>
            <w:r w:rsidRPr="000B0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vs.  1.7%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controls,</w:t>
            </w:r>
            <w:r w:rsidRPr="000B0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OR 2.03 [1.28-3.21];</w:t>
            </w:r>
          </w:p>
        </w:tc>
        <w:tc>
          <w:tcPr>
            <w:tcW w:w="939" w:type="dxa"/>
          </w:tcPr>
          <w:p w14:paraId="6D1A89FC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Lalloo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2003</w:t>
            </w:r>
          </w:p>
          <w:p w14:paraId="2E2C7605" w14:textId="77777777" w:rsidR="00614413" w:rsidRPr="00750F9D" w:rsidRDefault="00614413" w:rsidP="000F3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14413" w:rsidRPr="00756D92" w14:paraId="5D1EA91F" w14:textId="77777777" w:rsidTr="00396CF6">
        <w:trPr>
          <w:trHeight w:val="925"/>
        </w:trPr>
        <w:tc>
          <w:tcPr>
            <w:tcW w:w="1547" w:type="dxa"/>
          </w:tcPr>
          <w:p w14:paraId="0E4122D5" w14:textId="77777777" w:rsidR="00614413" w:rsidRPr="00750F9D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hildren and adolescents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&lt;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19 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756D9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73E1FE8C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ADHD based on medication </w:t>
            </w:r>
          </w:p>
        </w:tc>
        <w:tc>
          <w:tcPr>
            <w:tcW w:w="992" w:type="dxa"/>
          </w:tcPr>
          <w:p w14:paraId="3FEF316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Injuries</w:t>
            </w:r>
          </w:p>
        </w:tc>
        <w:tc>
          <w:tcPr>
            <w:tcW w:w="1276" w:type="dxa"/>
          </w:tcPr>
          <w:p w14:paraId="56470FAA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N=16,806 with ADHD medication, N= 1.010, 067 without ADHD medication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(controls)</w:t>
            </w:r>
          </w:p>
        </w:tc>
        <w:tc>
          <w:tcPr>
            <w:tcW w:w="3544" w:type="dxa"/>
          </w:tcPr>
          <w:p w14:paraId="7F30BF07" w14:textId="77777777" w:rsidR="00614413" w:rsidRPr="000B09E4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I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njuries (fractures, wounds, poisoning, burns, intracranial, concussion)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: 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7.5% ADHD vs. 3.2%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controls,</w:t>
            </w:r>
            <w:r w:rsidRPr="00B77A5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OR 2.45 [2.27-2.65];</w:t>
            </w:r>
          </w:p>
        </w:tc>
        <w:tc>
          <w:tcPr>
            <w:tcW w:w="939" w:type="dxa"/>
          </w:tcPr>
          <w:p w14:paraId="0C1D5A5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Brehaut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2003</w:t>
            </w:r>
          </w:p>
        </w:tc>
      </w:tr>
      <w:tr w:rsidR="00614413" w:rsidRPr="00756D92" w14:paraId="5F7F723A" w14:textId="77777777" w:rsidTr="000F3827">
        <w:trPr>
          <w:trHeight w:val="304"/>
        </w:trPr>
        <w:tc>
          <w:tcPr>
            <w:tcW w:w="9298" w:type="dxa"/>
            <w:gridSpan w:val="6"/>
          </w:tcPr>
          <w:p w14:paraId="7C4ADFFA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Adults (4 studies)</w:t>
            </w:r>
          </w:p>
        </w:tc>
      </w:tr>
      <w:tr w:rsidR="00614413" w:rsidRPr="00756D92" w14:paraId="7BC38A32" w14:textId="77777777" w:rsidTr="00396CF6">
        <w:trPr>
          <w:trHeight w:val="925"/>
        </w:trPr>
        <w:tc>
          <w:tcPr>
            <w:tcW w:w="1547" w:type="dxa"/>
          </w:tcPr>
          <w:p w14:paraId="374E1761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</w:t>
            </w: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dults &gt;18 years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0C0174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49E3A4D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Accidents (t</w:t>
            </w:r>
            <w:r w:rsidRPr="00365FFB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rauma surgery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14:paraId="3D372285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65FFB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276" w:type="dxa"/>
          </w:tcPr>
          <w:p w14:paraId="0734296D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</w:t>
            </w: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905 trauma surgery patients</w:t>
            </w:r>
          </w:p>
        </w:tc>
        <w:tc>
          <w:tcPr>
            <w:tcW w:w="3544" w:type="dxa"/>
          </w:tcPr>
          <w:p w14:paraId="7725FDA8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6.18%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 ADHD, p&lt;0.001</w:t>
            </w:r>
          </w:p>
        </w:tc>
        <w:tc>
          <w:tcPr>
            <w:tcW w:w="939" w:type="dxa"/>
          </w:tcPr>
          <w:p w14:paraId="078105AE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Kittel-Schneider et al. 2019</w:t>
            </w:r>
          </w:p>
        </w:tc>
      </w:tr>
      <w:tr w:rsidR="00614413" w:rsidRPr="00756D92" w14:paraId="352A7EFB" w14:textId="77777777" w:rsidTr="00396CF6">
        <w:trPr>
          <w:trHeight w:val="925"/>
        </w:trPr>
        <w:tc>
          <w:tcPr>
            <w:tcW w:w="1547" w:type="dxa"/>
          </w:tcPr>
          <w:p w14:paraId="1799A3E4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Adults, </w:t>
            </w:r>
            <w:r w:rsidRPr="000C0174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7C3121E3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Work accidents </w:t>
            </w:r>
          </w:p>
        </w:tc>
        <w:tc>
          <w:tcPr>
            <w:tcW w:w="992" w:type="dxa"/>
          </w:tcPr>
          <w:p w14:paraId="03EE0D49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276" w:type="dxa"/>
          </w:tcPr>
          <w:p w14:paraId="5E805AE5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66479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N=8,563 workers</w:t>
            </w:r>
          </w:p>
        </w:tc>
        <w:tc>
          <w:tcPr>
            <w:tcW w:w="3544" w:type="dxa"/>
          </w:tcPr>
          <w:p w14:paraId="7D2BF7ED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66479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OR 2.0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[</w:t>
            </w:r>
            <w:r w:rsidRPr="0066479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1.1 to 3.6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]</w:t>
            </w:r>
            <w:r w:rsidRPr="00664799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 p&lt;0.05</w:t>
            </w:r>
          </w:p>
        </w:tc>
        <w:tc>
          <w:tcPr>
            <w:tcW w:w="939" w:type="dxa"/>
          </w:tcPr>
          <w:p w14:paraId="1AD33F2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Kessler et al. 2009</w:t>
            </w:r>
          </w:p>
        </w:tc>
      </w:tr>
      <w:tr w:rsidR="00614413" w:rsidRPr="00756D92" w14:paraId="79696D40" w14:textId="77777777" w:rsidTr="00396CF6">
        <w:trPr>
          <w:trHeight w:val="925"/>
        </w:trPr>
        <w:tc>
          <w:tcPr>
            <w:tcW w:w="1547" w:type="dxa"/>
          </w:tcPr>
          <w:p w14:paraId="3A56256C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415CA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lastRenderedPageBreak/>
              <w:t xml:space="preserve">Adults 18-70y, </w:t>
            </w:r>
            <w:r w:rsidRPr="00415CAD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15E66998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Trauma</w:t>
            </w:r>
          </w:p>
        </w:tc>
        <w:tc>
          <w:tcPr>
            <w:tcW w:w="992" w:type="dxa"/>
          </w:tcPr>
          <w:p w14:paraId="436D990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1276" w:type="dxa"/>
          </w:tcPr>
          <w:p w14:paraId="5E946CD8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415CA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 58 with trauma N=30 controls non-traumatic</w:t>
            </w:r>
          </w:p>
        </w:tc>
        <w:tc>
          <w:tcPr>
            <w:tcW w:w="3544" w:type="dxa"/>
          </w:tcPr>
          <w:p w14:paraId="7F20895C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415CA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62.2%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 ADHD in trauma group, </w:t>
            </w:r>
            <w:r w:rsidRPr="00415CA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13.3%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 ADHD in control group (non- traumatic)</w:t>
            </w:r>
          </w:p>
        </w:tc>
        <w:tc>
          <w:tcPr>
            <w:tcW w:w="939" w:type="dxa"/>
          </w:tcPr>
          <w:p w14:paraId="1E428808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415CA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Kaya et al. 2008</w:t>
            </w:r>
          </w:p>
        </w:tc>
      </w:tr>
      <w:tr w:rsidR="00614413" w:rsidRPr="00756D92" w14:paraId="70716546" w14:textId="77777777" w:rsidTr="00396CF6">
        <w:trPr>
          <w:trHeight w:val="925"/>
        </w:trPr>
        <w:tc>
          <w:tcPr>
            <w:tcW w:w="1547" w:type="dxa"/>
          </w:tcPr>
          <w:p w14:paraId="5C9121FD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</w:t>
            </w: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dults 19 and 25y</w:t>
            </w:r>
            <w:r w:rsidRPr="00415CAD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 w:rsidRPr="00415CAD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no comparison</w:t>
            </w:r>
          </w:p>
        </w:tc>
        <w:tc>
          <w:tcPr>
            <w:tcW w:w="1000" w:type="dxa"/>
          </w:tcPr>
          <w:p w14:paraId="46D1DCEC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 symptoms in childhood</w:t>
            </w:r>
          </w:p>
        </w:tc>
        <w:tc>
          <w:tcPr>
            <w:tcW w:w="992" w:type="dxa"/>
          </w:tcPr>
          <w:p w14:paraId="7C1526CB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Accidents</w:t>
            </w:r>
          </w:p>
        </w:tc>
        <w:tc>
          <w:tcPr>
            <w:tcW w:w="1276" w:type="dxa"/>
          </w:tcPr>
          <w:p w14:paraId="527E2A83" w14:textId="77777777" w:rsidR="00614413" w:rsidRPr="00B77A5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N=158 hyperactive in childhood, N=81 community controls without hyperactivity</w:t>
            </w:r>
          </w:p>
        </w:tc>
        <w:tc>
          <w:tcPr>
            <w:tcW w:w="3544" w:type="dxa"/>
          </w:tcPr>
          <w:p w14:paraId="4D31CBAA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vehicular crash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:</w:t>
            </w: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60% ADHD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vs.</w:t>
            </w: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63% controls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; </w:t>
            </w: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p-value not significant; </w:t>
            </w:r>
          </w:p>
          <w:p w14:paraId="0A5F1E11" w14:textId="77777777" w:rsidR="00614413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"hit and run" crash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:</w:t>
            </w: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14% ADHD vs. 2% controls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 p</w:t>
            </w: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=0.027;</w:t>
            </w:r>
          </w:p>
        </w:tc>
        <w:tc>
          <w:tcPr>
            <w:tcW w:w="939" w:type="dxa"/>
          </w:tcPr>
          <w:p w14:paraId="7E11157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Fischer et al. 2007</w:t>
            </w:r>
          </w:p>
        </w:tc>
      </w:tr>
      <w:tr w:rsidR="00614413" w14:paraId="463483E1" w14:textId="77777777" w:rsidTr="000F3827">
        <w:trPr>
          <w:trHeight w:val="354"/>
        </w:trPr>
        <w:tc>
          <w:tcPr>
            <w:tcW w:w="9298" w:type="dxa"/>
            <w:gridSpan w:val="6"/>
          </w:tcPr>
          <w:p w14:paraId="49470FC3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Adolescents and adults (5 studies)</w:t>
            </w:r>
          </w:p>
        </w:tc>
      </w:tr>
      <w:tr w:rsidR="00614413" w:rsidRPr="000C0174" w14:paraId="0781BF4E" w14:textId="77777777" w:rsidTr="00396CF6">
        <w:trPr>
          <w:trHeight w:val="925"/>
        </w:trPr>
        <w:tc>
          <w:tcPr>
            <w:tcW w:w="1547" w:type="dxa"/>
          </w:tcPr>
          <w:p w14:paraId="67B438FC" w14:textId="568EE287" w:rsidR="00614413" w:rsidRPr="000C0174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</w:pP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Adolescents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and adults &gt;16y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 age groups</w:t>
            </w:r>
          </w:p>
        </w:tc>
        <w:tc>
          <w:tcPr>
            <w:tcW w:w="1000" w:type="dxa"/>
          </w:tcPr>
          <w:p w14:paraId="07FB0B1E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44E64322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crashes</w:t>
            </w:r>
          </w:p>
        </w:tc>
        <w:tc>
          <w:tcPr>
            <w:tcW w:w="1276" w:type="dxa"/>
          </w:tcPr>
          <w:p w14:paraId="50AA42E5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N=274 subsample with self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-</w:t>
            </w: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reported ADHD, N=1,806 controls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without ADHD</w:t>
            </w:r>
          </w:p>
        </w:tc>
        <w:tc>
          <w:tcPr>
            <w:tcW w:w="3544" w:type="dxa"/>
          </w:tcPr>
          <w:p w14:paraId="2ED5395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single crash: 23.4%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vs. </w:t>
            </w: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19.1% controls;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p&lt;0.001</w:t>
            </w:r>
          </w:p>
          <w:p w14:paraId="45057288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multiple crashes: 17.9%, ADHD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vs.</w:t>
            </w: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8.1%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controls;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p&lt;0.001</w:t>
            </w:r>
          </w:p>
          <w:p w14:paraId="7D07A085" w14:textId="77777777" w:rsidR="00614413" w:rsidRPr="00E1696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F7687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u w:val="single"/>
                <w:lang w:val="en-US"/>
              </w:rPr>
              <w:t xml:space="preserve">Age groups: </w:t>
            </w:r>
            <w:r w:rsidRPr="00F7687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 xml:space="preserve">not available in table, shown in figure: </w:t>
            </w:r>
            <w:r w:rsidRPr="00B56C7E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sz w:val="16"/>
                <w:szCs w:val="16"/>
                <w:lang w:val="en-US"/>
              </w:rPr>
              <w:t>peak at 16-17y</w:t>
            </w:r>
            <w:r w:rsidRPr="00F76872"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 xml:space="preserve"> decreasing to lowest point at 26-30y and increase thereafter to second highest value after 75y</w:t>
            </w:r>
            <w:r w:rsidRPr="00E1696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.</w:t>
            </w:r>
          </w:p>
        </w:tc>
        <w:tc>
          <w:tcPr>
            <w:tcW w:w="939" w:type="dxa"/>
          </w:tcPr>
          <w:p w14:paraId="28A61BB5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Aduen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2018</w:t>
            </w:r>
          </w:p>
        </w:tc>
      </w:tr>
      <w:tr w:rsidR="00614413" w:rsidRPr="000C0174" w14:paraId="5D9A110C" w14:textId="77777777" w:rsidTr="00396CF6">
        <w:trPr>
          <w:trHeight w:val="925"/>
        </w:trPr>
        <w:tc>
          <w:tcPr>
            <w:tcW w:w="1547" w:type="dxa"/>
          </w:tcPr>
          <w:p w14:paraId="1794D0EE" w14:textId="1EB6D906" w:rsidR="00614413" w:rsidRPr="000C0174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Adolescents</w:t>
            </w: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and adults 17+</w:t>
            </w:r>
            <w:r w:rsidR="00016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 age groups</w:t>
            </w:r>
          </w:p>
        </w:tc>
        <w:tc>
          <w:tcPr>
            <w:tcW w:w="1000" w:type="dxa"/>
          </w:tcPr>
          <w:p w14:paraId="431FF9C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3CBE0D6D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Motor vehicle crashes (MVCs)</w:t>
            </w:r>
          </w:p>
        </w:tc>
        <w:tc>
          <w:tcPr>
            <w:tcW w:w="1276" w:type="dxa"/>
          </w:tcPr>
          <w:p w14:paraId="6215E909" w14:textId="77777777" w:rsidR="00614413" w:rsidRPr="000C0174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 2.319,450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 ADHD</w:t>
            </w:r>
          </w:p>
        </w:tc>
        <w:tc>
          <w:tcPr>
            <w:tcW w:w="3544" w:type="dxa"/>
          </w:tcPr>
          <w:p w14:paraId="7D99E15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0,5% with crashes </w:t>
            </w:r>
          </w:p>
          <w:p w14:paraId="13660BF1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</w:pP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>Age group males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>/females</w:t>
            </w: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>:</w:t>
            </w:r>
          </w:p>
          <w:p w14:paraId="4CE4C77C" w14:textId="77777777" w:rsidR="00614413" w:rsidRPr="000D0A98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B56C7E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>18-25y: 0.63%/0.57%</w:t>
            </w:r>
          </w:p>
          <w:p w14:paraId="7FC5BCF4" w14:textId="77777777" w:rsidR="00614413" w:rsidRPr="000D0A98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26-35y: 0.38%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/0.47%</w:t>
            </w:r>
          </w:p>
          <w:p w14:paraId="5FEEE5D5" w14:textId="77777777" w:rsidR="00614413" w:rsidRPr="000D0A98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36-45y: 0.38%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/0.44%</w:t>
            </w:r>
          </w:p>
          <w:p w14:paraId="6AF40CB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≥46y:  0.32%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/0.35%</w:t>
            </w:r>
          </w:p>
          <w:p w14:paraId="2F97ED38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Males: OR </w:t>
            </w: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1.49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[</w:t>
            </w: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1.46-1.54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]</w:t>
            </w:r>
          </w:p>
          <w:p w14:paraId="72744E30" w14:textId="77777777" w:rsidR="00614413" w:rsidRPr="000C0174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Females: OR 1.44 [</w:t>
            </w: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1.41-1.48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}</w:t>
            </w:r>
          </w:p>
        </w:tc>
        <w:tc>
          <w:tcPr>
            <w:tcW w:w="939" w:type="dxa"/>
          </w:tcPr>
          <w:p w14:paraId="72E88743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Chang et al. 2017</w:t>
            </w:r>
          </w:p>
        </w:tc>
      </w:tr>
      <w:tr w:rsidR="00614413" w:rsidRPr="000C0174" w14:paraId="3B67FA28" w14:textId="77777777" w:rsidTr="00396CF6">
        <w:trPr>
          <w:trHeight w:val="925"/>
        </w:trPr>
        <w:tc>
          <w:tcPr>
            <w:tcW w:w="1547" w:type="dxa"/>
          </w:tcPr>
          <w:p w14:paraId="7A8CCF00" w14:textId="7935764F" w:rsidR="00614413" w:rsidRPr="000C0174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Adolescents</w:t>
            </w: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and adults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18-46</w:t>
            </w:r>
            <w:r w:rsidRPr="000D0A98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no 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 xml:space="preserve">comparison </w:t>
            </w:r>
          </w:p>
        </w:tc>
        <w:tc>
          <w:tcPr>
            <w:tcW w:w="1000" w:type="dxa"/>
          </w:tcPr>
          <w:p w14:paraId="06EE247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78F8DD30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Transport accidents</w:t>
            </w:r>
          </w:p>
        </w:tc>
        <w:tc>
          <w:tcPr>
            <w:tcW w:w="1276" w:type="dxa"/>
          </w:tcPr>
          <w:p w14:paraId="7E4A67FB" w14:textId="77777777" w:rsidR="00614413" w:rsidRPr="000C0174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7976C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N=17,408 with ADHD</w:t>
            </w:r>
          </w:p>
        </w:tc>
        <w:tc>
          <w:tcPr>
            <w:tcW w:w="3544" w:type="dxa"/>
          </w:tcPr>
          <w:p w14:paraId="0783F79B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Males: HR 1.47 [</w:t>
            </w:r>
            <w:r w:rsidRPr="007976C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1.32–1.63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]</w:t>
            </w:r>
          </w:p>
          <w:p w14:paraId="6CBEACAE" w14:textId="77777777" w:rsidR="00614413" w:rsidRPr="000D0A98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Females: HR 1.45 [</w:t>
            </w:r>
            <w:r w:rsidRPr="007976CA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1.24–1.71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]</w:t>
            </w:r>
          </w:p>
        </w:tc>
        <w:tc>
          <w:tcPr>
            <w:tcW w:w="939" w:type="dxa"/>
          </w:tcPr>
          <w:p w14:paraId="69F371F7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Chang et al. 2014</w:t>
            </w:r>
          </w:p>
        </w:tc>
      </w:tr>
      <w:tr w:rsidR="00614413" w:rsidRPr="000C0174" w14:paraId="7295F963" w14:textId="77777777" w:rsidTr="00396CF6">
        <w:trPr>
          <w:trHeight w:val="925"/>
        </w:trPr>
        <w:tc>
          <w:tcPr>
            <w:tcW w:w="1547" w:type="dxa"/>
          </w:tcPr>
          <w:p w14:paraId="1EF499D0" w14:textId="4E984488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</w:t>
            </w: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dolescents and adults 16+y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no 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1000" w:type="dxa"/>
          </w:tcPr>
          <w:p w14:paraId="28BD8CC4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0ACE0AA1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Accidents</w:t>
            </w:r>
          </w:p>
        </w:tc>
        <w:tc>
          <w:tcPr>
            <w:tcW w:w="1276" w:type="dxa"/>
          </w:tcPr>
          <w:p w14:paraId="1D7A8AA6" w14:textId="77777777" w:rsidR="00614413" w:rsidRPr="007976CA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N=203 with ADHD; n=152 controls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without ADHD</w:t>
            </w:r>
          </w:p>
        </w:tc>
        <w:tc>
          <w:tcPr>
            <w:tcW w:w="3544" w:type="dxa"/>
          </w:tcPr>
          <w:p w14:paraId="0125B2B6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41.3% ADHD vs. </w:t>
            </w:r>
            <w:r w:rsidRPr="003072D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44% controls, OR 0.9 p=0.5</w:t>
            </w:r>
          </w:p>
        </w:tc>
        <w:tc>
          <w:tcPr>
            <w:tcW w:w="939" w:type="dxa"/>
          </w:tcPr>
          <w:p w14:paraId="1E45B0A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Thompson et al. 2007</w:t>
            </w:r>
          </w:p>
        </w:tc>
      </w:tr>
      <w:tr w:rsidR="00614413" w14:paraId="09B2A3EF" w14:textId="77777777" w:rsidTr="00396CF6">
        <w:trPr>
          <w:trHeight w:val="197"/>
        </w:trPr>
        <w:tc>
          <w:tcPr>
            <w:tcW w:w="1547" w:type="dxa"/>
          </w:tcPr>
          <w:p w14:paraId="7E8D3BB1" w14:textId="77777777" w:rsidR="00614413" w:rsidRPr="00C25D05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adolescents and adults 16-25y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no 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1000" w:type="dxa"/>
          </w:tcPr>
          <w:p w14:paraId="0B37ED1D" w14:textId="77777777" w:rsidR="00614413" w:rsidRPr="00C25D05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7B903617" w14:textId="77777777" w:rsidR="00614413" w:rsidRPr="00C25D05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M</w:t>
            </w: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otor vehicle crash</w:t>
            </w:r>
          </w:p>
        </w:tc>
        <w:tc>
          <w:tcPr>
            <w:tcW w:w="1276" w:type="dxa"/>
          </w:tcPr>
          <w:p w14:paraId="66781846" w14:textId="77777777" w:rsidR="00614413" w:rsidRPr="00C25D05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N= 2,479 with ADHD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, N= </w:t>
            </w: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15,865</w:t>
            </w:r>
          </w:p>
          <w:p w14:paraId="28482274" w14:textId="77777777" w:rsidR="00614413" w:rsidRPr="00C25D05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without ADHD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(controls)</w:t>
            </w:r>
          </w:p>
        </w:tc>
        <w:tc>
          <w:tcPr>
            <w:tcW w:w="3544" w:type="dxa"/>
          </w:tcPr>
          <w:p w14:paraId="725E7AA1" w14:textId="77777777" w:rsidR="00614413" w:rsidRPr="00C25D05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42.8%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ADHD vs. </w:t>
            </w: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35.7%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controls, </w:t>
            </w: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HR 1.36 [1.25-1.48]</w:t>
            </w:r>
          </w:p>
        </w:tc>
        <w:tc>
          <w:tcPr>
            <w:tcW w:w="939" w:type="dxa"/>
          </w:tcPr>
          <w:p w14:paraId="2D935F10" w14:textId="77777777" w:rsidR="00614413" w:rsidRPr="00C25D05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C25D05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Curry et al. 2017</w:t>
            </w:r>
          </w:p>
        </w:tc>
      </w:tr>
      <w:tr w:rsidR="00614413" w14:paraId="4DB815D3" w14:textId="77777777" w:rsidTr="000F3827">
        <w:trPr>
          <w:trHeight w:val="197"/>
        </w:trPr>
        <w:tc>
          <w:tcPr>
            <w:tcW w:w="9298" w:type="dxa"/>
            <w:gridSpan w:val="6"/>
          </w:tcPr>
          <w:p w14:paraId="2547C75E" w14:textId="77777777" w:rsidR="00614413" w:rsidRPr="00E016F7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lang w:val="en-US"/>
              </w:rPr>
              <w:t>All age groups (1 study)</w:t>
            </w:r>
          </w:p>
        </w:tc>
      </w:tr>
      <w:tr w:rsidR="00614413" w14:paraId="0E31ED99" w14:textId="77777777" w:rsidTr="00396CF6">
        <w:trPr>
          <w:trHeight w:val="394"/>
        </w:trPr>
        <w:tc>
          <w:tcPr>
            <w:tcW w:w="1547" w:type="dxa"/>
          </w:tcPr>
          <w:p w14:paraId="2A2A0DBB" w14:textId="1F0DE949" w:rsidR="00614413" w:rsidRPr="00365FFB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C</w:t>
            </w: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hildren 3-11</w:t>
            </w:r>
            <w:r w:rsidR="00016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y</w:t>
            </w: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, adolescents 12-17,  adults 18-29</w:t>
            </w:r>
            <w:r w:rsidR="000169E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Theme="minorHAnsi" w:hAnsiTheme="minorHAnsi" w:cstheme="minorHAnsi"/>
                <w:i/>
                <w:iCs/>
                <w:color w:val="212121"/>
                <w:sz w:val="16"/>
                <w:szCs w:val="16"/>
                <w:lang w:val="en-US"/>
              </w:rPr>
              <w:t>comparison age groups</w:t>
            </w:r>
          </w:p>
        </w:tc>
        <w:tc>
          <w:tcPr>
            <w:tcW w:w="1000" w:type="dxa"/>
          </w:tcPr>
          <w:p w14:paraId="2A5D7CC0" w14:textId="77777777" w:rsidR="00614413" w:rsidRPr="00365FFB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ADHD</w:t>
            </w:r>
          </w:p>
        </w:tc>
        <w:tc>
          <w:tcPr>
            <w:tcW w:w="992" w:type="dxa"/>
          </w:tcPr>
          <w:p w14:paraId="5F87A5F8" w14:textId="77777777" w:rsidR="00614413" w:rsidRPr="00365FFB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0C0174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traumatic brain injury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(TBI)</w:t>
            </w:r>
          </w:p>
        </w:tc>
        <w:tc>
          <w:tcPr>
            <w:tcW w:w="1276" w:type="dxa"/>
          </w:tcPr>
          <w:p w14:paraId="71F6FB39" w14:textId="77777777" w:rsidR="00614413" w:rsidRPr="00365FFB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N= 72,181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with ADHD</w:t>
            </w: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; control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s</w:t>
            </w: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without ADHD N=</w:t>
            </w: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72,181</w:t>
            </w:r>
          </w:p>
        </w:tc>
        <w:tc>
          <w:tcPr>
            <w:tcW w:w="3544" w:type="dxa"/>
          </w:tcPr>
          <w:p w14:paraId="2B10BBA2" w14:textId="77777777" w:rsidR="00614413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9.8%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ADHD vs. 2.2% controls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br/>
            </w: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u w:val="single"/>
                <w:lang w:val="en-US"/>
              </w:rPr>
              <w:t>Age groups: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</w:t>
            </w:r>
          </w:p>
          <w:p w14:paraId="3BFB0E7E" w14:textId="77777777" w:rsidR="00614413" w:rsidRPr="00365FFB" w:rsidRDefault="00614413" w:rsidP="000F3827">
            <w:pPr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A05151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3-11y: HR 4.55 [4.2-4.88];</w:t>
            </w:r>
            <w:r w:rsidRPr="00B56C7E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 xml:space="preserve"> </w:t>
            </w:r>
            <w:r w:rsidRPr="00A05151">
              <w:rPr>
                <w:rFonts w:asciiTheme="minorHAnsi" w:hAnsiTheme="minorHAnsi" w:cstheme="minorHAnsi"/>
                <w:b/>
                <w:bCs/>
                <w:color w:val="212121"/>
                <w:sz w:val="16"/>
                <w:szCs w:val="16"/>
                <w:lang w:val="en-US"/>
              </w:rPr>
              <w:t xml:space="preserve">12-17y: HR 4.70 [4.16-5.31]; </w:t>
            </w: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18-29: </w:t>
            </w:r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HR </w:t>
            </w:r>
            <w:r w:rsidRPr="00EC0313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3.91 [2.87-5.32]</w:t>
            </w:r>
          </w:p>
        </w:tc>
        <w:tc>
          <w:tcPr>
            <w:tcW w:w="939" w:type="dxa"/>
          </w:tcPr>
          <w:p w14:paraId="2967CD0B" w14:textId="77777777" w:rsidR="00614413" w:rsidRPr="00365FFB" w:rsidRDefault="00614413" w:rsidP="000F3827">
            <w:pPr>
              <w:spacing w:line="360" w:lineRule="auto"/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</w:pPr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﻿</w:t>
            </w:r>
            <w:proofErr w:type="spellStart"/>
            <w:r w:rsidRPr="00E016F7"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>Liou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16"/>
                <w:szCs w:val="16"/>
                <w:lang w:val="en-US"/>
              </w:rPr>
              <w:t xml:space="preserve"> et al. 2018</w:t>
            </w:r>
          </w:p>
        </w:tc>
      </w:tr>
    </w:tbl>
    <w:p w14:paraId="0787D9DE" w14:textId="1DF033AD" w:rsidR="006B6013" w:rsidRPr="00FF286D" w:rsidRDefault="006B6013" w:rsidP="00FF286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sectPr w:rsidR="006B6013" w:rsidRPr="00FF286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451C" w14:textId="77777777" w:rsidR="0068755E" w:rsidRDefault="0068755E" w:rsidP="002718F2">
      <w:r>
        <w:separator/>
      </w:r>
    </w:p>
  </w:endnote>
  <w:endnote w:type="continuationSeparator" w:id="0">
    <w:p w14:paraId="29671458" w14:textId="77777777" w:rsidR="0068755E" w:rsidRDefault="0068755E" w:rsidP="002718F2">
      <w:r>
        <w:continuationSeparator/>
      </w:r>
    </w:p>
  </w:endnote>
  <w:endnote w:type="continuationNotice" w:id="1">
    <w:p w14:paraId="54993EB0" w14:textId="77777777" w:rsidR="0068755E" w:rsidRDefault="00687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375392"/>
      <w:docPartObj>
        <w:docPartGallery w:val="Page Numbers (Bottom of Page)"/>
        <w:docPartUnique/>
      </w:docPartObj>
    </w:sdtPr>
    <w:sdtEndPr/>
    <w:sdtContent>
      <w:p w14:paraId="4C913C67" w14:textId="6C8FCB3D" w:rsidR="00BE3B2C" w:rsidRDefault="00BE3B2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D2">
          <w:rPr>
            <w:noProof/>
          </w:rPr>
          <w:t>1</w:t>
        </w:r>
        <w:r>
          <w:fldChar w:fldCharType="end"/>
        </w:r>
      </w:p>
    </w:sdtContent>
  </w:sdt>
  <w:p w14:paraId="7AC706F1" w14:textId="77777777" w:rsidR="00BE3B2C" w:rsidRDefault="00BE3B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2373" w14:textId="77777777" w:rsidR="0068755E" w:rsidRDefault="0068755E" w:rsidP="002718F2">
      <w:r>
        <w:separator/>
      </w:r>
    </w:p>
  </w:footnote>
  <w:footnote w:type="continuationSeparator" w:id="0">
    <w:p w14:paraId="309FF658" w14:textId="77777777" w:rsidR="0068755E" w:rsidRDefault="0068755E" w:rsidP="002718F2">
      <w:r>
        <w:continuationSeparator/>
      </w:r>
    </w:p>
  </w:footnote>
  <w:footnote w:type="continuationNotice" w:id="1">
    <w:p w14:paraId="1E366404" w14:textId="77777777" w:rsidR="0068755E" w:rsidRDefault="0068755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069B"/>
    <w:multiLevelType w:val="hybridMultilevel"/>
    <w:tmpl w:val="9E7C6C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DEC"/>
    <w:multiLevelType w:val="hybridMultilevel"/>
    <w:tmpl w:val="CB1C8740"/>
    <w:lvl w:ilvl="0" w:tplc="2604AAB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D827D88"/>
    <w:multiLevelType w:val="hybridMultilevel"/>
    <w:tmpl w:val="AE126048"/>
    <w:lvl w:ilvl="0" w:tplc="3CEEE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946CD"/>
    <w:multiLevelType w:val="hybridMultilevel"/>
    <w:tmpl w:val="FF76E968"/>
    <w:lvl w:ilvl="0" w:tplc="9A2CF7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6649"/>
    <w:multiLevelType w:val="hybridMultilevel"/>
    <w:tmpl w:val="8278CB9C"/>
    <w:lvl w:ilvl="0" w:tplc="42729D14">
      <w:start w:val="5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2BAC"/>
    <w:multiLevelType w:val="hybridMultilevel"/>
    <w:tmpl w:val="6D8AAFCE"/>
    <w:lvl w:ilvl="0" w:tplc="4ABEA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5197"/>
    <w:multiLevelType w:val="hybridMultilevel"/>
    <w:tmpl w:val="91D40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A730C"/>
    <w:multiLevelType w:val="hybridMultilevel"/>
    <w:tmpl w:val="32BA59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aw9as5jwww9gex2ti5zwtapt055w29ptp5&quot;&gt;My EndNote Library&lt;record-ids&gt;&lt;item&gt;1809&lt;/item&gt;&lt;item&gt;4184&lt;/item&gt;&lt;item&gt;4290&lt;/item&gt;&lt;item&gt;4378&lt;/item&gt;&lt;item&gt;4415&lt;/item&gt;&lt;item&gt;4425&lt;/item&gt;&lt;item&gt;4430&lt;/item&gt;&lt;item&gt;4432&lt;/item&gt;&lt;item&gt;5800&lt;/item&gt;&lt;item&gt;7600&lt;/item&gt;&lt;item&gt;7614&lt;/item&gt;&lt;item&gt;7624&lt;/item&gt;&lt;item&gt;10112&lt;/item&gt;&lt;item&gt;10491&lt;/item&gt;&lt;item&gt;10744&lt;/item&gt;&lt;item&gt;10745&lt;/item&gt;&lt;/record-ids&gt;&lt;/item&gt;&lt;/Libraries&gt;"/>
  </w:docVars>
  <w:rsids>
    <w:rsidRoot w:val="00EB02BA"/>
    <w:rsid w:val="000169E4"/>
    <w:rsid w:val="00020C7A"/>
    <w:rsid w:val="00023ACB"/>
    <w:rsid w:val="0002776D"/>
    <w:rsid w:val="000377FF"/>
    <w:rsid w:val="00053B08"/>
    <w:rsid w:val="00056E8B"/>
    <w:rsid w:val="00063F98"/>
    <w:rsid w:val="00070C22"/>
    <w:rsid w:val="000801E8"/>
    <w:rsid w:val="00085130"/>
    <w:rsid w:val="00093928"/>
    <w:rsid w:val="00095727"/>
    <w:rsid w:val="00096BA0"/>
    <w:rsid w:val="000A11D4"/>
    <w:rsid w:val="000A4FFC"/>
    <w:rsid w:val="000B09E4"/>
    <w:rsid w:val="000B1A45"/>
    <w:rsid w:val="000B3342"/>
    <w:rsid w:val="000B5B36"/>
    <w:rsid w:val="000C0174"/>
    <w:rsid w:val="000C34AD"/>
    <w:rsid w:val="000D0A98"/>
    <w:rsid w:val="000D294D"/>
    <w:rsid w:val="000E035C"/>
    <w:rsid w:val="000E17D0"/>
    <w:rsid w:val="000E27BF"/>
    <w:rsid w:val="000E6DC1"/>
    <w:rsid w:val="000E72EB"/>
    <w:rsid w:val="000E7A4C"/>
    <w:rsid w:val="000F3827"/>
    <w:rsid w:val="000F5723"/>
    <w:rsid w:val="000F742F"/>
    <w:rsid w:val="000F7F1F"/>
    <w:rsid w:val="00107211"/>
    <w:rsid w:val="00107A69"/>
    <w:rsid w:val="0011167E"/>
    <w:rsid w:val="0011199E"/>
    <w:rsid w:val="0011377A"/>
    <w:rsid w:val="00113E5D"/>
    <w:rsid w:val="00113F3E"/>
    <w:rsid w:val="0012348D"/>
    <w:rsid w:val="0012398C"/>
    <w:rsid w:val="00132C6D"/>
    <w:rsid w:val="00143651"/>
    <w:rsid w:val="001436FE"/>
    <w:rsid w:val="001579CA"/>
    <w:rsid w:val="00157D65"/>
    <w:rsid w:val="00164096"/>
    <w:rsid w:val="001754C3"/>
    <w:rsid w:val="001775B8"/>
    <w:rsid w:val="00181074"/>
    <w:rsid w:val="00196B2C"/>
    <w:rsid w:val="001A080E"/>
    <w:rsid w:val="001A301C"/>
    <w:rsid w:val="001C6BEB"/>
    <w:rsid w:val="001D3E17"/>
    <w:rsid w:val="001D73B4"/>
    <w:rsid w:val="001F40B4"/>
    <w:rsid w:val="001F4F40"/>
    <w:rsid w:val="001F59B5"/>
    <w:rsid w:val="001F7132"/>
    <w:rsid w:val="00203D1F"/>
    <w:rsid w:val="00205825"/>
    <w:rsid w:val="00205C61"/>
    <w:rsid w:val="00213C1D"/>
    <w:rsid w:val="00213D55"/>
    <w:rsid w:val="002308E2"/>
    <w:rsid w:val="00233EBF"/>
    <w:rsid w:val="0024550B"/>
    <w:rsid w:val="00250860"/>
    <w:rsid w:val="00262EF4"/>
    <w:rsid w:val="002638DF"/>
    <w:rsid w:val="002652F6"/>
    <w:rsid w:val="00265FB1"/>
    <w:rsid w:val="00270053"/>
    <w:rsid w:val="002718F2"/>
    <w:rsid w:val="00273B57"/>
    <w:rsid w:val="00282725"/>
    <w:rsid w:val="0028509A"/>
    <w:rsid w:val="00285375"/>
    <w:rsid w:val="00287F55"/>
    <w:rsid w:val="002941F2"/>
    <w:rsid w:val="00294B44"/>
    <w:rsid w:val="00295072"/>
    <w:rsid w:val="002976D2"/>
    <w:rsid w:val="002A426E"/>
    <w:rsid w:val="002B2227"/>
    <w:rsid w:val="002B2806"/>
    <w:rsid w:val="002B7BDB"/>
    <w:rsid w:val="002C01D7"/>
    <w:rsid w:val="002C3F8C"/>
    <w:rsid w:val="002D3F90"/>
    <w:rsid w:val="002D4E7A"/>
    <w:rsid w:val="002F29C7"/>
    <w:rsid w:val="002F4565"/>
    <w:rsid w:val="002F4E7E"/>
    <w:rsid w:val="002F6CCD"/>
    <w:rsid w:val="00306100"/>
    <w:rsid w:val="003072D7"/>
    <w:rsid w:val="00315296"/>
    <w:rsid w:val="003241C6"/>
    <w:rsid w:val="003257CC"/>
    <w:rsid w:val="00326999"/>
    <w:rsid w:val="00334122"/>
    <w:rsid w:val="003359DF"/>
    <w:rsid w:val="0033708D"/>
    <w:rsid w:val="00361BC6"/>
    <w:rsid w:val="00363687"/>
    <w:rsid w:val="00365FFB"/>
    <w:rsid w:val="00366A0D"/>
    <w:rsid w:val="00374D6B"/>
    <w:rsid w:val="00375E2A"/>
    <w:rsid w:val="00381B08"/>
    <w:rsid w:val="00391439"/>
    <w:rsid w:val="00391CC1"/>
    <w:rsid w:val="00392428"/>
    <w:rsid w:val="00392BDE"/>
    <w:rsid w:val="00393887"/>
    <w:rsid w:val="00396CF6"/>
    <w:rsid w:val="003A0BB9"/>
    <w:rsid w:val="003A6C62"/>
    <w:rsid w:val="003B06D0"/>
    <w:rsid w:val="003C4CFD"/>
    <w:rsid w:val="003D249C"/>
    <w:rsid w:val="003D3BFD"/>
    <w:rsid w:val="003D4508"/>
    <w:rsid w:val="003D6714"/>
    <w:rsid w:val="003D7ACE"/>
    <w:rsid w:val="003E4887"/>
    <w:rsid w:val="003E7AE7"/>
    <w:rsid w:val="00406717"/>
    <w:rsid w:val="00413132"/>
    <w:rsid w:val="00415CAD"/>
    <w:rsid w:val="00417445"/>
    <w:rsid w:val="0042455C"/>
    <w:rsid w:val="004325FD"/>
    <w:rsid w:val="00433CE9"/>
    <w:rsid w:val="00436FD5"/>
    <w:rsid w:val="0044105F"/>
    <w:rsid w:val="004528B0"/>
    <w:rsid w:val="004602DB"/>
    <w:rsid w:val="00460BC5"/>
    <w:rsid w:val="00464B51"/>
    <w:rsid w:val="00464EF3"/>
    <w:rsid w:val="00471411"/>
    <w:rsid w:val="00474E80"/>
    <w:rsid w:val="00476AB5"/>
    <w:rsid w:val="00486822"/>
    <w:rsid w:val="00493F69"/>
    <w:rsid w:val="004973DE"/>
    <w:rsid w:val="00497550"/>
    <w:rsid w:val="004A04E9"/>
    <w:rsid w:val="004A42F6"/>
    <w:rsid w:val="004A5507"/>
    <w:rsid w:val="004A7D75"/>
    <w:rsid w:val="004A7DAC"/>
    <w:rsid w:val="004B569E"/>
    <w:rsid w:val="004B74F6"/>
    <w:rsid w:val="004C54A3"/>
    <w:rsid w:val="004C7C39"/>
    <w:rsid w:val="004C7CA9"/>
    <w:rsid w:val="004D66A1"/>
    <w:rsid w:val="004E477D"/>
    <w:rsid w:val="004F14D1"/>
    <w:rsid w:val="00503731"/>
    <w:rsid w:val="00505378"/>
    <w:rsid w:val="005066D5"/>
    <w:rsid w:val="0050740B"/>
    <w:rsid w:val="0052346E"/>
    <w:rsid w:val="005460BA"/>
    <w:rsid w:val="00554BCE"/>
    <w:rsid w:val="00560D13"/>
    <w:rsid w:val="00562B78"/>
    <w:rsid w:val="00563BA8"/>
    <w:rsid w:val="00572928"/>
    <w:rsid w:val="00576684"/>
    <w:rsid w:val="00580B08"/>
    <w:rsid w:val="00581997"/>
    <w:rsid w:val="00581C19"/>
    <w:rsid w:val="00582021"/>
    <w:rsid w:val="0058599B"/>
    <w:rsid w:val="00585E35"/>
    <w:rsid w:val="00587ADD"/>
    <w:rsid w:val="0059637C"/>
    <w:rsid w:val="00596A48"/>
    <w:rsid w:val="005A0CEF"/>
    <w:rsid w:val="005A5385"/>
    <w:rsid w:val="005B39A4"/>
    <w:rsid w:val="005E2EAA"/>
    <w:rsid w:val="005E45C6"/>
    <w:rsid w:val="005F0DF1"/>
    <w:rsid w:val="005F2414"/>
    <w:rsid w:val="00601C38"/>
    <w:rsid w:val="00606EA5"/>
    <w:rsid w:val="00610D63"/>
    <w:rsid w:val="00614413"/>
    <w:rsid w:val="006206FF"/>
    <w:rsid w:val="00624FFF"/>
    <w:rsid w:val="00632606"/>
    <w:rsid w:val="0063769A"/>
    <w:rsid w:val="00637F38"/>
    <w:rsid w:val="00664799"/>
    <w:rsid w:val="00670D1A"/>
    <w:rsid w:val="00671534"/>
    <w:rsid w:val="0067571F"/>
    <w:rsid w:val="006771EF"/>
    <w:rsid w:val="006807BF"/>
    <w:rsid w:val="0068755E"/>
    <w:rsid w:val="00687E01"/>
    <w:rsid w:val="00690E57"/>
    <w:rsid w:val="00697301"/>
    <w:rsid w:val="006A26D5"/>
    <w:rsid w:val="006A77E8"/>
    <w:rsid w:val="006B0BDF"/>
    <w:rsid w:val="006B6013"/>
    <w:rsid w:val="006C28EC"/>
    <w:rsid w:val="006C427C"/>
    <w:rsid w:val="006D5289"/>
    <w:rsid w:val="006D7BD8"/>
    <w:rsid w:val="006E469F"/>
    <w:rsid w:val="006E559E"/>
    <w:rsid w:val="006E7871"/>
    <w:rsid w:val="006F1B77"/>
    <w:rsid w:val="00717F4A"/>
    <w:rsid w:val="00721ABA"/>
    <w:rsid w:val="00722BFC"/>
    <w:rsid w:val="00724525"/>
    <w:rsid w:val="00727F92"/>
    <w:rsid w:val="0073008C"/>
    <w:rsid w:val="00730A16"/>
    <w:rsid w:val="00744C67"/>
    <w:rsid w:val="0074581D"/>
    <w:rsid w:val="00747421"/>
    <w:rsid w:val="00750F9D"/>
    <w:rsid w:val="00753748"/>
    <w:rsid w:val="00755B3C"/>
    <w:rsid w:val="00756D92"/>
    <w:rsid w:val="00757406"/>
    <w:rsid w:val="0076162E"/>
    <w:rsid w:val="00764928"/>
    <w:rsid w:val="00766525"/>
    <w:rsid w:val="0076672B"/>
    <w:rsid w:val="00771145"/>
    <w:rsid w:val="00771B43"/>
    <w:rsid w:val="00772A91"/>
    <w:rsid w:val="00776432"/>
    <w:rsid w:val="00781A83"/>
    <w:rsid w:val="00783FDA"/>
    <w:rsid w:val="00793A52"/>
    <w:rsid w:val="007976CA"/>
    <w:rsid w:val="007A1CAC"/>
    <w:rsid w:val="007B2337"/>
    <w:rsid w:val="007B263D"/>
    <w:rsid w:val="007B385C"/>
    <w:rsid w:val="007B57D1"/>
    <w:rsid w:val="007C0C79"/>
    <w:rsid w:val="007C3F44"/>
    <w:rsid w:val="007C4EAC"/>
    <w:rsid w:val="007C6F40"/>
    <w:rsid w:val="007D17F8"/>
    <w:rsid w:val="007D39DF"/>
    <w:rsid w:val="007D7373"/>
    <w:rsid w:val="007E5E66"/>
    <w:rsid w:val="007E628D"/>
    <w:rsid w:val="007F25E5"/>
    <w:rsid w:val="00813443"/>
    <w:rsid w:val="008206EA"/>
    <w:rsid w:val="008223D7"/>
    <w:rsid w:val="0082273B"/>
    <w:rsid w:val="00825FC5"/>
    <w:rsid w:val="008307D7"/>
    <w:rsid w:val="0083167C"/>
    <w:rsid w:val="0083511E"/>
    <w:rsid w:val="008409DC"/>
    <w:rsid w:val="008471E3"/>
    <w:rsid w:val="008521A1"/>
    <w:rsid w:val="00862B79"/>
    <w:rsid w:val="008632B8"/>
    <w:rsid w:val="00867220"/>
    <w:rsid w:val="00867DC2"/>
    <w:rsid w:val="00872238"/>
    <w:rsid w:val="0087441A"/>
    <w:rsid w:val="00874B16"/>
    <w:rsid w:val="00882D7A"/>
    <w:rsid w:val="00896D1F"/>
    <w:rsid w:val="008979EC"/>
    <w:rsid w:val="008A49DF"/>
    <w:rsid w:val="008B17D7"/>
    <w:rsid w:val="008B2B3A"/>
    <w:rsid w:val="008E2CF3"/>
    <w:rsid w:val="008E34A8"/>
    <w:rsid w:val="008E3772"/>
    <w:rsid w:val="008E4144"/>
    <w:rsid w:val="008F04E7"/>
    <w:rsid w:val="008F7E87"/>
    <w:rsid w:val="00907C5D"/>
    <w:rsid w:val="00907D67"/>
    <w:rsid w:val="009168D2"/>
    <w:rsid w:val="009210A9"/>
    <w:rsid w:val="00924E04"/>
    <w:rsid w:val="00927160"/>
    <w:rsid w:val="00927D47"/>
    <w:rsid w:val="00932304"/>
    <w:rsid w:val="009367A9"/>
    <w:rsid w:val="009423AC"/>
    <w:rsid w:val="00942621"/>
    <w:rsid w:val="00945392"/>
    <w:rsid w:val="00945923"/>
    <w:rsid w:val="00955239"/>
    <w:rsid w:val="00955B89"/>
    <w:rsid w:val="00956DCF"/>
    <w:rsid w:val="009619E8"/>
    <w:rsid w:val="009634AF"/>
    <w:rsid w:val="00974E14"/>
    <w:rsid w:val="00975F79"/>
    <w:rsid w:val="0098272E"/>
    <w:rsid w:val="009878AB"/>
    <w:rsid w:val="00990085"/>
    <w:rsid w:val="00993D55"/>
    <w:rsid w:val="00996B42"/>
    <w:rsid w:val="009A3E09"/>
    <w:rsid w:val="009B3399"/>
    <w:rsid w:val="009C192A"/>
    <w:rsid w:val="009C4617"/>
    <w:rsid w:val="009C6AFB"/>
    <w:rsid w:val="009D54CA"/>
    <w:rsid w:val="009E6F44"/>
    <w:rsid w:val="009F4C0F"/>
    <w:rsid w:val="00A03181"/>
    <w:rsid w:val="00A05151"/>
    <w:rsid w:val="00A05C26"/>
    <w:rsid w:val="00A10060"/>
    <w:rsid w:val="00A151DC"/>
    <w:rsid w:val="00A154FD"/>
    <w:rsid w:val="00A15B55"/>
    <w:rsid w:val="00A21564"/>
    <w:rsid w:val="00A27387"/>
    <w:rsid w:val="00A30FF8"/>
    <w:rsid w:val="00A37B89"/>
    <w:rsid w:val="00A4167C"/>
    <w:rsid w:val="00A41718"/>
    <w:rsid w:val="00A65B32"/>
    <w:rsid w:val="00A7029D"/>
    <w:rsid w:val="00A764E8"/>
    <w:rsid w:val="00A8202E"/>
    <w:rsid w:val="00A822F9"/>
    <w:rsid w:val="00AB26D5"/>
    <w:rsid w:val="00AB7AAD"/>
    <w:rsid w:val="00AC0E85"/>
    <w:rsid w:val="00AD42D6"/>
    <w:rsid w:val="00AE13C5"/>
    <w:rsid w:val="00AE163A"/>
    <w:rsid w:val="00AE2A9A"/>
    <w:rsid w:val="00AE3977"/>
    <w:rsid w:val="00AE513F"/>
    <w:rsid w:val="00B00901"/>
    <w:rsid w:val="00B015C5"/>
    <w:rsid w:val="00B01C5C"/>
    <w:rsid w:val="00B06FCA"/>
    <w:rsid w:val="00B1305C"/>
    <w:rsid w:val="00B24521"/>
    <w:rsid w:val="00B2580B"/>
    <w:rsid w:val="00B25C17"/>
    <w:rsid w:val="00B30BE4"/>
    <w:rsid w:val="00B312D1"/>
    <w:rsid w:val="00B36BED"/>
    <w:rsid w:val="00B4715D"/>
    <w:rsid w:val="00B517F2"/>
    <w:rsid w:val="00B5312D"/>
    <w:rsid w:val="00B55C6D"/>
    <w:rsid w:val="00B55DBF"/>
    <w:rsid w:val="00B56C7E"/>
    <w:rsid w:val="00B64B1F"/>
    <w:rsid w:val="00B65E8F"/>
    <w:rsid w:val="00B71FD4"/>
    <w:rsid w:val="00B72749"/>
    <w:rsid w:val="00B73C90"/>
    <w:rsid w:val="00B75CDC"/>
    <w:rsid w:val="00B77A5A"/>
    <w:rsid w:val="00B86A57"/>
    <w:rsid w:val="00B8778B"/>
    <w:rsid w:val="00B94189"/>
    <w:rsid w:val="00B95A59"/>
    <w:rsid w:val="00BA152F"/>
    <w:rsid w:val="00BA274A"/>
    <w:rsid w:val="00BA31B3"/>
    <w:rsid w:val="00BA44CD"/>
    <w:rsid w:val="00BB0D0F"/>
    <w:rsid w:val="00BB2959"/>
    <w:rsid w:val="00BC54BA"/>
    <w:rsid w:val="00BD59AC"/>
    <w:rsid w:val="00BE3B2C"/>
    <w:rsid w:val="00BE3C37"/>
    <w:rsid w:val="00BE5690"/>
    <w:rsid w:val="00C01926"/>
    <w:rsid w:val="00C03436"/>
    <w:rsid w:val="00C10275"/>
    <w:rsid w:val="00C11520"/>
    <w:rsid w:val="00C11584"/>
    <w:rsid w:val="00C11A19"/>
    <w:rsid w:val="00C13546"/>
    <w:rsid w:val="00C13A39"/>
    <w:rsid w:val="00C221BF"/>
    <w:rsid w:val="00C2527C"/>
    <w:rsid w:val="00C25901"/>
    <w:rsid w:val="00C25D05"/>
    <w:rsid w:val="00C27DD3"/>
    <w:rsid w:val="00C31560"/>
    <w:rsid w:val="00C379FF"/>
    <w:rsid w:val="00C506C4"/>
    <w:rsid w:val="00C60401"/>
    <w:rsid w:val="00C60A0F"/>
    <w:rsid w:val="00C6628C"/>
    <w:rsid w:val="00C66B49"/>
    <w:rsid w:val="00C706C8"/>
    <w:rsid w:val="00C7240F"/>
    <w:rsid w:val="00C83C9B"/>
    <w:rsid w:val="00C85AF2"/>
    <w:rsid w:val="00C90AC2"/>
    <w:rsid w:val="00C93CC9"/>
    <w:rsid w:val="00CA491B"/>
    <w:rsid w:val="00CC0730"/>
    <w:rsid w:val="00CC22E5"/>
    <w:rsid w:val="00CC3843"/>
    <w:rsid w:val="00CC687E"/>
    <w:rsid w:val="00CE0FE0"/>
    <w:rsid w:val="00CE2BF5"/>
    <w:rsid w:val="00CE5CD2"/>
    <w:rsid w:val="00CF138D"/>
    <w:rsid w:val="00CF5758"/>
    <w:rsid w:val="00CF660C"/>
    <w:rsid w:val="00D07FDE"/>
    <w:rsid w:val="00D233EB"/>
    <w:rsid w:val="00D37DEE"/>
    <w:rsid w:val="00D402D1"/>
    <w:rsid w:val="00D41C91"/>
    <w:rsid w:val="00D43E13"/>
    <w:rsid w:val="00D45203"/>
    <w:rsid w:val="00D4695A"/>
    <w:rsid w:val="00D531B9"/>
    <w:rsid w:val="00D549FF"/>
    <w:rsid w:val="00D54DE3"/>
    <w:rsid w:val="00D679A9"/>
    <w:rsid w:val="00D7681E"/>
    <w:rsid w:val="00D827EF"/>
    <w:rsid w:val="00DC082D"/>
    <w:rsid w:val="00DC4180"/>
    <w:rsid w:val="00DC4DE9"/>
    <w:rsid w:val="00DC74D5"/>
    <w:rsid w:val="00DD12C6"/>
    <w:rsid w:val="00DD58A4"/>
    <w:rsid w:val="00DE043B"/>
    <w:rsid w:val="00DE2B42"/>
    <w:rsid w:val="00DE4847"/>
    <w:rsid w:val="00DF063F"/>
    <w:rsid w:val="00DF584D"/>
    <w:rsid w:val="00DF7E5F"/>
    <w:rsid w:val="00E016F7"/>
    <w:rsid w:val="00E0488A"/>
    <w:rsid w:val="00E05768"/>
    <w:rsid w:val="00E07106"/>
    <w:rsid w:val="00E16967"/>
    <w:rsid w:val="00E218BC"/>
    <w:rsid w:val="00E2248E"/>
    <w:rsid w:val="00E364A4"/>
    <w:rsid w:val="00E36991"/>
    <w:rsid w:val="00E40EE2"/>
    <w:rsid w:val="00E44D33"/>
    <w:rsid w:val="00E56F1C"/>
    <w:rsid w:val="00E662DF"/>
    <w:rsid w:val="00E701AB"/>
    <w:rsid w:val="00E73819"/>
    <w:rsid w:val="00E74B94"/>
    <w:rsid w:val="00E75DC3"/>
    <w:rsid w:val="00E83D90"/>
    <w:rsid w:val="00E915FD"/>
    <w:rsid w:val="00E92710"/>
    <w:rsid w:val="00EA1E3D"/>
    <w:rsid w:val="00EA459A"/>
    <w:rsid w:val="00EA7F43"/>
    <w:rsid w:val="00EB02BA"/>
    <w:rsid w:val="00EB3D7C"/>
    <w:rsid w:val="00EB621D"/>
    <w:rsid w:val="00EC0313"/>
    <w:rsid w:val="00EC5014"/>
    <w:rsid w:val="00EC5110"/>
    <w:rsid w:val="00ED3A6E"/>
    <w:rsid w:val="00ED7EB7"/>
    <w:rsid w:val="00EF46B8"/>
    <w:rsid w:val="00F012A3"/>
    <w:rsid w:val="00F04647"/>
    <w:rsid w:val="00F049F8"/>
    <w:rsid w:val="00F04AEA"/>
    <w:rsid w:val="00F05ABF"/>
    <w:rsid w:val="00F06005"/>
    <w:rsid w:val="00F07921"/>
    <w:rsid w:val="00F341DB"/>
    <w:rsid w:val="00F43D6D"/>
    <w:rsid w:val="00F471D8"/>
    <w:rsid w:val="00F51B87"/>
    <w:rsid w:val="00F5473A"/>
    <w:rsid w:val="00F70B83"/>
    <w:rsid w:val="00F73305"/>
    <w:rsid w:val="00F748C9"/>
    <w:rsid w:val="00F76872"/>
    <w:rsid w:val="00F93514"/>
    <w:rsid w:val="00F94503"/>
    <w:rsid w:val="00F94A30"/>
    <w:rsid w:val="00FB2D14"/>
    <w:rsid w:val="00FB3B73"/>
    <w:rsid w:val="00FB3F6D"/>
    <w:rsid w:val="00FB5D07"/>
    <w:rsid w:val="00FC22C4"/>
    <w:rsid w:val="00FC7963"/>
    <w:rsid w:val="00FC7C3F"/>
    <w:rsid w:val="00FC7D9C"/>
    <w:rsid w:val="00FD7A1D"/>
    <w:rsid w:val="00FE2DE6"/>
    <w:rsid w:val="00FE498E"/>
    <w:rsid w:val="00FF085C"/>
    <w:rsid w:val="00FF286D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1581"/>
  <w15:chartTrackingRefBased/>
  <w15:docId w15:val="{1C96AE41-E053-494C-8BEC-D6D8D5D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1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2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531B9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2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B02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EB02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18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8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F2"/>
    <w:rPr>
      <w:rFonts w:ascii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Zchn"/>
    <w:rsid w:val="000377FF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0377F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0377FF"/>
    <w:pPr>
      <w:jc w:val="both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0377FF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7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DC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DC2"/>
    <w:rPr>
      <w:rFonts w:ascii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531B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315296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29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1529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5296"/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Revision">
    <w:name w:val="Revision"/>
    <w:hidden/>
    <w:uiPriority w:val="99"/>
    <w:semiHidden/>
    <w:rsid w:val="0028509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7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E09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68D2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6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CD16990AABF04BA90AB58BB12B4F0E" ma:contentTypeVersion="12" ma:contentTypeDescription="Ein neues Dokument erstellen." ma:contentTypeScope="" ma:versionID="7a62ce7f01e6a0bdffcd949ec736d3b9">
  <xsd:schema xmlns:xsd="http://www.w3.org/2001/XMLSchema" xmlns:xs="http://www.w3.org/2001/XMLSchema" xmlns:p="http://schemas.microsoft.com/office/2006/metadata/properties" xmlns:ns2="9e36a49e-b53d-45a5-9833-e738d7977391" xmlns:ns3="8ff85658-4bb1-41d8-aeee-79aa08689af0" targetNamespace="http://schemas.microsoft.com/office/2006/metadata/properties" ma:root="true" ma:fieldsID="637d13346055a21e0f88f723d171b46f" ns2:_="" ns3:_="">
    <xsd:import namespace="9e36a49e-b53d-45a5-9833-e738d7977391"/>
    <xsd:import namespace="8ff85658-4bb1-41d8-aeee-79aa08689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6a49e-b53d-45a5-9833-e738d7977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5658-4bb1-41d8-aeee-79aa08689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9228-572F-40B4-815E-46AA9BCE1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5B4BE-4430-48EF-ACE8-22C97DC85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6a49e-b53d-45a5-9833-e738d7977391"/>
    <ds:schemaRef ds:uri="8ff85658-4bb1-41d8-aeee-79aa08689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706B4-7245-402E-973C-8EA8884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331152-610E-E94A-AF5B-FC403948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7339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Wuerzburg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Kittel-Schneider</dc:creator>
  <cp:keywords/>
  <dc:description/>
  <cp:lastModifiedBy>Microsoft Office User</cp:lastModifiedBy>
  <cp:revision>3</cp:revision>
  <dcterms:created xsi:type="dcterms:W3CDTF">2021-01-06T14:15:00Z</dcterms:created>
  <dcterms:modified xsi:type="dcterms:W3CDTF">2021-02-07T05:48:00Z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ContentTypeId">
    <vt:lpwstr>0x0101000FCD16990AABF04BA90AB58BB12B4F0E</vt:lpwstr>
  </property>
</Properties>
</file>