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811" w:rsidRPr="004E1F74" w:rsidRDefault="002C1811" w:rsidP="002C1811">
      <w:pPr>
        <w:rPr>
          <w:rFonts w:ascii="Times New Roman" w:hAnsi="Times New Roman" w:cs="Times New Roman"/>
        </w:rPr>
      </w:pPr>
      <w:r w:rsidRPr="004E1F74">
        <w:rPr>
          <w:rFonts w:ascii="Times New Roman" w:hAnsi="Times New Roman" w:cs="Times New Roman"/>
          <w:noProof/>
        </w:rPr>
        <w:drawing>
          <wp:inline distT="0" distB="0" distL="0" distR="0" wp14:anchorId="7BAADCDE" wp14:editId="64E83113">
            <wp:extent cx="4937290" cy="64976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c_prep.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1226" cy="6502780"/>
                    </a:xfrm>
                    <a:prstGeom prst="rect">
                      <a:avLst/>
                    </a:prstGeom>
                  </pic:spPr>
                </pic:pic>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Figure S1:</w:t>
      </w:r>
      <w:r w:rsidRPr="004E1F74">
        <w:rPr>
          <w:rFonts w:ascii="Times New Roman" w:hAnsi="Times New Roman" w:cs="Times New Roman"/>
          <w:sz w:val="20"/>
          <w:szCs w:val="20"/>
        </w:rPr>
        <w:t xml:space="preserve"> GBIF occurrences of the genus </w:t>
      </w:r>
      <w:r w:rsidRPr="004E1F74">
        <w:rPr>
          <w:rFonts w:ascii="Times New Roman" w:hAnsi="Times New Roman" w:cs="Times New Roman"/>
          <w:i/>
          <w:sz w:val="20"/>
          <w:szCs w:val="20"/>
        </w:rPr>
        <w:t>Simulium</w:t>
      </w:r>
      <w:r w:rsidRPr="004E1F74">
        <w:rPr>
          <w:rFonts w:ascii="Times New Roman" w:hAnsi="Times New Roman" w:cs="Times New Roman"/>
          <w:sz w:val="20"/>
          <w:szCs w:val="20"/>
        </w:rPr>
        <w:t xml:space="preserve"> (Latreille, 1802) from Germany. Data presented according to the uncertainty of the given coordinates in meters (0m – N = 2243; 10m – N = 208; 250m – N = 3; 2500m – N = 636). We decided to consider occurrences with low coordinate uncertainty only. This is the case in the federal states of North Rhine-Westphalia, Rhineland-Palatinate, Hesse and Saxony (see Figure S2). Therefore, we have decided to restrict the study area (area for model training) to these four federal states. Map created in ESRI ArcGIS, version 10.8.1, projection: ETRS 1989 UTM. </w:t>
      </w:r>
    </w:p>
    <w:p w:rsidR="002C1811" w:rsidRPr="004E1F74" w:rsidRDefault="002C1811" w:rsidP="002C1811">
      <w:pPr>
        <w:rPr>
          <w:rFonts w:ascii="Times New Roman" w:hAnsi="Times New Roman" w:cs="Times New Roman"/>
        </w:rPr>
      </w:pPr>
      <w:r w:rsidRPr="004E1F74">
        <w:rPr>
          <w:rFonts w:ascii="Times New Roman" w:hAnsi="Times New Roman" w:cs="Times New Roman"/>
          <w:noProof/>
        </w:rPr>
        <w:lastRenderedPageBreak/>
        <w:drawing>
          <wp:inline distT="0" distB="0" distL="0" distR="0" wp14:anchorId="3AAF8CA1" wp14:editId="7BB2D773">
            <wp:extent cx="5467925" cy="719593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0_Study are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0163" cy="7198876"/>
                    </a:xfrm>
                    <a:prstGeom prst="rect">
                      <a:avLst/>
                    </a:prstGeom>
                  </pic:spPr>
                </pic:pic>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lastRenderedPageBreak/>
        <w:t>Figure S2:</w:t>
      </w:r>
      <w:r w:rsidRPr="004E1F74">
        <w:rPr>
          <w:rFonts w:ascii="Times New Roman" w:hAnsi="Times New Roman" w:cs="Times New Roman"/>
          <w:sz w:val="20"/>
          <w:szCs w:val="20"/>
        </w:rPr>
        <w:t xml:space="preserve"> Study area. The four federal states (North Rhine-Westphalia, Rhineland-Palatinate, Hesse and Saxony) with highly precise GBIF occurrence data (see Figure S1) are highlighted. Map created in ESRI ArcGIS, version 10.8.1, projection: ETRS 1989 UTM.</w:t>
      </w:r>
    </w:p>
    <w:p w:rsidR="002C1811" w:rsidRPr="004E1F74" w:rsidRDefault="002C1811" w:rsidP="002C1811">
      <w:pPr>
        <w:rPr>
          <w:rFonts w:ascii="Times New Roman" w:hAnsi="Times New Roman" w:cs="Times New Roman"/>
        </w:rPr>
      </w:pPr>
    </w:p>
    <w:p w:rsidR="002C1811" w:rsidRPr="004E1F74" w:rsidRDefault="002C1811" w:rsidP="002C1811">
      <w:pPr>
        <w:rPr>
          <w:rFonts w:ascii="Times New Roman" w:hAnsi="Times New Roman" w:cs="Times New Roman"/>
        </w:rPr>
      </w:pPr>
      <w:r w:rsidRPr="004E1F74">
        <w:rPr>
          <w:rFonts w:ascii="Times New Roman" w:hAnsi="Times New Roman" w:cs="Times New Roman"/>
          <w:noProof/>
        </w:rPr>
        <w:drawing>
          <wp:inline distT="0" distB="0" distL="0" distR="0" wp14:anchorId="17004440" wp14:editId="00470D44">
            <wp:extent cx="4784141" cy="2034112"/>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png"/>
                    <pic:cNvPicPr/>
                  </pic:nvPicPr>
                  <pic:blipFill>
                    <a:blip r:embed="rId9">
                      <a:extLst>
                        <a:ext uri="{28A0092B-C50C-407E-A947-70E740481C1C}">
                          <a14:useLocalDpi xmlns:a14="http://schemas.microsoft.com/office/drawing/2010/main" val="0"/>
                        </a:ext>
                      </a:extLst>
                    </a:blip>
                    <a:stretch>
                      <a:fillRect/>
                    </a:stretch>
                  </pic:blipFill>
                  <pic:spPr>
                    <a:xfrm>
                      <a:off x="0" y="0"/>
                      <a:ext cx="4796351" cy="2039304"/>
                    </a:xfrm>
                    <a:prstGeom prst="rect">
                      <a:avLst/>
                    </a:prstGeom>
                  </pic:spPr>
                </pic:pic>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Figure S3:</w:t>
      </w:r>
      <w:r w:rsidRPr="004E1F74">
        <w:rPr>
          <w:rFonts w:ascii="Times New Roman" w:hAnsi="Times New Roman" w:cs="Times New Roman"/>
          <w:sz w:val="20"/>
          <w:szCs w:val="20"/>
        </w:rPr>
        <w:t xml:space="preserve"> Intercorrelation of environmental variables used as predictors. a) Correlation matrix with Pearson correlation coefficients (r) and b) Dendrogramm of the dissimilarity (1-|r|) between environmental variables used as predictors: bio05 - maximum temperature of warmest month; bio06 - minimum temperature of coldest month (bio06); elev1 - minimum elevation across sub-catchment, i.e. altitude of the record points; slope4 - average slope across sub-catchment and LC7 - percentage of cultivated vegetation (weighted average) across the sub-catchment.</w:t>
      </w:r>
    </w:p>
    <w:p w:rsidR="002C1811" w:rsidRPr="004E1F74" w:rsidRDefault="002C1811" w:rsidP="002C1811">
      <w:pPr>
        <w:rPr>
          <w:rFonts w:ascii="Times New Roman" w:hAnsi="Times New Roman" w:cs="Times New Roman"/>
        </w:rPr>
      </w:pPr>
    </w:p>
    <w:p w:rsidR="002C1811" w:rsidRPr="004E1F74" w:rsidRDefault="002C1811" w:rsidP="002C1811">
      <w:pPr>
        <w:rPr>
          <w:rFonts w:ascii="Times New Roman" w:hAnsi="Times New Roman" w:cs="Times New Roman"/>
        </w:rPr>
      </w:pPr>
      <w:r w:rsidRPr="004E1F74">
        <w:rPr>
          <w:rFonts w:ascii="Times New Roman" w:hAnsi="Times New Roman" w:cs="Times New Roman"/>
          <w:noProof/>
        </w:rPr>
        <w:lastRenderedPageBreak/>
        <w:drawing>
          <wp:inline distT="0" distB="0" distL="0" distR="0" wp14:anchorId="40D49E27" wp14:editId="37C41DB4">
            <wp:extent cx="5942635" cy="3789706"/>
            <wp:effectExtent l="0" t="0" r="127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4.png"/>
                    <pic:cNvPicPr/>
                  </pic:nvPicPr>
                  <pic:blipFill>
                    <a:blip r:embed="rId10">
                      <a:extLst>
                        <a:ext uri="{28A0092B-C50C-407E-A947-70E740481C1C}">
                          <a14:useLocalDpi xmlns:a14="http://schemas.microsoft.com/office/drawing/2010/main" val="0"/>
                        </a:ext>
                      </a:extLst>
                    </a:blip>
                    <a:stretch>
                      <a:fillRect/>
                    </a:stretch>
                  </pic:blipFill>
                  <pic:spPr>
                    <a:xfrm>
                      <a:off x="0" y="0"/>
                      <a:ext cx="5979704" cy="3813345"/>
                    </a:xfrm>
                    <a:prstGeom prst="rect">
                      <a:avLst/>
                    </a:prstGeom>
                  </pic:spPr>
                </pic:pic>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Figure S4:</w:t>
      </w:r>
      <w:r w:rsidRPr="004E1F74">
        <w:rPr>
          <w:rFonts w:ascii="Times New Roman" w:hAnsi="Times New Roman" w:cs="Times New Roman"/>
          <w:sz w:val="20"/>
          <w:szCs w:val="20"/>
        </w:rPr>
        <w:t xml:space="preserve"> Spatial patterns of the environmental variables used as predictors: bio05 - maximum temperature of warmest month; bio06 - minimum temperature of coldest month (bio06); elev1 - minimum elevation across sub-catchment, i.e. altitude of the record points; slope4 - average slope across sub-catchment and LC7 - percentage of cultivated vegetation (weighted average) across the sub-catchment.</w:t>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Table S1:</w:t>
      </w:r>
      <w:r w:rsidRPr="004E1F74">
        <w:rPr>
          <w:rFonts w:ascii="Times New Roman" w:hAnsi="Times New Roman" w:cs="Times New Roman"/>
          <w:sz w:val="20"/>
          <w:szCs w:val="20"/>
        </w:rPr>
        <w:t xml:space="preserve"> Numbers of occurence records used for model training, mean Area under the ROC curves (AUC) ± standard deviation over 20 replicate runs for each of the 12 black fly species. </w:t>
      </w:r>
    </w:p>
    <w:tbl>
      <w:tblPr>
        <w:tblW w:w="5820" w:type="dxa"/>
        <w:tblLook w:val="04A0" w:firstRow="1" w:lastRow="0" w:firstColumn="1" w:lastColumn="0" w:noHBand="0" w:noVBand="1"/>
      </w:tblPr>
      <w:tblGrid>
        <w:gridCol w:w="2000"/>
        <w:gridCol w:w="546"/>
        <w:gridCol w:w="3400"/>
      </w:tblGrid>
      <w:tr w:rsidR="002C1811" w:rsidRPr="004E1F74" w:rsidTr="007004D6">
        <w:trPr>
          <w:trHeight w:val="315"/>
        </w:trPr>
        <w:tc>
          <w:tcPr>
            <w:tcW w:w="200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rsidR="002C1811" w:rsidRPr="004E1F74" w:rsidRDefault="002C1811" w:rsidP="007004D6">
            <w:pPr>
              <w:spacing w:after="0" w:line="240" w:lineRule="auto"/>
              <w:rPr>
                <w:rFonts w:ascii="Times New Roman" w:eastAsia="Times New Roman" w:hAnsi="Times New Roman" w:cs="Times New Roman"/>
                <w:b/>
                <w:bCs/>
              </w:rPr>
            </w:pPr>
            <w:r w:rsidRPr="004E1F74">
              <w:rPr>
                <w:rFonts w:ascii="Times New Roman" w:eastAsia="Times New Roman" w:hAnsi="Times New Roman" w:cs="Times New Roman"/>
                <w:b/>
                <w:bCs/>
              </w:rPr>
              <w:t>Species</w:t>
            </w:r>
          </w:p>
        </w:tc>
        <w:tc>
          <w:tcPr>
            <w:tcW w:w="420" w:type="dxa"/>
            <w:tcBorders>
              <w:top w:val="single" w:sz="8" w:space="0" w:color="auto"/>
              <w:left w:val="nil"/>
              <w:bottom w:val="single" w:sz="8" w:space="0" w:color="auto"/>
              <w:right w:val="single" w:sz="4" w:space="0" w:color="auto"/>
            </w:tcBorders>
            <w:shd w:val="clear" w:color="000000" w:fill="F2F2F2"/>
            <w:noWrap/>
            <w:vAlign w:val="center"/>
            <w:hideMark/>
          </w:tcPr>
          <w:p w:rsidR="002C1811" w:rsidRPr="004E1F74" w:rsidRDefault="002C1811" w:rsidP="007004D6">
            <w:pPr>
              <w:spacing w:after="0" w:line="240" w:lineRule="auto"/>
              <w:jc w:val="center"/>
              <w:rPr>
                <w:rFonts w:ascii="Times New Roman" w:eastAsia="Times New Roman" w:hAnsi="Times New Roman" w:cs="Times New Roman"/>
                <w:b/>
                <w:bCs/>
              </w:rPr>
            </w:pPr>
            <w:r w:rsidRPr="004E1F74">
              <w:rPr>
                <w:rFonts w:ascii="Times New Roman" w:eastAsia="Times New Roman" w:hAnsi="Times New Roman" w:cs="Times New Roman"/>
                <w:b/>
                <w:bCs/>
              </w:rPr>
              <w:t>N</w:t>
            </w:r>
          </w:p>
        </w:tc>
        <w:tc>
          <w:tcPr>
            <w:tcW w:w="3400" w:type="dxa"/>
            <w:tcBorders>
              <w:top w:val="single" w:sz="8" w:space="0" w:color="auto"/>
              <w:left w:val="nil"/>
              <w:bottom w:val="single" w:sz="8" w:space="0" w:color="auto"/>
              <w:right w:val="single" w:sz="8" w:space="0" w:color="auto"/>
            </w:tcBorders>
            <w:shd w:val="clear" w:color="000000" w:fill="F2F2F2"/>
            <w:noWrap/>
            <w:vAlign w:val="center"/>
            <w:hideMark/>
          </w:tcPr>
          <w:p w:rsidR="002C1811" w:rsidRPr="004E1F74" w:rsidRDefault="002C1811" w:rsidP="007004D6">
            <w:pPr>
              <w:spacing w:after="0" w:line="240" w:lineRule="auto"/>
              <w:jc w:val="center"/>
              <w:rPr>
                <w:rFonts w:ascii="Times New Roman" w:eastAsia="Times New Roman" w:hAnsi="Times New Roman" w:cs="Times New Roman"/>
                <w:b/>
                <w:bCs/>
              </w:rPr>
            </w:pPr>
            <w:r w:rsidRPr="004E1F74">
              <w:rPr>
                <w:rFonts w:ascii="Times New Roman" w:eastAsia="Times New Roman" w:hAnsi="Times New Roman" w:cs="Times New Roman"/>
                <w:b/>
                <w:bCs/>
              </w:rPr>
              <w:t>AUC (mean over 20 replicates ± SD)</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argryreatum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148</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0.8285 ± 0.0594</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aureum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43</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0.7902 ± 0.0582</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cryophilum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101</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0.7999 ± 0.0692</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equinum</w:t>
            </w:r>
            <w:r w:rsidRPr="004E1F74">
              <w:rPr>
                <w:rFonts w:ascii="Times New Roman" w:eastAsia="Times New Roman" w:hAnsi="Times New Roman" w:cs="Times New Roman"/>
              </w:rPr>
              <w:t xml:space="preserve"> </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128</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0.7522 ± 0.0812</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 xml:space="preserve">S. erytrocephalum </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60</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0.8267 ± 0.0754</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lineatum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40</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0.7926 ± 0.079</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monticola</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41</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0.9107 ± 0.0533</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ornatum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467</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0.6315 ± 0.0553</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reptans</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117</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0.7998 ± 0.078</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trifasciatum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41</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0.6224 ± 0.1155</w:t>
            </w:r>
          </w:p>
        </w:tc>
      </w:tr>
      <w:tr w:rsidR="002C1811" w:rsidRPr="004E1F74" w:rsidTr="007004D6">
        <w:trPr>
          <w:trHeight w:val="300"/>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t>S. varieatum</w:t>
            </w:r>
          </w:p>
        </w:tc>
        <w:tc>
          <w:tcPr>
            <w:tcW w:w="420" w:type="dxa"/>
            <w:tcBorders>
              <w:top w:val="nil"/>
              <w:left w:val="nil"/>
              <w:bottom w:val="single" w:sz="4"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89</w:t>
            </w:r>
          </w:p>
        </w:tc>
        <w:tc>
          <w:tcPr>
            <w:tcW w:w="3400" w:type="dxa"/>
            <w:tcBorders>
              <w:top w:val="nil"/>
              <w:left w:val="nil"/>
              <w:bottom w:val="single" w:sz="4"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0.8879 ± 0.0423</w:t>
            </w:r>
          </w:p>
        </w:tc>
      </w:tr>
      <w:tr w:rsidR="002C1811" w:rsidRPr="004E1F74" w:rsidTr="007004D6">
        <w:trPr>
          <w:trHeight w:val="315"/>
        </w:trPr>
        <w:tc>
          <w:tcPr>
            <w:tcW w:w="2000" w:type="dxa"/>
            <w:tcBorders>
              <w:top w:val="nil"/>
              <w:left w:val="single" w:sz="8" w:space="0" w:color="auto"/>
              <w:bottom w:val="single" w:sz="8" w:space="0" w:color="auto"/>
              <w:right w:val="single" w:sz="4" w:space="0" w:color="auto"/>
            </w:tcBorders>
            <w:shd w:val="clear" w:color="auto" w:fill="auto"/>
            <w:noWrap/>
            <w:vAlign w:val="center"/>
            <w:hideMark/>
          </w:tcPr>
          <w:p w:rsidR="002C1811" w:rsidRPr="004E1F74" w:rsidRDefault="002C1811" w:rsidP="007004D6">
            <w:pPr>
              <w:spacing w:after="0" w:line="240" w:lineRule="auto"/>
              <w:rPr>
                <w:rFonts w:ascii="Times New Roman" w:eastAsia="Times New Roman" w:hAnsi="Times New Roman" w:cs="Times New Roman"/>
                <w:i/>
                <w:iCs/>
              </w:rPr>
            </w:pPr>
            <w:r w:rsidRPr="004E1F74">
              <w:rPr>
                <w:rFonts w:ascii="Times New Roman" w:eastAsia="Times New Roman" w:hAnsi="Times New Roman" w:cs="Times New Roman"/>
                <w:i/>
                <w:iCs/>
              </w:rPr>
              <w:lastRenderedPageBreak/>
              <w:t>S. vernum</w:t>
            </w:r>
          </w:p>
        </w:tc>
        <w:tc>
          <w:tcPr>
            <w:tcW w:w="420" w:type="dxa"/>
            <w:tcBorders>
              <w:top w:val="nil"/>
              <w:left w:val="nil"/>
              <w:bottom w:val="single" w:sz="8" w:space="0" w:color="auto"/>
              <w:right w:val="single" w:sz="4"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175</w:t>
            </w:r>
          </w:p>
        </w:tc>
        <w:tc>
          <w:tcPr>
            <w:tcW w:w="3400" w:type="dxa"/>
            <w:tcBorders>
              <w:top w:val="nil"/>
              <w:left w:val="nil"/>
              <w:bottom w:val="single" w:sz="8" w:space="0" w:color="auto"/>
              <w:right w:val="single" w:sz="8" w:space="0" w:color="auto"/>
            </w:tcBorders>
            <w:shd w:val="clear" w:color="auto" w:fill="auto"/>
            <w:noWrap/>
            <w:vAlign w:val="center"/>
            <w:hideMark/>
          </w:tcPr>
          <w:p w:rsidR="002C1811" w:rsidRPr="004E1F74" w:rsidRDefault="002C1811" w:rsidP="007004D6">
            <w:pPr>
              <w:spacing w:after="0" w:line="240" w:lineRule="auto"/>
              <w:jc w:val="center"/>
              <w:rPr>
                <w:rFonts w:ascii="Times New Roman" w:eastAsia="Times New Roman" w:hAnsi="Times New Roman" w:cs="Times New Roman"/>
              </w:rPr>
            </w:pPr>
            <w:r w:rsidRPr="004E1F74">
              <w:rPr>
                <w:rFonts w:ascii="Times New Roman" w:eastAsia="Times New Roman" w:hAnsi="Times New Roman" w:cs="Times New Roman"/>
              </w:rPr>
              <w:t>0.7155 ± 0.0718</w:t>
            </w:r>
          </w:p>
        </w:tc>
      </w:tr>
    </w:tbl>
    <w:p w:rsidR="002C1811" w:rsidRPr="004E1F74" w:rsidRDefault="002C1811" w:rsidP="002C1811">
      <w:pPr>
        <w:spacing w:line="240" w:lineRule="auto"/>
        <w:rPr>
          <w:rFonts w:ascii="Times New Roman" w:hAnsi="Times New Roman" w:cs="Times New Roman"/>
        </w:rPr>
      </w:pPr>
    </w:p>
    <w:p w:rsidR="002C1811" w:rsidRPr="004E1F74" w:rsidRDefault="002C1811" w:rsidP="002C1811">
      <w:pPr>
        <w:spacing w:line="240" w:lineRule="auto"/>
        <w:rPr>
          <w:rFonts w:ascii="Times New Roman" w:hAnsi="Times New Roman" w:cs="Times New Roman"/>
        </w:rPr>
      </w:pPr>
    </w:p>
    <w:p w:rsidR="002C1811" w:rsidRPr="004E1F74" w:rsidRDefault="002C1811" w:rsidP="002C1811">
      <w:pPr>
        <w:spacing w:line="240" w:lineRule="auto"/>
        <w:rPr>
          <w:rFonts w:ascii="Times New Roman" w:hAnsi="Times New Roman" w:cs="Times New Roman"/>
        </w:rPr>
      </w:pPr>
    </w:p>
    <w:p w:rsidR="002C1811" w:rsidRPr="004E1F74" w:rsidRDefault="002C1811" w:rsidP="002C1811">
      <w:pPr>
        <w:spacing w:line="240" w:lineRule="auto"/>
        <w:rPr>
          <w:rFonts w:ascii="Times New Roman" w:hAnsi="Times New Roman" w:cs="Times New Roman"/>
        </w:rPr>
      </w:pP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Table S2</w:t>
      </w:r>
      <w:r w:rsidRPr="004E1F74">
        <w:rPr>
          <w:rFonts w:ascii="Times New Roman" w:hAnsi="Times New Roman" w:cs="Times New Roman"/>
          <w:sz w:val="20"/>
          <w:szCs w:val="20"/>
        </w:rPr>
        <w:t xml:space="preserve">: Cosine similarity of modelled fresh water habitat suitability with wards method as cluster algorithm. S. equ – </w:t>
      </w:r>
      <w:r w:rsidRPr="004E1F74">
        <w:rPr>
          <w:rFonts w:ascii="Times New Roman" w:hAnsi="Times New Roman" w:cs="Times New Roman"/>
          <w:i/>
          <w:sz w:val="20"/>
          <w:szCs w:val="20"/>
        </w:rPr>
        <w:t>Simulium equinum</w:t>
      </w:r>
      <w:r w:rsidRPr="004E1F74">
        <w:rPr>
          <w:rFonts w:ascii="Times New Roman" w:hAnsi="Times New Roman" w:cs="Times New Roman"/>
          <w:sz w:val="20"/>
          <w:szCs w:val="20"/>
        </w:rPr>
        <w:t xml:space="preserve">, S. lin – </w:t>
      </w:r>
      <w:r w:rsidRPr="004E1F74">
        <w:rPr>
          <w:rFonts w:ascii="Times New Roman" w:hAnsi="Times New Roman" w:cs="Times New Roman"/>
          <w:i/>
          <w:sz w:val="20"/>
          <w:szCs w:val="20"/>
        </w:rPr>
        <w:t>S. lineatum</w:t>
      </w:r>
      <w:r w:rsidRPr="004E1F74">
        <w:rPr>
          <w:rFonts w:ascii="Times New Roman" w:hAnsi="Times New Roman" w:cs="Times New Roman"/>
          <w:sz w:val="20"/>
          <w:szCs w:val="20"/>
        </w:rPr>
        <w:t xml:space="preserve">, S. aur – </w:t>
      </w:r>
      <w:r w:rsidRPr="004E1F74">
        <w:rPr>
          <w:rFonts w:ascii="Times New Roman" w:hAnsi="Times New Roman" w:cs="Times New Roman"/>
          <w:i/>
          <w:sz w:val="20"/>
          <w:szCs w:val="20"/>
        </w:rPr>
        <w:t>S. aureum</w:t>
      </w:r>
      <w:r w:rsidRPr="004E1F74">
        <w:rPr>
          <w:rFonts w:ascii="Times New Roman" w:hAnsi="Times New Roman" w:cs="Times New Roman"/>
          <w:sz w:val="20"/>
          <w:szCs w:val="20"/>
        </w:rPr>
        <w:t xml:space="preserve">, S. ery – </w:t>
      </w:r>
      <w:r w:rsidRPr="004E1F74">
        <w:rPr>
          <w:rFonts w:ascii="Times New Roman" w:hAnsi="Times New Roman" w:cs="Times New Roman"/>
          <w:i/>
          <w:sz w:val="20"/>
          <w:szCs w:val="20"/>
        </w:rPr>
        <w:t>S.</w:t>
      </w:r>
      <w:r w:rsidRPr="004E1F74">
        <w:rPr>
          <w:rFonts w:ascii="Times New Roman" w:hAnsi="Times New Roman" w:cs="Times New Roman"/>
          <w:sz w:val="20"/>
          <w:szCs w:val="20"/>
        </w:rPr>
        <w:t xml:space="preserve"> </w:t>
      </w:r>
      <w:r w:rsidRPr="004E1F74">
        <w:rPr>
          <w:rFonts w:ascii="Times New Roman" w:hAnsi="Times New Roman" w:cs="Times New Roman"/>
          <w:i/>
          <w:sz w:val="20"/>
          <w:szCs w:val="20"/>
        </w:rPr>
        <w:t>erythrocephalum</w:t>
      </w:r>
      <w:r w:rsidRPr="004E1F74">
        <w:rPr>
          <w:rFonts w:ascii="Times New Roman" w:hAnsi="Times New Roman" w:cs="Times New Roman"/>
          <w:sz w:val="20"/>
          <w:szCs w:val="20"/>
        </w:rPr>
        <w:t xml:space="preserve"> (Group  C); S. cry – </w:t>
      </w:r>
      <w:r w:rsidRPr="004E1F74">
        <w:rPr>
          <w:rFonts w:ascii="Times New Roman" w:hAnsi="Times New Roman" w:cs="Times New Roman"/>
          <w:i/>
          <w:sz w:val="20"/>
          <w:szCs w:val="20"/>
        </w:rPr>
        <w:t>Simulium cryophilum</w:t>
      </w:r>
      <w:r w:rsidRPr="004E1F74">
        <w:rPr>
          <w:rFonts w:ascii="Times New Roman" w:hAnsi="Times New Roman" w:cs="Times New Roman"/>
          <w:sz w:val="20"/>
          <w:szCs w:val="20"/>
        </w:rPr>
        <w:t xml:space="preserve">, S. ver – </w:t>
      </w:r>
      <w:r w:rsidRPr="004E1F74">
        <w:rPr>
          <w:rFonts w:ascii="Times New Roman" w:hAnsi="Times New Roman" w:cs="Times New Roman"/>
          <w:i/>
          <w:sz w:val="20"/>
          <w:szCs w:val="20"/>
        </w:rPr>
        <w:t>S. vernum</w:t>
      </w:r>
      <w:r w:rsidRPr="004E1F74">
        <w:rPr>
          <w:rFonts w:ascii="Times New Roman" w:hAnsi="Times New Roman" w:cs="Times New Roman"/>
          <w:sz w:val="20"/>
          <w:szCs w:val="20"/>
        </w:rPr>
        <w:t xml:space="preserve">, S. orn – </w:t>
      </w:r>
      <w:r w:rsidRPr="004E1F74">
        <w:rPr>
          <w:rFonts w:ascii="Times New Roman" w:hAnsi="Times New Roman" w:cs="Times New Roman"/>
          <w:i/>
          <w:sz w:val="20"/>
          <w:szCs w:val="20"/>
        </w:rPr>
        <w:t>S. ornatum</w:t>
      </w:r>
      <w:r w:rsidRPr="004E1F74">
        <w:rPr>
          <w:rFonts w:ascii="Times New Roman" w:hAnsi="Times New Roman" w:cs="Times New Roman"/>
          <w:sz w:val="20"/>
          <w:szCs w:val="20"/>
        </w:rPr>
        <w:t xml:space="preserve">, S. tri – </w:t>
      </w:r>
      <w:r w:rsidRPr="004E1F74">
        <w:rPr>
          <w:rFonts w:ascii="Times New Roman" w:hAnsi="Times New Roman" w:cs="Times New Roman"/>
          <w:i/>
          <w:sz w:val="20"/>
          <w:szCs w:val="20"/>
        </w:rPr>
        <w:t>S.</w:t>
      </w:r>
      <w:r w:rsidRPr="004E1F74">
        <w:rPr>
          <w:rFonts w:ascii="Times New Roman" w:hAnsi="Times New Roman" w:cs="Times New Roman"/>
          <w:sz w:val="20"/>
          <w:szCs w:val="20"/>
        </w:rPr>
        <w:t xml:space="preserve"> trifasciatum (Group B); S. var – </w:t>
      </w:r>
      <w:r w:rsidRPr="004E1F74">
        <w:rPr>
          <w:rFonts w:ascii="Times New Roman" w:hAnsi="Times New Roman" w:cs="Times New Roman"/>
          <w:i/>
          <w:sz w:val="20"/>
          <w:szCs w:val="20"/>
        </w:rPr>
        <w:t>Simulium variegatum</w:t>
      </w:r>
      <w:r w:rsidRPr="004E1F74">
        <w:rPr>
          <w:rFonts w:ascii="Times New Roman" w:hAnsi="Times New Roman" w:cs="Times New Roman"/>
          <w:sz w:val="20"/>
          <w:szCs w:val="20"/>
        </w:rPr>
        <w:t xml:space="preserve">, S. rep – </w:t>
      </w:r>
      <w:r w:rsidRPr="004E1F74">
        <w:rPr>
          <w:rFonts w:ascii="Times New Roman" w:hAnsi="Times New Roman" w:cs="Times New Roman"/>
          <w:i/>
          <w:sz w:val="20"/>
          <w:szCs w:val="20"/>
        </w:rPr>
        <w:t>S. reptans</w:t>
      </w:r>
      <w:r w:rsidRPr="004E1F74">
        <w:rPr>
          <w:rFonts w:ascii="Times New Roman" w:hAnsi="Times New Roman" w:cs="Times New Roman"/>
          <w:sz w:val="20"/>
          <w:szCs w:val="20"/>
        </w:rPr>
        <w:t xml:space="preserve">, S. arg – </w:t>
      </w:r>
      <w:r w:rsidRPr="004E1F74">
        <w:rPr>
          <w:rFonts w:ascii="Times New Roman" w:hAnsi="Times New Roman" w:cs="Times New Roman"/>
          <w:i/>
          <w:sz w:val="20"/>
          <w:szCs w:val="20"/>
        </w:rPr>
        <w:t>S. argyreatum</w:t>
      </w:r>
      <w:r w:rsidRPr="004E1F74">
        <w:rPr>
          <w:rFonts w:ascii="Times New Roman" w:hAnsi="Times New Roman" w:cs="Times New Roman"/>
          <w:sz w:val="20"/>
          <w:szCs w:val="20"/>
        </w:rPr>
        <w:t xml:space="preserve">, S. mon – </w:t>
      </w:r>
      <w:r w:rsidRPr="004E1F74">
        <w:rPr>
          <w:rFonts w:ascii="Times New Roman" w:hAnsi="Times New Roman" w:cs="Times New Roman"/>
          <w:i/>
          <w:sz w:val="20"/>
          <w:szCs w:val="20"/>
        </w:rPr>
        <w:t>S. monticola</w:t>
      </w:r>
      <w:r w:rsidRPr="004E1F74">
        <w:rPr>
          <w:rFonts w:ascii="Times New Roman" w:hAnsi="Times New Roman" w:cs="Times New Roman"/>
          <w:sz w:val="20"/>
          <w:szCs w:val="20"/>
        </w:rPr>
        <w:t xml:space="preserve"> (Group A)</w:t>
      </w:r>
    </w:p>
    <w:p w:rsidR="002C1811" w:rsidRPr="004E1F74" w:rsidRDefault="002C1811" w:rsidP="002C1811">
      <w:pPr>
        <w:spacing w:line="240" w:lineRule="auto"/>
        <w:rPr>
          <w:rFonts w:ascii="Times New Roman" w:hAnsi="Times New Roman" w:cs="Times New Roman"/>
        </w:rPr>
      </w:pPr>
      <w:r w:rsidRPr="004E1F74">
        <w:rPr>
          <w:rFonts w:ascii="Times New Roman" w:hAnsi="Times New Roman" w:cs="Times New Roman"/>
          <w:noProof/>
        </w:rPr>
        <w:drawing>
          <wp:inline distT="0" distB="0" distL="0" distR="0" wp14:anchorId="79B45AF4" wp14:editId="1712374F">
            <wp:extent cx="4052404" cy="1667866"/>
            <wp:effectExtent l="0" t="0" r="5715"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893" cy="1686588"/>
                    </a:xfrm>
                    <a:prstGeom prst="rect">
                      <a:avLst/>
                    </a:prstGeom>
                    <a:noFill/>
                    <a:ln>
                      <a:noFill/>
                    </a:ln>
                  </pic:spPr>
                </pic:pic>
              </a:graphicData>
            </a:graphic>
          </wp:inline>
        </w:drawing>
      </w:r>
    </w:p>
    <w:p w:rsidR="002C1811" w:rsidRPr="004E1F74" w:rsidRDefault="002C1811" w:rsidP="002C1811">
      <w:pPr>
        <w:jc w:val="center"/>
        <w:rPr>
          <w:rFonts w:ascii="Times New Roman" w:hAnsi="Times New Roman" w:cs="Times New Roman"/>
          <w:sz w:val="20"/>
          <w:szCs w:val="20"/>
        </w:rPr>
      </w:pPr>
      <w:r w:rsidRPr="004E1F74">
        <w:rPr>
          <w:rFonts w:ascii="Times New Roman" w:hAnsi="Times New Roman" w:cs="Times New Roman"/>
          <w:noProof/>
        </w:rPr>
        <w:lastRenderedPageBreak/>
        <w:drawing>
          <wp:inline distT="0" distB="0" distL="0" distR="0" wp14:anchorId="30E07E22" wp14:editId="2F53AD2D">
            <wp:extent cx="4835347" cy="5334835"/>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354" cy="5338153"/>
                    </a:xfrm>
                    <a:prstGeom prst="rect">
                      <a:avLst/>
                    </a:prstGeom>
                    <a:noFill/>
                    <a:ln>
                      <a:noFill/>
                    </a:ln>
                  </pic:spPr>
                </pic:pic>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Figure S5:</w:t>
      </w:r>
      <w:r w:rsidRPr="004E1F74">
        <w:rPr>
          <w:rFonts w:ascii="Times New Roman" w:hAnsi="Times New Roman" w:cs="Times New Roman"/>
          <w:sz w:val="20"/>
          <w:szCs w:val="20"/>
        </w:rPr>
        <w:t xml:space="preserve"> Cluster dendrogram based on the cosine similarity of modelled fresh water habitat suitability with wards method as cluster algorithm. S. equ – </w:t>
      </w:r>
      <w:r w:rsidRPr="004E1F74">
        <w:rPr>
          <w:rFonts w:ascii="Times New Roman" w:hAnsi="Times New Roman" w:cs="Times New Roman"/>
          <w:i/>
          <w:sz w:val="20"/>
          <w:szCs w:val="20"/>
        </w:rPr>
        <w:t>Simulium equinum</w:t>
      </w:r>
      <w:r w:rsidRPr="004E1F74">
        <w:rPr>
          <w:rFonts w:ascii="Times New Roman" w:hAnsi="Times New Roman" w:cs="Times New Roman"/>
          <w:sz w:val="20"/>
          <w:szCs w:val="20"/>
        </w:rPr>
        <w:t xml:space="preserve">, S. lin – </w:t>
      </w:r>
      <w:r w:rsidRPr="004E1F74">
        <w:rPr>
          <w:rFonts w:ascii="Times New Roman" w:hAnsi="Times New Roman" w:cs="Times New Roman"/>
          <w:i/>
          <w:sz w:val="20"/>
          <w:szCs w:val="20"/>
        </w:rPr>
        <w:t>S. lineatum</w:t>
      </w:r>
      <w:r w:rsidRPr="004E1F74">
        <w:rPr>
          <w:rFonts w:ascii="Times New Roman" w:hAnsi="Times New Roman" w:cs="Times New Roman"/>
          <w:sz w:val="20"/>
          <w:szCs w:val="20"/>
        </w:rPr>
        <w:t xml:space="preserve">, S. aur – </w:t>
      </w:r>
      <w:r w:rsidRPr="004E1F74">
        <w:rPr>
          <w:rFonts w:ascii="Times New Roman" w:hAnsi="Times New Roman" w:cs="Times New Roman"/>
          <w:i/>
          <w:sz w:val="20"/>
          <w:szCs w:val="20"/>
        </w:rPr>
        <w:t>S. aureum</w:t>
      </w:r>
      <w:r w:rsidRPr="004E1F74">
        <w:rPr>
          <w:rFonts w:ascii="Times New Roman" w:hAnsi="Times New Roman" w:cs="Times New Roman"/>
          <w:sz w:val="20"/>
          <w:szCs w:val="20"/>
        </w:rPr>
        <w:t xml:space="preserve">, S. ery – </w:t>
      </w:r>
      <w:r w:rsidRPr="004E1F74">
        <w:rPr>
          <w:rFonts w:ascii="Times New Roman" w:hAnsi="Times New Roman" w:cs="Times New Roman"/>
          <w:i/>
          <w:sz w:val="20"/>
          <w:szCs w:val="20"/>
        </w:rPr>
        <w:t>S.</w:t>
      </w:r>
      <w:r w:rsidRPr="004E1F74">
        <w:rPr>
          <w:rFonts w:ascii="Times New Roman" w:hAnsi="Times New Roman" w:cs="Times New Roman"/>
          <w:sz w:val="20"/>
          <w:szCs w:val="20"/>
        </w:rPr>
        <w:t xml:space="preserve"> </w:t>
      </w:r>
      <w:r w:rsidRPr="004E1F74">
        <w:rPr>
          <w:rFonts w:ascii="Times New Roman" w:hAnsi="Times New Roman" w:cs="Times New Roman"/>
          <w:i/>
          <w:sz w:val="20"/>
          <w:szCs w:val="20"/>
        </w:rPr>
        <w:t>erythrocephalum</w:t>
      </w:r>
      <w:r w:rsidRPr="004E1F74">
        <w:rPr>
          <w:rFonts w:ascii="Times New Roman" w:hAnsi="Times New Roman" w:cs="Times New Roman"/>
          <w:sz w:val="20"/>
          <w:szCs w:val="20"/>
        </w:rPr>
        <w:t xml:space="preserve"> (Group C); S. cry – </w:t>
      </w:r>
      <w:r w:rsidRPr="004E1F74">
        <w:rPr>
          <w:rFonts w:ascii="Times New Roman" w:hAnsi="Times New Roman" w:cs="Times New Roman"/>
          <w:i/>
          <w:sz w:val="20"/>
          <w:szCs w:val="20"/>
        </w:rPr>
        <w:t>Simulium cryophilum</w:t>
      </w:r>
      <w:r w:rsidRPr="004E1F74">
        <w:rPr>
          <w:rFonts w:ascii="Times New Roman" w:hAnsi="Times New Roman" w:cs="Times New Roman"/>
          <w:sz w:val="20"/>
          <w:szCs w:val="20"/>
        </w:rPr>
        <w:t xml:space="preserve">, S. ver – </w:t>
      </w:r>
      <w:r w:rsidRPr="004E1F74">
        <w:rPr>
          <w:rFonts w:ascii="Times New Roman" w:hAnsi="Times New Roman" w:cs="Times New Roman"/>
          <w:i/>
          <w:sz w:val="20"/>
          <w:szCs w:val="20"/>
        </w:rPr>
        <w:t>S. vernum</w:t>
      </w:r>
      <w:r w:rsidRPr="004E1F74">
        <w:rPr>
          <w:rFonts w:ascii="Times New Roman" w:hAnsi="Times New Roman" w:cs="Times New Roman"/>
          <w:sz w:val="20"/>
          <w:szCs w:val="20"/>
        </w:rPr>
        <w:t xml:space="preserve">, S. orn – </w:t>
      </w:r>
      <w:r w:rsidRPr="004E1F74">
        <w:rPr>
          <w:rFonts w:ascii="Times New Roman" w:hAnsi="Times New Roman" w:cs="Times New Roman"/>
          <w:i/>
          <w:sz w:val="20"/>
          <w:szCs w:val="20"/>
        </w:rPr>
        <w:t>S. ornatum</w:t>
      </w:r>
      <w:r w:rsidRPr="004E1F74">
        <w:rPr>
          <w:rFonts w:ascii="Times New Roman" w:hAnsi="Times New Roman" w:cs="Times New Roman"/>
          <w:sz w:val="20"/>
          <w:szCs w:val="20"/>
        </w:rPr>
        <w:t xml:space="preserve">, S. tri – </w:t>
      </w:r>
      <w:r w:rsidRPr="004E1F74">
        <w:rPr>
          <w:rFonts w:ascii="Times New Roman" w:hAnsi="Times New Roman" w:cs="Times New Roman"/>
          <w:i/>
          <w:sz w:val="20"/>
          <w:szCs w:val="20"/>
        </w:rPr>
        <w:t>S.</w:t>
      </w:r>
      <w:r w:rsidRPr="004E1F74">
        <w:rPr>
          <w:rFonts w:ascii="Times New Roman" w:hAnsi="Times New Roman" w:cs="Times New Roman"/>
          <w:sz w:val="20"/>
          <w:szCs w:val="20"/>
        </w:rPr>
        <w:t xml:space="preserve"> trifasciatum (Group B); S. var – </w:t>
      </w:r>
      <w:r w:rsidRPr="004E1F74">
        <w:rPr>
          <w:rFonts w:ascii="Times New Roman" w:hAnsi="Times New Roman" w:cs="Times New Roman"/>
          <w:i/>
          <w:sz w:val="20"/>
          <w:szCs w:val="20"/>
        </w:rPr>
        <w:t>Simulium variegatum</w:t>
      </w:r>
      <w:r w:rsidRPr="004E1F74">
        <w:rPr>
          <w:rFonts w:ascii="Times New Roman" w:hAnsi="Times New Roman" w:cs="Times New Roman"/>
          <w:sz w:val="20"/>
          <w:szCs w:val="20"/>
        </w:rPr>
        <w:t xml:space="preserve">, S. rep – </w:t>
      </w:r>
      <w:r w:rsidRPr="004E1F74">
        <w:rPr>
          <w:rFonts w:ascii="Times New Roman" w:hAnsi="Times New Roman" w:cs="Times New Roman"/>
          <w:i/>
          <w:sz w:val="20"/>
          <w:szCs w:val="20"/>
        </w:rPr>
        <w:t>S. reptans</w:t>
      </w:r>
      <w:r w:rsidRPr="004E1F74">
        <w:rPr>
          <w:rFonts w:ascii="Times New Roman" w:hAnsi="Times New Roman" w:cs="Times New Roman"/>
          <w:sz w:val="20"/>
          <w:szCs w:val="20"/>
        </w:rPr>
        <w:t xml:space="preserve">, S. arg – </w:t>
      </w:r>
      <w:r w:rsidRPr="004E1F74">
        <w:rPr>
          <w:rFonts w:ascii="Times New Roman" w:hAnsi="Times New Roman" w:cs="Times New Roman"/>
          <w:i/>
          <w:sz w:val="20"/>
          <w:szCs w:val="20"/>
        </w:rPr>
        <w:t>S. argyreatum</w:t>
      </w:r>
      <w:r w:rsidRPr="004E1F74">
        <w:rPr>
          <w:rFonts w:ascii="Times New Roman" w:hAnsi="Times New Roman" w:cs="Times New Roman"/>
          <w:sz w:val="20"/>
          <w:szCs w:val="20"/>
        </w:rPr>
        <w:t xml:space="preserve">, S. mon – </w:t>
      </w:r>
      <w:r w:rsidRPr="004E1F74">
        <w:rPr>
          <w:rFonts w:ascii="Times New Roman" w:hAnsi="Times New Roman" w:cs="Times New Roman"/>
          <w:i/>
          <w:sz w:val="20"/>
          <w:szCs w:val="20"/>
        </w:rPr>
        <w:t>S. monticola</w:t>
      </w:r>
      <w:r w:rsidRPr="004E1F74">
        <w:rPr>
          <w:rFonts w:ascii="Times New Roman" w:hAnsi="Times New Roman" w:cs="Times New Roman"/>
          <w:sz w:val="20"/>
          <w:szCs w:val="20"/>
        </w:rPr>
        <w:t xml:space="preserve"> (Group A). See Table S2 for the cosine similarity values. </w:t>
      </w:r>
    </w:p>
    <w:p w:rsidR="002C1811" w:rsidRPr="004E1F74" w:rsidRDefault="002C1811" w:rsidP="002C1811">
      <w:pPr>
        <w:jc w:val="both"/>
        <w:rPr>
          <w:rFonts w:ascii="Times New Roman" w:hAnsi="Times New Roman" w:cs="Times New Roman"/>
          <w:sz w:val="20"/>
          <w:szCs w:val="20"/>
        </w:rPr>
      </w:pPr>
    </w:p>
    <w:p w:rsidR="002C1811" w:rsidRPr="004E1F74" w:rsidRDefault="002C1811" w:rsidP="002C1811">
      <w:pPr>
        <w:jc w:val="both"/>
        <w:rPr>
          <w:rFonts w:ascii="Times New Roman" w:hAnsi="Times New Roman" w:cs="Times New Roman"/>
          <w:sz w:val="20"/>
          <w:szCs w:val="20"/>
        </w:rPr>
      </w:pPr>
    </w:p>
    <w:p w:rsidR="002C1811" w:rsidRPr="004E1F74" w:rsidRDefault="002C1811" w:rsidP="002C1811">
      <w:pPr>
        <w:jc w:val="both"/>
        <w:rPr>
          <w:rFonts w:ascii="Times New Roman" w:hAnsi="Times New Roman" w:cs="Times New Roman"/>
          <w:sz w:val="20"/>
          <w:szCs w:val="20"/>
        </w:rPr>
      </w:pPr>
    </w:p>
    <w:p w:rsidR="002C1811" w:rsidRPr="004E1F74" w:rsidRDefault="002C1811" w:rsidP="002C1811">
      <w:pPr>
        <w:rPr>
          <w:rFonts w:ascii="Times New Roman" w:hAnsi="Times New Roman" w:cs="Times New Roman"/>
        </w:rPr>
      </w:pPr>
      <w:r w:rsidRPr="004E1F74">
        <w:rPr>
          <w:rFonts w:ascii="Times New Roman" w:hAnsi="Times New Roman" w:cs="Times New Roman"/>
          <w:noProof/>
          <w:sz w:val="20"/>
          <w:szCs w:val="20"/>
        </w:rPr>
        <w:lastRenderedPageBreak/>
        <mc:AlternateContent>
          <mc:Choice Requires="wps">
            <w:drawing>
              <wp:anchor distT="45720" distB="45720" distL="114300" distR="114300" simplePos="0" relativeHeight="251659264" behindDoc="0" locked="0" layoutInCell="1" allowOverlap="1" wp14:anchorId="3827747C" wp14:editId="5CAC8A6B">
                <wp:simplePos x="0" y="0"/>
                <wp:positionH relativeFrom="margin">
                  <wp:align>left</wp:align>
                </wp:positionH>
                <wp:positionV relativeFrom="paragraph">
                  <wp:posOffset>8204</wp:posOffset>
                </wp:positionV>
                <wp:extent cx="380365" cy="25590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55905"/>
                        </a:xfrm>
                        <a:prstGeom prst="rect">
                          <a:avLst/>
                        </a:prstGeom>
                        <a:noFill/>
                        <a:ln w="9525">
                          <a:noFill/>
                          <a:miter lim="800000"/>
                          <a:headEnd/>
                          <a:tailEnd/>
                        </a:ln>
                      </wps:spPr>
                      <wps:txbx>
                        <w:txbxContent>
                          <w:p w:rsidR="002C1811" w:rsidRPr="00652A44" w:rsidRDefault="002C1811" w:rsidP="002C1811">
                            <w:pPr>
                              <w:rPr>
                                <w:lang w:val="de-DE"/>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7747C" id="_x0000_t202" coordsize="21600,21600" o:spt="202" path="m,l,21600r21600,l21600,xe">
                <v:stroke joinstyle="miter"/>
                <v:path gradientshapeok="t" o:connecttype="rect"/>
              </v:shapetype>
              <v:shape id="Textfeld 2" o:spid="_x0000_s1026" type="#_x0000_t202" style="position:absolute;margin-left:0;margin-top:.65pt;width:29.95pt;height:20.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" filled="f" stroked="f">
                <v:textbox>
                  <w:txbxContent>
                    <w:p w:rsidR="002C1811" w:rsidRPr="00652A44" w:rsidRDefault="002C1811" w:rsidP="002C1811">
                      <w:pPr>
                        <w:rPr>
                          <w:lang w:val="de-DE"/>
                        </w:rPr>
                      </w:pPr>
                      <w:r>
                        <w:t>a)</w:t>
                      </w:r>
                    </w:p>
                  </w:txbxContent>
                </v:textbox>
                <w10:wrap anchorx="margin"/>
              </v:shape>
            </w:pict>
          </mc:Fallback>
        </mc:AlternateContent>
      </w:r>
      <w:r w:rsidRPr="004E1F74">
        <w:rPr>
          <w:rFonts w:ascii="Times New Roman" w:hAnsi="Times New Roman" w:cs="Times New Roman"/>
          <w:noProof/>
        </w:rPr>
        <w:drawing>
          <wp:inline distT="0" distB="0" distL="0" distR="0" wp14:anchorId="62470EC0" wp14:editId="5B0DBA75">
            <wp:extent cx="5244998" cy="2830982"/>
            <wp:effectExtent l="0" t="0" r="13335" b="762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1811" w:rsidRPr="004E1F74" w:rsidRDefault="002C1811" w:rsidP="002C1811">
      <w:pPr>
        <w:rPr>
          <w:rFonts w:ascii="Times New Roman" w:hAnsi="Times New Roman" w:cs="Times New Roman"/>
        </w:rPr>
      </w:pPr>
      <w:r w:rsidRPr="004E1F74">
        <w:rPr>
          <w:rFonts w:ascii="Times New Roman" w:hAnsi="Times New Roman" w:cs="Times New Roman"/>
          <w:noProof/>
          <w:sz w:val="20"/>
          <w:szCs w:val="20"/>
        </w:rPr>
        <mc:AlternateContent>
          <mc:Choice Requires="wps">
            <w:drawing>
              <wp:anchor distT="45720" distB="45720" distL="114300" distR="114300" simplePos="0" relativeHeight="251660288" behindDoc="0" locked="0" layoutInCell="1" allowOverlap="1" wp14:anchorId="38B70B1F" wp14:editId="61327E53">
                <wp:simplePos x="0" y="0"/>
                <wp:positionH relativeFrom="margin">
                  <wp:align>left</wp:align>
                </wp:positionH>
                <wp:positionV relativeFrom="paragraph">
                  <wp:posOffset>8255</wp:posOffset>
                </wp:positionV>
                <wp:extent cx="380365" cy="25590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55905"/>
                        </a:xfrm>
                        <a:prstGeom prst="rect">
                          <a:avLst/>
                        </a:prstGeom>
                        <a:noFill/>
                        <a:ln w="9525">
                          <a:noFill/>
                          <a:miter lim="800000"/>
                          <a:headEnd/>
                          <a:tailEnd/>
                        </a:ln>
                      </wps:spPr>
                      <wps:txbx>
                        <w:txbxContent>
                          <w:p w:rsidR="002C1811" w:rsidRPr="00652A44" w:rsidRDefault="002C1811" w:rsidP="002C1811">
                            <w:pPr>
                              <w:rPr>
                                <w:lang w:val="de-DE"/>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70B1F" id="_x0000_s1027" type="#_x0000_t202" style="position:absolute;margin-left:0;margin-top:.65pt;width:29.95pt;height:20.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" filled="f" stroked="f">
                <v:textbox>
                  <w:txbxContent>
                    <w:p w:rsidR="002C1811" w:rsidRPr="00652A44" w:rsidRDefault="002C1811" w:rsidP="002C1811">
                      <w:pPr>
                        <w:rPr>
                          <w:lang w:val="de-DE"/>
                        </w:rPr>
                      </w:pPr>
                      <w:r>
                        <w:t>b)</w:t>
                      </w:r>
                    </w:p>
                  </w:txbxContent>
                </v:textbox>
                <w10:wrap anchorx="margin"/>
              </v:shape>
            </w:pict>
          </mc:Fallback>
        </mc:AlternateContent>
      </w:r>
      <w:r w:rsidRPr="004E1F74">
        <w:rPr>
          <w:rFonts w:ascii="Times New Roman" w:hAnsi="Times New Roman" w:cs="Times New Roman"/>
          <w:noProof/>
        </w:rPr>
        <w:drawing>
          <wp:inline distT="0" distB="0" distL="0" distR="0" wp14:anchorId="69251CBA" wp14:editId="4FCBFEF6">
            <wp:extent cx="5244465" cy="2714625"/>
            <wp:effectExtent l="0" t="0" r="13335" b="952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1811" w:rsidRPr="004E1F74" w:rsidRDefault="002C1811" w:rsidP="002C1811">
      <w:pPr>
        <w:jc w:val="both"/>
        <w:rPr>
          <w:rFonts w:ascii="Times New Roman" w:hAnsi="Times New Roman" w:cs="Times New Roman"/>
          <w:sz w:val="20"/>
          <w:szCs w:val="20"/>
        </w:rPr>
      </w:pPr>
      <w:r w:rsidRPr="004E1F74">
        <w:rPr>
          <w:rFonts w:ascii="Arial Narrow" w:hAnsi="Arial Narrow" w:cs="Times New Roman"/>
          <w:b/>
          <w:sz w:val="20"/>
          <w:szCs w:val="20"/>
        </w:rPr>
        <w:t>Figure S6:</w:t>
      </w:r>
      <w:r w:rsidRPr="004E1F74">
        <w:rPr>
          <w:rFonts w:ascii="Times New Roman" w:hAnsi="Times New Roman" w:cs="Times New Roman"/>
          <w:sz w:val="20"/>
          <w:szCs w:val="20"/>
        </w:rPr>
        <w:t xml:space="preserve"> Variable contribution. bio05 - maximum temperature of warmest month; bio06 - minimum temperature of coldest month (bio06); elev1 - minimum elevation across sub-catchment, i.e. altitude of the record points; slope4 - average slope across sub-catchment and LC7 - percentage of cultivated vegetation (weighted average) across the sub-catchment. a) relative contributions of the environmental variables to the Maxent model accumulated over the 12 considered species b) species specific percent contribution. On average, summer temperature (bio05) contributes the most to the models, followed by percentage of agricultural land in the sub-catchment (LC7). Overall, however, the relative contribution of variables varies among species. The distribution of </w:t>
      </w:r>
      <w:r w:rsidRPr="004E1F74">
        <w:rPr>
          <w:rFonts w:ascii="Times New Roman" w:hAnsi="Times New Roman" w:cs="Times New Roman"/>
          <w:i/>
          <w:sz w:val="20"/>
          <w:szCs w:val="20"/>
        </w:rPr>
        <w:t>S. erythrocephalum</w:t>
      </w:r>
      <w:r w:rsidRPr="004E1F74">
        <w:rPr>
          <w:rFonts w:ascii="Times New Roman" w:hAnsi="Times New Roman" w:cs="Times New Roman"/>
          <w:sz w:val="20"/>
          <w:szCs w:val="20"/>
        </w:rPr>
        <w:t xml:space="preserve">, for example, is strongly affected (&gt;80% contribution) by geomorphological variables (elevation and slope), while </w:t>
      </w:r>
      <w:r w:rsidRPr="004E1F74">
        <w:rPr>
          <w:rFonts w:ascii="Times New Roman" w:hAnsi="Times New Roman" w:cs="Times New Roman"/>
          <w:i/>
          <w:sz w:val="20"/>
          <w:szCs w:val="20"/>
        </w:rPr>
        <w:t>S. trifasciatum</w:t>
      </w:r>
      <w:r w:rsidRPr="004E1F74">
        <w:rPr>
          <w:rFonts w:ascii="Times New Roman" w:hAnsi="Times New Roman" w:cs="Times New Roman"/>
          <w:sz w:val="20"/>
          <w:szCs w:val="20"/>
        </w:rPr>
        <w:t xml:space="preserve"> and </w:t>
      </w:r>
      <w:r w:rsidRPr="004E1F74">
        <w:rPr>
          <w:rFonts w:ascii="Times New Roman" w:hAnsi="Times New Roman" w:cs="Times New Roman"/>
          <w:i/>
          <w:sz w:val="20"/>
          <w:szCs w:val="20"/>
        </w:rPr>
        <w:t>S. monticola</w:t>
      </w:r>
      <w:r w:rsidRPr="004E1F74">
        <w:rPr>
          <w:rFonts w:ascii="Times New Roman" w:hAnsi="Times New Roman" w:cs="Times New Roman"/>
          <w:sz w:val="20"/>
          <w:szCs w:val="20"/>
        </w:rPr>
        <w:t xml:space="preserve"> are largely driven by climatic factors (bio05, bio06). </w:t>
      </w:r>
    </w:p>
    <w:p w:rsidR="002C1811" w:rsidRPr="004E1F74" w:rsidRDefault="002C1811" w:rsidP="002C1811">
      <w:pPr>
        <w:jc w:val="both"/>
        <w:rPr>
          <w:rFonts w:ascii="Times New Roman" w:hAnsi="Times New Roman" w:cs="Times New Roman"/>
        </w:rPr>
      </w:pPr>
    </w:p>
    <w:p w:rsidR="002C1811" w:rsidRPr="004E1F74" w:rsidRDefault="002C1811" w:rsidP="002C1811">
      <w:pPr>
        <w:jc w:val="center"/>
        <w:rPr>
          <w:rFonts w:ascii="Times New Roman" w:hAnsi="Times New Roman" w:cs="Times New Roman"/>
        </w:rPr>
      </w:pPr>
      <w:r w:rsidRPr="004E1F74">
        <w:rPr>
          <w:rFonts w:ascii="Times New Roman" w:hAnsi="Times New Roman" w:cs="Times New Roman"/>
          <w:noProof/>
        </w:rPr>
        <w:lastRenderedPageBreak/>
        <w:drawing>
          <wp:inline distT="0" distB="0" distL="0" distR="0" wp14:anchorId="6000F2B7" wp14:editId="1F6C3E09">
            <wp:extent cx="3205163" cy="641032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einzelNis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008" cy="6430015"/>
                    </a:xfrm>
                    <a:prstGeom prst="rect">
                      <a:avLst/>
                    </a:prstGeom>
                  </pic:spPr>
                </pic:pic>
              </a:graphicData>
            </a:graphic>
          </wp:inline>
        </w:drawing>
      </w:r>
    </w:p>
    <w:p w:rsidR="00A351B7" w:rsidRDefault="002C1811" w:rsidP="003964AA">
      <w:pPr>
        <w:spacing w:line="240" w:lineRule="auto"/>
        <w:jc w:val="both"/>
      </w:pPr>
      <w:r w:rsidRPr="004E1F74">
        <w:rPr>
          <w:rFonts w:ascii="Arial Narrow" w:hAnsi="Arial Narrow" w:cs="Times New Roman"/>
          <w:b/>
          <w:sz w:val="20"/>
          <w:szCs w:val="20"/>
        </w:rPr>
        <w:t>Figure S8</w:t>
      </w:r>
      <w:r w:rsidRPr="004E1F74">
        <w:rPr>
          <w:rFonts w:ascii="Times New Roman" w:hAnsi="Times New Roman" w:cs="Times New Roman"/>
          <w:sz w:val="20"/>
          <w:szCs w:val="20"/>
        </w:rPr>
        <w:t>: Single density functions of occurrence records of the 12 black fly species along the five environmental gradients considered as predictor variables in the niche modelling. Species are grouped according the cosine similarity if modelled freshwater habitat suitability (see Figure 1). bio05: maximum temperature of warmest month; bio06: minimum temperature of coldest month; elev1: minimum elevation across sub-catchment, i.e. altitude of the record points; slope4: average slope across sub-catchment; lc07: percentage of cultivated vegetation across the sub-catchment.</w:t>
      </w:r>
      <w:bookmarkStart w:id="0" w:name="_GoBack"/>
      <w:bookmarkEnd w:id="0"/>
    </w:p>
    <w:sectPr w:rsidR="00A351B7" w:rsidSect="002C1811">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E0D" w:rsidRDefault="00937E0D" w:rsidP="003964AA">
      <w:pPr>
        <w:spacing w:after="0" w:line="240" w:lineRule="auto"/>
      </w:pPr>
      <w:r>
        <w:separator/>
      </w:r>
    </w:p>
  </w:endnote>
  <w:endnote w:type="continuationSeparator" w:id="0">
    <w:p w:rsidR="00937E0D" w:rsidRDefault="00937E0D" w:rsidP="00396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045063"/>
      <w:docPartObj>
        <w:docPartGallery w:val="Page Numbers (Bottom of Page)"/>
        <w:docPartUnique/>
      </w:docPartObj>
    </w:sdtPr>
    <w:sdtEndPr/>
    <w:sdtContent>
      <w:p w:rsidR="00600561" w:rsidRDefault="00937E0D">
        <w:pPr>
          <w:pStyle w:val="Fuzeile"/>
          <w:jc w:val="right"/>
        </w:pPr>
        <w:r>
          <w:fldChar w:fldCharType="begin"/>
        </w:r>
        <w:r>
          <w:instrText>PAGE   \* MERGEFORMAT</w:instrText>
        </w:r>
        <w:r>
          <w:fldChar w:fldCharType="separate"/>
        </w:r>
        <w:r w:rsidR="003964AA" w:rsidRPr="003964AA">
          <w:rPr>
            <w:noProof/>
            <w:lang w:val="de-DE"/>
          </w:rPr>
          <w:t>8</w:t>
        </w:r>
        <w:r>
          <w:fldChar w:fldCharType="end"/>
        </w:r>
      </w:p>
    </w:sdtContent>
  </w:sdt>
  <w:p w:rsidR="00600561" w:rsidRDefault="00937E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E0D" w:rsidRDefault="00937E0D" w:rsidP="003964AA">
      <w:pPr>
        <w:spacing w:after="0" w:line="240" w:lineRule="auto"/>
      </w:pPr>
      <w:r>
        <w:separator/>
      </w:r>
    </w:p>
  </w:footnote>
  <w:footnote w:type="continuationSeparator" w:id="0">
    <w:p w:rsidR="00937E0D" w:rsidRDefault="00937E0D" w:rsidP="00396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AA" w:rsidRPr="003964AA" w:rsidRDefault="003964AA" w:rsidP="003964AA">
    <w:pPr>
      <w:spacing w:after="80"/>
      <w:jc w:val="both"/>
      <w:rPr>
        <w:rFonts w:ascii="Arial Narrow" w:eastAsiaTheme="majorEastAsia" w:hAnsi="Arial Narrow" w:cs="Times New Roman"/>
        <w:color w:val="808080" w:themeColor="background1" w:themeShade="80"/>
        <w:sz w:val="20"/>
        <w:szCs w:val="20"/>
        <w:lang w:val="de-DE"/>
      </w:rPr>
    </w:pPr>
    <w:r w:rsidRPr="003964AA">
      <w:rPr>
        <w:rFonts w:ascii="Arial Narrow" w:eastAsiaTheme="majorEastAsia" w:hAnsi="Arial Narrow" w:cs="Times New Roman"/>
        <w:color w:val="808080" w:themeColor="background1" w:themeShade="80"/>
        <w:sz w:val="20"/>
        <w:szCs w:val="20"/>
        <w:lang w:val="de-DE"/>
      </w:rPr>
      <w:t>Supplementary Material</w:t>
    </w:r>
  </w:p>
  <w:p w:rsidR="003964AA" w:rsidRDefault="003964AA" w:rsidP="003964AA">
    <w:pPr>
      <w:spacing w:after="80"/>
      <w:jc w:val="both"/>
      <w:rPr>
        <w:rFonts w:ascii="Arial Narrow" w:eastAsiaTheme="majorEastAsia" w:hAnsi="Arial Narrow" w:cs="Times New Roman"/>
        <w:sz w:val="28"/>
        <w:szCs w:val="28"/>
      </w:rPr>
    </w:pPr>
    <w:r w:rsidRPr="003964AA">
      <w:rPr>
        <w:rFonts w:ascii="Arial Narrow" w:eastAsiaTheme="majorEastAsia" w:hAnsi="Arial Narrow" w:cs="Times New Roman"/>
        <w:sz w:val="28"/>
        <w:szCs w:val="28"/>
      </w:rPr>
      <w:t xml:space="preserve">Ecologically and medically important black flies of the genus </w:t>
    </w:r>
    <w:r w:rsidRPr="003964AA">
      <w:rPr>
        <w:rFonts w:ascii="Arial Narrow" w:eastAsiaTheme="majorEastAsia" w:hAnsi="Arial Narrow" w:cs="Times New Roman"/>
        <w:i/>
        <w:sz w:val="28"/>
        <w:szCs w:val="28"/>
      </w:rPr>
      <w:t>Simulium</w:t>
    </w:r>
    <w:r w:rsidRPr="003964AA">
      <w:rPr>
        <w:rFonts w:ascii="Arial Narrow" w:eastAsiaTheme="majorEastAsia" w:hAnsi="Arial Narrow" w:cs="Times New Roman"/>
        <w:sz w:val="28"/>
        <w:szCs w:val="28"/>
      </w:rPr>
      <w:t>: Identification of biogeographical groups according to similar larval niches</w:t>
    </w:r>
  </w:p>
  <w:p w:rsidR="003964AA" w:rsidRPr="003964AA" w:rsidRDefault="003964AA" w:rsidP="003964AA">
    <w:pPr>
      <w:spacing w:after="360"/>
      <w:jc w:val="both"/>
      <w:rPr>
        <w:rFonts w:ascii="Arial Narrow" w:eastAsiaTheme="majorEastAsia" w:hAnsi="Arial Narrow" w:cs="Times New Roman"/>
        <w:sz w:val="20"/>
        <w:szCs w:val="20"/>
        <w:lang w:val="de-DE"/>
      </w:rPr>
    </w:pPr>
    <w:r w:rsidRPr="003964AA">
      <w:rPr>
        <w:rFonts w:ascii="Arial Narrow" w:eastAsiaTheme="majorEastAsia" w:hAnsi="Arial Narrow" w:cs="Times New Roman"/>
        <w:sz w:val="20"/>
        <w:szCs w:val="20"/>
        <w:lang w:val="de-DE"/>
      </w:rPr>
      <w:t>Sarah Cunze, Jonas Jourdan, Sven K</w:t>
    </w:r>
    <w:r>
      <w:rPr>
        <w:rFonts w:ascii="Arial Narrow" w:eastAsiaTheme="majorEastAsia" w:hAnsi="Arial Narrow" w:cs="Times New Roman"/>
        <w:sz w:val="20"/>
        <w:szCs w:val="20"/>
        <w:lang w:val="de-DE"/>
      </w:rPr>
      <w:t>limpel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11"/>
    <w:rsid w:val="0017582A"/>
    <w:rsid w:val="00241EBE"/>
    <w:rsid w:val="002C1811"/>
    <w:rsid w:val="003309B5"/>
    <w:rsid w:val="003964AA"/>
    <w:rsid w:val="006529EF"/>
    <w:rsid w:val="006D0E8D"/>
    <w:rsid w:val="006E6894"/>
    <w:rsid w:val="007571C4"/>
    <w:rsid w:val="00937E0D"/>
    <w:rsid w:val="00D66C75"/>
    <w:rsid w:val="00FA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C826"/>
  <w15:chartTrackingRefBased/>
  <w15:docId w15:val="{3A2D91A1-BBD9-47AE-8ED2-8325B6534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1811"/>
  </w:style>
  <w:style w:type="paragraph" w:styleId="berschrift1">
    <w:name w:val="heading 1"/>
    <w:basedOn w:val="Standard"/>
    <w:next w:val="Standard"/>
    <w:link w:val="berschrift1Zchn"/>
    <w:uiPriority w:val="9"/>
    <w:qFormat/>
    <w:rsid w:val="002C18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1811"/>
    <w:rPr>
      <w:rFonts w:asciiTheme="majorHAnsi" w:eastAsiaTheme="majorEastAsia" w:hAnsiTheme="majorHAnsi" w:cstheme="majorBidi"/>
      <w:color w:val="2E74B5" w:themeColor="accent1" w:themeShade="BF"/>
      <w:sz w:val="32"/>
      <w:szCs w:val="32"/>
    </w:rPr>
  </w:style>
  <w:style w:type="paragraph" w:styleId="Fuzeile">
    <w:name w:val="footer"/>
    <w:basedOn w:val="Standard"/>
    <w:link w:val="FuzeileZchn"/>
    <w:uiPriority w:val="99"/>
    <w:unhideWhenUsed/>
    <w:rsid w:val="002C1811"/>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C1811"/>
  </w:style>
  <w:style w:type="character" w:styleId="Zeilennummer">
    <w:name w:val="line number"/>
    <w:basedOn w:val="Absatz-Standardschriftart"/>
    <w:uiPriority w:val="99"/>
    <w:semiHidden/>
    <w:unhideWhenUsed/>
    <w:rsid w:val="002C1811"/>
  </w:style>
  <w:style w:type="paragraph" w:styleId="Kopfzeile">
    <w:name w:val="header"/>
    <w:basedOn w:val="Standard"/>
    <w:link w:val="KopfzeileZchn"/>
    <w:uiPriority w:val="99"/>
    <w:unhideWhenUsed/>
    <w:rsid w:val="003964A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96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_Simulidae\maxent_out_2\000maxentResults_.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Tabelle1!$L$3</c:f>
              <c:strCache>
                <c:ptCount val="1"/>
                <c:pt idx="0">
                  <c:v>S.argyreatum </c:v>
                </c:pt>
              </c:strCache>
            </c:strRef>
          </c:tx>
          <c:spPr>
            <a:solidFill>
              <a:schemeClr val="accent1"/>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Tabelle1!$M$3:$Q$3</c:f>
              <c:numCache>
                <c:formatCode>General</c:formatCode>
                <c:ptCount val="5"/>
                <c:pt idx="0">
                  <c:v>55.071100000000001</c:v>
                </c:pt>
                <c:pt idx="1">
                  <c:v>2.7734999999999999</c:v>
                </c:pt>
                <c:pt idx="2">
                  <c:v>9.4844000000000008</c:v>
                </c:pt>
                <c:pt idx="3">
                  <c:v>0.73180000000000001</c:v>
                </c:pt>
                <c:pt idx="4">
                  <c:v>31.9392</c:v>
                </c:pt>
              </c:numCache>
            </c:numRef>
          </c:val>
          <c:extLst>
            <c:ext xmlns:c16="http://schemas.microsoft.com/office/drawing/2014/chart" uri="{C3380CC4-5D6E-409C-BE32-E72D297353CC}">
              <c16:uniqueId val="{00000000-C5B3-436A-BF99-077F572D30ED}"/>
            </c:ext>
          </c:extLst>
        </c:ser>
        <c:ser>
          <c:idx val="1"/>
          <c:order val="1"/>
          <c:tx>
            <c:strRef>
              <c:f>Tabelle1!$L$4</c:f>
              <c:strCache>
                <c:ptCount val="1"/>
                <c:pt idx="0">
                  <c:v>S.aureum </c:v>
                </c:pt>
              </c:strCache>
            </c:strRef>
          </c:tx>
          <c:spPr>
            <a:solidFill>
              <a:schemeClr val="accent2"/>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Tabelle1!$M$4:$Q$4</c:f>
              <c:numCache>
                <c:formatCode>General</c:formatCode>
                <c:ptCount val="5"/>
                <c:pt idx="0">
                  <c:v>37.897799999999997</c:v>
                </c:pt>
                <c:pt idx="1">
                  <c:v>24.7867</c:v>
                </c:pt>
                <c:pt idx="2">
                  <c:v>0.18149999999999999</c:v>
                </c:pt>
                <c:pt idx="3">
                  <c:v>8.7504000000000008</c:v>
                </c:pt>
                <c:pt idx="4">
                  <c:v>28.383600000000001</c:v>
                </c:pt>
              </c:numCache>
            </c:numRef>
          </c:val>
          <c:extLst>
            <c:ext xmlns:c16="http://schemas.microsoft.com/office/drawing/2014/chart" uri="{C3380CC4-5D6E-409C-BE32-E72D297353CC}">
              <c16:uniqueId val="{00000001-C5B3-436A-BF99-077F572D30ED}"/>
            </c:ext>
          </c:extLst>
        </c:ser>
        <c:ser>
          <c:idx val="2"/>
          <c:order val="2"/>
          <c:tx>
            <c:strRef>
              <c:f>Tabelle1!$L$5</c:f>
              <c:strCache>
                <c:ptCount val="1"/>
                <c:pt idx="0">
                  <c:v>S.cryophilum </c:v>
                </c:pt>
              </c:strCache>
            </c:strRef>
          </c:tx>
          <c:spPr>
            <a:solidFill>
              <a:schemeClr val="accent3"/>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Tabelle1!$M$5:$Q$5</c:f>
              <c:numCache>
                <c:formatCode>General</c:formatCode>
                <c:ptCount val="5"/>
                <c:pt idx="0">
                  <c:v>34.7211</c:v>
                </c:pt>
                <c:pt idx="1">
                  <c:v>4.8894000000000002</c:v>
                </c:pt>
                <c:pt idx="2">
                  <c:v>9.8561999999999994</c:v>
                </c:pt>
                <c:pt idx="3">
                  <c:v>20.674199999999999</c:v>
                </c:pt>
                <c:pt idx="4">
                  <c:v>29.859200000000001</c:v>
                </c:pt>
              </c:numCache>
            </c:numRef>
          </c:val>
          <c:extLst>
            <c:ext xmlns:c16="http://schemas.microsoft.com/office/drawing/2014/chart" uri="{C3380CC4-5D6E-409C-BE32-E72D297353CC}">
              <c16:uniqueId val="{00000002-C5B3-436A-BF99-077F572D30ED}"/>
            </c:ext>
          </c:extLst>
        </c:ser>
        <c:ser>
          <c:idx val="3"/>
          <c:order val="3"/>
          <c:tx>
            <c:strRef>
              <c:f>Tabelle1!$L$6</c:f>
              <c:strCache>
                <c:ptCount val="1"/>
                <c:pt idx="0">
                  <c:v>S.equinum </c:v>
                </c:pt>
              </c:strCache>
            </c:strRef>
          </c:tx>
          <c:spPr>
            <a:solidFill>
              <a:schemeClr val="accent4"/>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Tabelle1!$M$6:$Q$6</c:f>
              <c:numCache>
                <c:formatCode>General</c:formatCode>
                <c:ptCount val="5"/>
                <c:pt idx="0">
                  <c:v>22.4697</c:v>
                </c:pt>
                <c:pt idx="1">
                  <c:v>9.1545000000000005</c:v>
                </c:pt>
                <c:pt idx="2">
                  <c:v>42.144399999999997</c:v>
                </c:pt>
                <c:pt idx="3">
                  <c:v>16.010400000000001</c:v>
                </c:pt>
                <c:pt idx="4">
                  <c:v>10.221</c:v>
                </c:pt>
              </c:numCache>
            </c:numRef>
          </c:val>
          <c:extLst>
            <c:ext xmlns:c16="http://schemas.microsoft.com/office/drawing/2014/chart" uri="{C3380CC4-5D6E-409C-BE32-E72D297353CC}">
              <c16:uniqueId val="{00000003-C5B3-436A-BF99-077F572D30ED}"/>
            </c:ext>
          </c:extLst>
        </c:ser>
        <c:ser>
          <c:idx val="4"/>
          <c:order val="4"/>
          <c:tx>
            <c:strRef>
              <c:f>Tabelle1!$L$7</c:f>
              <c:strCache>
                <c:ptCount val="1"/>
                <c:pt idx="0">
                  <c:v>S.erythrocephalum </c:v>
                </c:pt>
              </c:strCache>
            </c:strRef>
          </c:tx>
          <c:spPr>
            <a:solidFill>
              <a:schemeClr val="accent5"/>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Tabelle1!$M$7:$Q$7</c:f>
              <c:numCache>
                <c:formatCode>General</c:formatCode>
                <c:ptCount val="5"/>
                <c:pt idx="0">
                  <c:v>4.9779</c:v>
                </c:pt>
                <c:pt idx="1">
                  <c:v>4.4084000000000003</c:v>
                </c:pt>
                <c:pt idx="2">
                  <c:v>33.011899999999997</c:v>
                </c:pt>
                <c:pt idx="3">
                  <c:v>49.107799999999997</c:v>
                </c:pt>
                <c:pt idx="4">
                  <c:v>8.4939999999999998</c:v>
                </c:pt>
              </c:numCache>
            </c:numRef>
          </c:val>
          <c:extLst>
            <c:ext xmlns:c16="http://schemas.microsoft.com/office/drawing/2014/chart" uri="{C3380CC4-5D6E-409C-BE32-E72D297353CC}">
              <c16:uniqueId val="{00000004-C5B3-436A-BF99-077F572D30ED}"/>
            </c:ext>
          </c:extLst>
        </c:ser>
        <c:ser>
          <c:idx val="5"/>
          <c:order val="5"/>
          <c:tx>
            <c:strRef>
              <c:f>Tabelle1!$L$8</c:f>
              <c:strCache>
                <c:ptCount val="1"/>
                <c:pt idx="0">
                  <c:v>S.lineatum </c:v>
                </c:pt>
              </c:strCache>
            </c:strRef>
          </c:tx>
          <c:spPr>
            <a:solidFill>
              <a:schemeClr val="accent6"/>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Tabelle1!$M$8:$Q$8</c:f>
              <c:numCache>
                <c:formatCode>General</c:formatCode>
                <c:ptCount val="5"/>
                <c:pt idx="0">
                  <c:v>20.322800000000001</c:v>
                </c:pt>
                <c:pt idx="1">
                  <c:v>0.85929999999999995</c:v>
                </c:pt>
                <c:pt idx="2">
                  <c:v>70.760800000000003</c:v>
                </c:pt>
                <c:pt idx="3">
                  <c:v>2.3511000000000002</c:v>
                </c:pt>
                <c:pt idx="4">
                  <c:v>5.7061000000000002</c:v>
                </c:pt>
              </c:numCache>
            </c:numRef>
          </c:val>
          <c:extLst>
            <c:ext xmlns:c16="http://schemas.microsoft.com/office/drawing/2014/chart" uri="{C3380CC4-5D6E-409C-BE32-E72D297353CC}">
              <c16:uniqueId val="{00000005-C5B3-436A-BF99-077F572D30ED}"/>
            </c:ext>
          </c:extLst>
        </c:ser>
        <c:ser>
          <c:idx val="6"/>
          <c:order val="6"/>
          <c:tx>
            <c:strRef>
              <c:f>Tabelle1!$L$9</c:f>
              <c:strCache>
                <c:ptCount val="1"/>
                <c:pt idx="0">
                  <c:v>S.monticola </c:v>
                </c:pt>
              </c:strCache>
            </c:strRef>
          </c:tx>
          <c:spPr>
            <a:solidFill>
              <a:schemeClr val="accent1">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Tabelle1!$M$9:$Q$9</c:f>
              <c:numCache>
                <c:formatCode>General</c:formatCode>
                <c:ptCount val="5"/>
                <c:pt idx="0">
                  <c:v>30.132100000000001</c:v>
                </c:pt>
                <c:pt idx="1">
                  <c:v>51.785299999999999</c:v>
                </c:pt>
                <c:pt idx="2">
                  <c:v>3.6511</c:v>
                </c:pt>
                <c:pt idx="3">
                  <c:v>0.93979999999999997</c:v>
                </c:pt>
                <c:pt idx="4">
                  <c:v>13.4917</c:v>
                </c:pt>
              </c:numCache>
            </c:numRef>
          </c:val>
          <c:extLst>
            <c:ext xmlns:c16="http://schemas.microsoft.com/office/drawing/2014/chart" uri="{C3380CC4-5D6E-409C-BE32-E72D297353CC}">
              <c16:uniqueId val="{00000006-C5B3-436A-BF99-077F572D30ED}"/>
            </c:ext>
          </c:extLst>
        </c:ser>
        <c:ser>
          <c:idx val="7"/>
          <c:order val="7"/>
          <c:tx>
            <c:strRef>
              <c:f>Tabelle1!$L$10</c:f>
              <c:strCache>
                <c:ptCount val="1"/>
                <c:pt idx="0">
                  <c:v>S.ornatum </c:v>
                </c:pt>
              </c:strCache>
            </c:strRef>
          </c:tx>
          <c:spPr>
            <a:solidFill>
              <a:schemeClr val="accent2">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Tabelle1!$M$10:$Q$10</c:f>
              <c:numCache>
                <c:formatCode>General</c:formatCode>
                <c:ptCount val="5"/>
                <c:pt idx="0">
                  <c:v>28.148299999999999</c:v>
                </c:pt>
                <c:pt idx="1">
                  <c:v>9.3483000000000001</c:v>
                </c:pt>
                <c:pt idx="2">
                  <c:v>15.445</c:v>
                </c:pt>
                <c:pt idx="3">
                  <c:v>17.596399999999999</c:v>
                </c:pt>
                <c:pt idx="4">
                  <c:v>29.462</c:v>
                </c:pt>
              </c:numCache>
            </c:numRef>
          </c:val>
          <c:extLst>
            <c:ext xmlns:c16="http://schemas.microsoft.com/office/drawing/2014/chart" uri="{C3380CC4-5D6E-409C-BE32-E72D297353CC}">
              <c16:uniqueId val="{00000007-C5B3-436A-BF99-077F572D30ED}"/>
            </c:ext>
          </c:extLst>
        </c:ser>
        <c:ser>
          <c:idx val="8"/>
          <c:order val="8"/>
          <c:tx>
            <c:strRef>
              <c:f>Tabelle1!$L$11</c:f>
              <c:strCache>
                <c:ptCount val="1"/>
                <c:pt idx="0">
                  <c:v>S.reptans </c:v>
                </c:pt>
              </c:strCache>
            </c:strRef>
          </c:tx>
          <c:spPr>
            <a:solidFill>
              <a:schemeClr val="accent3">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Tabelle1!$M$11:$Q$11</c:f>
              <c:numCache>
                <c:formatCode>General</c:formatCode>
                <c:ptCount val="5"/>
                <c:pt idx="0">
                  <c:v>23.264099999999999</c:v>
                </c:pt>
                <c:pt idx="1">
                  <c:v>28.190899999999999</c:v>
                </c:pt>
                <c:pt idx="2">
                  <c:v>17.380800000000001</c:v>
                </c:pt>
                <c:pt idx="3">
                  <c:v>2.6059999999999999</c:v>
                </c:pt>
                <c:pt idx="4">
                  <c:v>28.558199999999999</c:v>
                </c:pt>
              </c:numCache>
            </c:numRef>
          </c:val>
          <c:extLst>
            <c:ext xmlns:c16="http://schemas.microsoft.com/office/drawing/2014/chart" uri="{C3380CC4-5D6E-409C-BE32-E72D297353CC}">
              <c16:uniqueId val="{00000008-C5B3-436A-BF99-077F572D30ED}"/>
            </c:ext>
          </c:extLst>
        </c:ser>
        <c:ser>
          <c:idx val="9"/>
          <c:order val="9"/>
          <c:tx>
            <c:strRef>
              <c:f>Tabelle1!$L$12</c:f>
              <c:strCache>
                <c:ptCount val="1"/>
                <c:pt idx="0">
                  <c:v>S.trifasciatum </c:v>
                </c:pt>
              </c:strCache>
            </c:strRef>
          </c:tx>
          <c:spPr>
            <a:solidFill>
              <a:schemeClr val="accent4">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Tabelle1!$M$12:$Q$12</c:f>
              <c:numCache>
                <c:formatCode>General</c:formatCode>
                <c:ptCount val="5"/>
                <c:pt idx="0">
                  <c:v>48.114400000000003</c:v>
                </c:pt>
                <c:pt idx="1">
                  <c:v>45.2117</c:v>
                </c:pt>
                <c:pt idx="2">
                  <c:v>0.1288</c:v>
                </c:pt>
                <c:pt idx="3">
                  <c:v>0.24560000000000001</c:v>
                </c:pt>
                <c:pt idx="4">
                  <c:v>6.2995000000000001</c:v>
                </c:pt>
              </c:numCache>
            </c:numRef>
          </c:val>
          <c:extLst>
            <c:ext xmlns:c16="http://schemas.microsoft.com/office/drawing/2014/chart" uri="{C3380CC4-5D6E-409C-BE32-E72D297353CC}">
              <c16:uniqueId val="{00000009-C5B3-436A-BF99-077F572D30ED}"/>
            </c:ext>
          </c:extLst>
        </c:ser>
        <c:ser>
          <c:idx val="10"/>
          <c:order val="10"/>
          <c:tx>
            <c:strRef>
              <c:f>Tabelle1!$L$13</c:f>
              <c:strCache>
                <c:ptCount val="1"/>
                <c:pt idx="0">
                  <c:v>S.variegatum </c:v>
                </c:pt>
              </c:strCache>
            </c:strRef>
          </c:tx>
          <c:spPr>
            <a:solidFill>
              <a:schemeClr val="accent5">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Tabelle1!$M$13:$Q$13</c:f>
              <c:numCache>
                <c:formatCode>General</c:formatCode>
                <c:ptCount val="5"/>
                <c:pt idx="0">
                  <c:v>34.465699999999998</c:v>
                </c:pt>
                <c:pt idx="1">
                  <c:v>24.2471</c:v>
                </c:pt>
                <c:pt idx="2">
                  <c:v>1.4088000000000001</c:v>
                </c:pt>
                <c:pt idx="3">
                  <c:v>0.33460000000000001</c:v>
                </c:pt>
                <c:pt idx="4">
                  <c:v>39.543700000000001</c:v>
                </c:pt>
              </c:numCache>
            </c:numRef>
          </c:val>
          <c:extLst>
            <c:ext xmlns:c16="http://schemas.microsoft.com/office/drawing/2014/chart" uri="{C3380CC4-5D6E-409C-BE32-E72D297353CC}">
              <c16:uniqueId val="{0000000A-C5B3-436A-BF99-077F572D30ED}"/>
            </c:ext>
          </c:extLst>
        </c:ser>
        <c:ser>
          <c:idx val="11"/>
          <c:order val="11"/>
          <c:tx>
            <c:strRef>
              <c:f>Tabelle1!$L$14</c:f>
              <c:strCache>
                <c:ptCount val="1"/>
                <c:pt idx="0">
                  <c:v>S.vernum </c:v>
                </c:pt>
              </c:strCache>
            </c:strRef>
          </c:tx>
          <c:spPr>
            <a:solidFill>
              <a:schemeClr val="accent6">
                <a:lumMod val="60000"/>
              </a:schemeClr>
            </a:solidFill>
            <a:ln>
              <a:noFill/>
            </a:ln>
            <a:effectLst/>
          </c:spPr>
          <c:invertIfNegative val="0"/>
          <c:cat>
            <c:strRef>
              <c:f>Tabelle1!$M$2:$Q$2</c:f>
              <c:strCache>
                <c:ptCount val="5"/>
                <c:pt idx="0">
                  <c:v>bio05</c:v>
                </c:pt>
                <c:pt idx="1">
                  <c:v>bio06</c:v>
                </c:pt>
                <c:pt idx="2">
                  <c:v>elev1</c:v>
                </c:pt>
                <c:pt idx="3">
                  <c:v>slope4</c:v>
                </c:pt>
                <c:pt idx="4">
                  <c:v>LC7</c:v>
                </c:pt>
              </c:strCache>
            </c:strRef>
          </c:cat>
          <c:val>
            <c:numRef>
              <c:f>Tabelle1!$M$14:$Q$14</c:f>
              <c:numCache>
                <c:formatCode>General</c:formatCode>
                <c:ptCount val="5"/>
                <c:pt idx="0">
                  <c:v>20.922899999999998</c:v>
                </c:pt>
                <c:pt idx="1">
                  <c:v>25.877300000000002</c:v>
                </c:pt>
                <c:pt idx="2">
                  <c:v>17.200199999999999</c:v>
                </c:pt>
                <c:pt idx="3">
                  <c:v>4.7838000000000003</c:v>
                </c:pt>
                <c:pt idx="4">
                  <c:v>31.215800000000002</c:v>
                </c:pt>
              </c:numCache>
            </c:numRef>
          </c:val>
          <c:extLst>
            <c:ext xmlns:c16="http://schemas.microsoft.com/office/drawing/2014/chart" uri="{C3380CC4-5D6E-409C-BE32-E72D297353CC}">
              <c16:uniqueId val="{0000000B-C5B3-436A-BF99-077F572D30ED}"/>
            </c:ext>
          </c:extLst>
        </c:ser>
        <c:dLbls>
          <c:showLegendKey val="0"/>
          <c:showVal val="0"/>
          <c:showCatName val="0"/>
          <c:showSerName val="0"/>
          <c:showPercent val="0"/>
          <c:showBubbleSize val="0"/>
        </c:dLbls>
        <c:gapWidth val="150"/>
        <c:overlap val="100"/>
        <c:axId val="480908256"/>
        <c:axId val="480915872"/>
      </c:barChart>
      <c:catAx>
        <c:axId val="4809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15872"/>
        <c:crosses val="autoZero"/>
        <c:auto val="1"/>
        <c:lblAlgn val="ctr"/>
        <c:lblOffset val="100"/>
        <c:noMultiLvlLbl val="0"/>
      </c:catAx>
      <c:valAx>
        <c:axId val="48091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cummulated</a:t>
                </a:r>
                <a:r>
                  <a:rPr lang="en-US" baseline="0"/>
                  <a:t> variable contribution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08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Tabelle2!$T$2</c:f>
              <c:strCache>
                <c:ptCount val="1"/>
                <c:pt idx="0">
                  <c:v>bio05</c:v>
                </c:pt>
              </c:strCache>
            </c:strRef>
          </c:tx>
          <c:spPr>
            <a:solidFill>
              <a:schemeClr val="accent2"/>
            </a:solidFill>
            <a:ln>
              <a:noFill/>
            </a:ln>
            <a:effectLst/>
          </c:spPr>
          <c:invertIfNegative val="0"/>
          <c:cat>
            <c:multiLvlStrRef>
              <c:f>Tabelle2!$R$3:$S$14</c:f>
              <c:multiLvlStrCache>
                <c:ptCount val="12"/>
                <c:lvl>
                  <c:pt idx="0">
                    <c:v>S. lineatum </c:v>
                  </c:pt>
                  <c:pt idx="1">
                    <c:v>S. equinum </c:v>
                  </c:pt>
                  <c:pt idx="2">
                    <c:v>S. erythrocephalum </c:v>
                  </c:pt>
                  <c:pt idx="3">
                    <c:v>S.aureum </c:v>
                  </c:pt>
                  <c:pt idx="4">
                    <c:v>S. trifasciatum </c:v>
                  </c:pt>
                  <c:pt idx="5">
                    <c:v>S. ornatum </c:v>
                  </c:pt>
                  <c:pt idx="6">
                    <c:v>S. vernum </c:v>
                  </c:pt>
                  <c:pt idx="7">
                    <c:v>S. cryophilum </c:v>
                  </c:pt>
                  <c:pt idx="8">
                    <c:v>S. variegatum </c:v>
                  </c:pt>
                  <c:pt idx="9">
                    <c:v>S. reptans </c:v>
                  </c:pt>
                  <c:pt idx="10">
                    <c:v>S. argyreatum </c:v>
                  </c:pt>
                  <c:pt idx="11">
                    <c:v>S. monticola </c:v>
                  </c:pt>
                </c:lvl>
                <c:lvl>
                  <c:pt idx="0">
                    <c:v>C</c:v>
                  </c:pt>
                  <c:pt idx="4">
                    <c:v>B</c:v>
                  </c:pt>
                  <c:pt idx="8">
                    <c:v>A</c:v>
                  </c:pt>
                </c:lvl>
              </c:multiLvlStrCache>
            </c:multiLvlStrRef>
          </c:cat>
          <c:val>
            <c:numRef>
              <c:f>Tabelle2!$T$3:$T$14</c:f>
              <c:numCache>
                <c:formatCode>General</c:formatCode>
                <c:ptCount val="12"/>
                <c:pt idx="0">
                  <c:v>27.716699999999999</c:v>
                </c:pt>
                <c:pt idx="1">
                  <c:v>21.279199999999999</c:v>
                </c:pt>
                <c:pt idx="2">
                  <c:v>1.4658</c:v>
                </c:pt>
                <c:pt idx="3">
                  <c:v>38.360700000000001</c:v>
                </c:pt>
                <c:pt idx="4">
                  <c:v>60.704900000000002</c:v>
                </c:pt>
                <c:pt idx="5">
                  <c:v>31.899799999999999</c:v>
                </c:pt>
                <c:pt idx="6">
                  <c:v>17.799099999999999</c:v>
                </c:pt>
                <c:pt idx="7">
                  <c:v>22.9937</c:v>
                </c:pt>
                <c:pt idx="8">
                  <c:v>37.611400000000003</c:v>
                </c:pt>
                <c:pt idx="9">
                  <c:v>27.2348</c:v>
                </c:pt>
                <c:pt idx="10">
                  <c:v>27.8596</c:v>
                </c:pt>
                <c:pt idx="11">
                  <c:v>27.2913</c:v>
                </c:pt>
              </c:numCache>
            </c:numRef>
          </c:val>
          <c:extLst>
            <c:ext xmlns:c16="http://schemas.microsoft.com/office/drawing/2014/chart" uri="{C3380CC4-5D6E-409C-BE32-E72D297353CC}">
              <c16:uniqueId val="{00000000-523F-49DC-8DF9-BBEFB650E96F}"/>
            </c:ext>
          </c:extLst>
        </c:ser>
        <c:ser>
          <c:idx val="1"/>
          <c:order val="1"/>
          <c:tx>
            <c:strRef>
              <c:f>Tabelle2!$U$2</c:f>
              <c:strCache>
                <c:ptCount val="1"/>
                <c:pt idx="0">
                  <c:v>bio06</c:v>
                </c:pt>
              </c:strCache>
            </c:strRef>
          </c:tx>
          <c:spPr>
            <a:solidFill>
              <a:schemeClr val="accent1"/>
            </a:solidFill>
            <a:ln>
              <a:noFill/>
            </a:ln>
            <a:effectLst/>
          </c:spPr>
          <c:invertIfNegative val="0"/>
          <c:cat>
            <c:multiLvlStrRef>
              <c:f>Tabelle2!$R$3:$S$14</c:f>
              <c:multiLvlStrCache>
                <c:ptCount val="12"/>
                <c:lvl>
                  <c:pt idx="0">
                    <c:v>S. lineatum </c:v>
                  </c:pt>
                  <c:pt idx="1">
                    <c:v>S. equinum </c:v>
                  </c:pt>
                  <c:pt idx="2">
                    <c:v>S. erythrocephalum </c:v>
                  </c:pt>
                  <c:pt idx="3">
                    <c:v>S.aureum </c:v>
                  </c:pt>
                  <c:pt idx="4">
                    <c:v>S. trifasciatum </c:v>
                  </c:pt>
                  <c:pt idx="5">
                    <c:v>S. ornatum </c:v>
                  </c:pt>
                  <c:pt idx="6">
                    <c:v>S. vernum </c:v>
                  </c:pt>
                  <c:pt idx="7">
                    <c:v>S. cryophilum </c:v>
                  </c:pt>
                  <c:pt idx="8">
                    <c:v>S. variegatum </c:v>
                  </c:pt>
                  <c:pt idx="9">
                    <c:v>S. reptans </c:v>
                  </c:pt>
                  <c:pt idx="10">
                    <c:v>S. argyreatum </c:v>
                  </c:pt>
                  <c:pt idx="11">
                    <c:v>S. monticola </c:v>
                  </c:pt>
                </c:lvl>
                <c:lvl>
                  <c:pt idx="0">
                    <c:v>C</c:v>
                  </c:pt>
                  <c:pt idx="4">
                    <c:v>B</c:v>
                  </c:pt>
                  <c:pt idx="8">
                    <c:v>A</c:v>
                  </c:pt>
                </c:lvl>
              </c:multiLvlStrCache>
            </c:multiLvlStrRef>
          </c:cat>
          <c:val>
            <c:numRef>
              <c:f>Tabelle2!$U$3:$U$14</c:f>
              <c:numCache>
                <c:formatCode>General</c:formatCode>
                <c:ptCount val="12"/>
                <c:pt idx="0">
                  <c:v>3.14</c:v>
                </c:pt>
                <c:pt idx="1">
                  <c:v>18.603400000000001</c:v>
                </c:pt>
                <c:pt idx="2">
                  <c:v>14.4923</c:v>
                </c:pt>
                <c:pt idx="3">
                  <c:v>40.646099999999997</c:v>
                </c:pt>
                <c:pt idx="4">
                  <c:v>25.3977</c:v>
                </c:pt>
                <c:pt idx="5">
                  <c:v>13.7783</c:v>
                </c:pt>
                <c:pt idx="6">
                  <c:v>26.585799999999999</c:v>
                </c:pt>
                <c:pt idx="7">
                  <c:v>5.1688000000000001</c:v>
                </c:pt>
                <c:pt idx="8">
                  <c:v>32.304600000000001</c:v>
                </c:pt>
                <c:pt idx="9">
                  <c:v>28.7715</c:v>
                </c:pt>
                <c:pt idx="10">
                  <c:v>10.2636</c:v>
                </c:pt>
                <c:pt idx="11">
                  <c:v>42.513100000000001</c:v>
                </c:pt>
              </c:numCache>
            </c:numRef>
          </c:val>
          <c:extLst>
            <c:ext xmlns:c16="http://schemas.microsoft.com/office/drawing/2014/chart" uri="{C3380CC4-5D6E-409C-BE32-E72D297353CC}">
              <c16:uniqueId val="{00000001-523F-49DC-8DF9-BBEFB650E96F}"/>
            </c:ext>
          </c:extLst>
        </c:ser>
        <c:ser>
          <c:idx val="2"/>
          <c:order val="2"/>
          <c:tx>
            <c:strRef>
              <c:f>Tabelle2!$V$2</c:f>
              <c:strCache>
                <c:ptCount val="1"/>
                <c:pt idx="0">
                  <c:v>elev1</c:v>
                </c:pt>
              </c:strCache>
            </c:strRef>
          </c:tx>
          <c:spPr>
            <a:solidFill>
              <a:schemeClr val="accent3"/>
            </a:solidFill>
            <a:ln>
              <a:noFill/>
            </a:ln>
            <a:effectLst/>
          </c:spPr>
          <c:invertIfNegative val="0"/>
          <c:cat>
            <c:multiLvlStrRef>
              <c:f>Tabelle2!$R$3:$S$14</c:f>
              <c:multiLvlStrCache>
                <c:ptCount val="12"/>
                <c:lvl>
                  <c:pt idx="0">
                    <c:v>S. lineatum </c:v>
                  </c:pt>
                  <c:pt idx="1">
                    <c:v>S. equinum </c:v>
                  </c:pt>
                  <c:pt idx="2">
                    <c:v>S. erythrocephalum </c:v>
                  </c:pt>
                  <c:pt idx="3">
                    <c:v>S.aureum </c:v>
                  </c:pt>
                  <c:pt idx="4">
                    <c:v>S. trifasciatum </c:v>
                  </c:pt>
                  <c:pt idx="5">
                    <c:v>S. ornatum </c:v>
                  </c:pt>
                  <c:pt idx="6">
                    <c:v>S. vernum </c:v>
                  </c:pt>
                  <c:pt idx="7">
                    <c:v>S. cryophilum </c:v>
                  </c:pt>
                  <c:pt idx="8">
                    <c:v>S. variegatum </c:v>
                  </c:pt>
                  <c:pt idx="9">
                    <c:v>S. reptans </c:v>
                  </c:pt>
                  <c:pt idx="10">
                    <c:v>S. argyreatum </c:v>
                  </c:pt>
                  <c:pt idx="11">
                    <c:v>S. monticola </c:v>
                  </c:pt>
                </c:lvl>
                <c:lvl>
                  <c:pt idx="0">
                    <c:v>C</c:v>
                  </c:pt>
                  <c:pt idx="4">
                    <c:v>B</c:v>
                  </c:pt>
                  <c:pt idx="8">
                    <c:v>A</c:v>
                  </c:pt>
                </c:lvl>
              </c:multiLvlStrCache>
            </c:multiLvlStrRef>
          </c:cat>
          <c:val>
            <c:numRef>
              <c:f>Tabelle2!$V$3:$V$14</c:f>
              <c:numCache>
                <c:formatCode>General</c:formatCode>
                <c:ptCount val="12"/>
                <c:pt idx="0">
                  <c:v>64.012</c:v>
                </c:pt>
                <c:pt idx="1">
                  <c:v>38.072299999999998</c:v>
                </c:pt>
                <c:pt idx="2">
                  <c:v>47.423299999999998</c:v>
                </c:pt>
                <c:pt idx="3">
                  <c:v>0.95379999999999998</c:v>
                </c:pt>
                <c:pt idx="4">
                  <c:v>0.40229999999999999</c:v>
                </c:pt>
                <c:pt idx="5">
                  <c:v>20.8996</c:v>
                </c:pt>
                <c:pt idx="6">
                  <c:v>39.907899999999998</c:v>
                </c:pt>
                <c:pt idx="7">
                  <c:v>30.458400000000001</c:v>
                </c:pt>
                <c:pt idx="8">
                  <c:v>2.3807</c:v>
                </c:pt>
                <c:pt idx="9">
                  <c:v>15.4139</c:v>
                </c:pt>
                <c:pt idx="10">
                  <c:v>20.9178</c:v>
                </c:pt>
                <c:pt idx="11">
                  <c:v>0.31380000000000002</c:v>
                </c:pt>
              </c:numCache>
            </c:numRef>
          </c:val>
          <c:extLst>
            <c:ext xmlns:c16="http://schemas.microsoft.com/office/drawing/2014/chart" uri="{C3380CC4-5D6E-409C-BE32-E72D297353CC}">
              <c16:uniqueId val="{00000002-523F-49DC-8DF9-BBEFB650E96F}"/>
            </c:ext>
          </c:extLst>
        </c:ser>
        <c:ser>
          <c:idx val="3"/>
          <c:order val="3"/>
          <c:tx>
            <c:strRef>
              <c:f>Tabelle2!$W$2</c:f>
              <c:strCache>
                <c:ptCount val="1"/>
                <c:pt idx="0">
                  <c:v>slope4</c:v>
                </c:pt>
              </c:strCache>
            </c:strRef>
          </c:tx>
          <c:spPr>
            <a:solidFill>
              <a:schemeClr val="accent6"/>
            </a:solidFill>
            <a:ln>
              <a:noFill/>
            </a:ln>
            <a:effectLst/>
          </c:spPr>
          <c:invertIfNegative val="0"/>
          <c:cat>
            <c:multiLvlStrRef>
              <c:f>Tabelle2!$R$3:$S$14</c:f>
              <c:multiLvlStrCache>
                <c:ptCount val="12"/>
                <c:lvl>
                  <c:pt idx="0">
                    <c:v>S. lineatum </c:v>
                  </c:pt>
                  <c:pt idx="1">
                    <c:v>S. equinum </c:v>
                  </c:pt>
                  <c:pt idx="2">
                    <c:v>S. erythrocephalum </c:v>
                  </c:pt>
                  <c:pt idx="3">
                    <c:v>S.aureum </c:v>
                  </c:pt>
                  <c:pt idx="4">
                    <c:v>S. trifasciatum </c:v>
                  </c:pt>
                  <c:pt idx="5">
                    <c:v>S. ornatum </c:v>
                  </c:pt>
                  <c:pt idx="6">
                    <c:v>S. vernum </c:v>
                  </c:pt>
                  <c:pt idx="7">
                    <c:v>S. cryophilum </c:v>
                  </c:pt>
                  <c:pt idx="8">
                    <c:v>S. variegatum </c:v>
                  </c:pt>
                  <c:pt idx="9">
                    <c:v>S. reptans </c:v>
                  </c:pt>
                  <c:pt idx="10">
                    <c:v>S. argyreatum </c:v>
                  </c:pt>
                  <c:pt idx="11">
                    <c:v>S. monticola </c:v>
                  </c:pt>
                </c:lvl>
                <c:lvl>
                  <c:pt idx="0">
                    <c:v>C</c:v>
                  </c:pt>
                  <c:pt idx="4">
                    <c:v>B</c:v>
                  </c:pt>
                  <c:pt idx="8">
                    <c:v>A</c:v>
                  </c:pt>
                </c:lvl>
              </c:multiLvlStrCache>
            </c:multiLvlStrRef>
          </c:cat>
          <c:val>
            <c:numRef>
              <c:f>Tabelle2!$W$3:$W$14</c:f>
              <c:numCache>
                <c:formatCode>General</c:formatCode>
                <c:ptCount val="12"/>
                <c:pt idx="0">
                  <c:v>4.9298999999999999</c:v>
                </c:pt>
                <c:pt idx="1">
                  <c:v>17.560600000000001</c:v>
                </c:pt>
                <c:pt idx="2">
                  <c:v>23.592500000000001</c:v>
                </c:pt>
                <c:pt idx="3">
                  <c:v>11.5144</c:v>
                </c:pt>
                <c:pt idx="4">
                  <c:v>0.46550000000000002</c:v>
                </c:pt>
                <c:pt idx="5">
                  <c:v>21.999700000000001</c:v>
                </c:pt>
                <c:pt idx="6">
                  <c:v>5.1585000000000001</c:v>
                </c:pt>
                <c:pt idx="7">
                  <c:v>22.561</c:v>
                </c:pt>
                <c:pt idx="8">
                  <c:v>1.4153</c:v>
                </c:pt>
                <c:pt idx="9">
                  <c:v>4.1295999999999999</c:v>
                </c:pt>
                <c:pt idx="10">
                  <c:v>0.2205</c:v>
                </c:pt>
                <c:pt idx="11">
                  <c:v>2.6387</c:v>
                </c:pt>
              </c:numCache>
            </c:numRef>
          </c:val>
          <c:extLst>
            <c:ext xmlns:c16="http://schemas.microsoft.com/office/drawing/2014/chart" uri="{C3380CC4-5D6E-409C-BE32-E72D297353CC}">
              <c16:uniqueId val="{00000003-523F-49DC-8DF9-BBEFB650E96F}"/>
            </c:ext>
          </c:extLst>
        </c:ser>
        <c:ser>
          <c:idx val="4"/>
          <c:order val="4"/>
          <c:tx>
            <c:strRef>
              <c:f>Tabelle2!$X$2</c:f>
              <c:strCache>
                <c:ptCount val="1"/>
                <c:pt idx="0">
                  <c:v>LC7</c:v>
                </c:pt>
              </c:strCache>
            </c:strRef>
          </c:tx>
          <c:spPr>
            <a:solidFill>
              <a:schemeClr val="accent4"/>
            </a:solidFill>
            <a:ln>
              <a:noFill/>
            </a:ln>
            <a:effectLst/>
          </c:spPr>
          <c:invertIfNegative val="0"/>
          <c:cat>
            <c:multiLvlStrRef>
              <c:f>Tabelle2!$R$3:$S$14</c:f>
              <c:multiLvlStrCache>
                <c:ptCount val="12"/>
                <c:lvl>
                  <c:pt idx="0">
                    <c:v>S. lineatum </c:v>
                  </c:pt>
                  <c:pt idx="1">
                    <c:v>S. equinum </c:v>
                  </c:pt>
                  <c:pt idx="2">
                    <c:v>S. erythrocephalum </c:v>
                  </c:pt>
                  <c:pt idx="3">
                    <c:v>S.aureum </c:v>
                  </c:pt>
                  <c:pt idx="4">
                    <c:v>S. trifasciatum </c:v>
                  </c:pt>
                  <c:pt idx="5">
                    <c:v>S. ornatum </c:v>
                  </c:pt>
                  <c:pt idx="6">
                    <c:v>S. vernum </c:v>
                  </c:pt>
                  <c:pt idx="7">
                    <c:v>S. cryophilum </c:v>
                  </c:pt>
                  <c:pt idx="8">
                    <c:v>S. variegatum </c:v>
                  </c:pt>
                  <c:pt idx="9">
                    <c:v>S. reptans </c:v>
                  </c:pt>
                  <c:pt idx="10">
                    <c:v>S. argyreatum </c:v>
                  </c:pt>
                  <c:pt idx="11">
                    <c:v>S. monticola </c:v>
                  </c:pt>
                </c:lvl>
                <c:lvl>
                  <c:pt idx="0">
                    <c:v>C</c:v>
                  </c:pt>
                  <c:pt idx="4">
                    <c:v>B</c:v>
                  </c:pt>
                  <c:pt idx="8">
                    <c:v>A</c:v>
                  </c:pt>
                </c:lvl>
              </c:multiLvlStrCache>
            </c:multiLvlStrRef>
          </c:cat>
          <c:val>
            <c:numRef>
              <c:f>Tabelle2!$X$3:$X$14</c:f>
              <c:numCache>
                <c:formatCode>General</c:formatCode>
                <c:ptCount val="12"/>
                <c:pt idx="0">
                  <c:v>0.2014</c:v>
                </c:pt>
                <c:pt idx="1">
                  <c:v>4.4843999999999999</c:v>
                </c:pt>
                <c:pt idx="2">
                  <c:v>13.026199999999999</c:v>
                </c:pt>
                <c:pt idx="3">
                  <c:v>8.5250000000000004</c:v>
                </c:pt>
                <c:pt idx="4">
                  <c:v>13.0297</c:v>
                </c:pt>
                <c:pt idx="5">
                  <c:v>11.422599999999999</c:v>
                </c:pt>
                <c:pt idx="6">
                  <c:v>10.5488</c:v>
                </c:pt>
                <c:pt idx="7">
                  <c:v>18.818000000000001</c:v>
                </c:pt>
                <c:pt idx="8">
                  <c:v>26.2881</c:v>
                </c:pt>
                <c:pt idx="9">
                  <c:v>24.450199999999999</c:v>
                </c:pt>
                <c:pt idx="10">
                  <c:v>40.738700000000001</c:v>
                </c:pt>
                <c:pt idx="11">
                  <c:v>27.243099999999998</c:v>
                </c:pt>
              </c:numCache>
            </c:numRef>
          </c:val>
          <c:extLst>
            <c:ext xmlns:c16="http://schemas.microsoft.com/office/drawing/2014/chart" uri="{C3380CC4-5D6E-409C-BE32-E72D297353CC}">
              <c16:uniqueId val="{00000004-523F-49DC-8DF9-BBEFB650E96F}"/>
            </c:ext>
          </c:extLst>
        </c:ser>
        <c:dLbls>
          <c:showLegendKey val="0"/>
          <c:showVal val="0"/>
          <c:showCatName val="0"/>
          <c:showSerName val="0"/>
          <c:showPercent val="0"/>
          <c:showBubbleSize val="0"/>
        </c:dLbls>
        <c:gapWidth val="150"/>
        <c:overlap val="100"/>
        <c:axId val="480902816"/>
        <c:axId val="480913152"/>
      </c:barChart>
      <c:catAx>
        <c:axId val="4809028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480913152"/>
        <c:crosses val="autoZero"/>
        <c:auto val="1"/>
        <c:lblAlgn val="ctr"/>
        <c:lblOffset val="100"/>
        <c:noMultiLvlLbl val="0"/>
      </c:catAx>
      <c:valAx>
        <c:axId val="48091315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02816"/>
        <c:crosses val="autoZero"/>
        <c:crossBetween val="between"/>
        <c:majorUnit val="10"/>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7CB"/>
    <w:rsid w:val="000147CB"/>
    <w:rsid w:val="00B0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7C165D17B094CB0867D38F8E069FD40">
    <w:name w:val="C7C165D17B094CB0867D38F8E069FD40"/>
    <w:rsid w:val="00014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1BB8-6312-4553-B53A-BDE94DA9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744</Words>
  <Characters>4243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Goethe-Universität Frankfurt am Main</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Cunze</dc:creator>
  <cp:keywords/>
  <dc:description/>
  <cp:lastModifiedBy>Sarah Cunze</cp:lastModifiedBy>
  <cp:revision>1</cp:revision>
  <dcterms:created xsi:type="dcterms:W3CDTF">2023-11-14T15:23:00Z</dcterms:created>
  <dcterms:modified xsi:type="dcterms:W3CDTF">2023-11-14T15:40:00Z</dcterms:modified>
</cp:coreProperties>
</file>