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C8CB0" w14:textId="1BB88F74" w:rsidR="00FA70A3" w:rsidRPr="002B648B" w:rsidRDefault="00881323" w:rsidP="001564AC">
      <w:pPr>
        <w:spacing w:line="360" w:lineRule="auto"/>
        <w:jc w:val="both"/>
        <w:rPr>
          <w:rFonts w:ascii="Times New Roman" w:hAnsi="Times New Roman" w:cs="Times New Roman"/>
          <w:b/>
          <w:lang w:val="en-US"/>
        </w:rPr>
      </w:pPr>
      <w:r w:rsidRPr="00D67990">
        <w:rPr>
          <w:rFonts w:ascii="Times New Roman" w:hAnsi="Times New Roman" w:cs="Times New Roman"/>
          <w:b/>
          <w:bCs/>
          <w:lang w:val="en-US"/>
        </w:rPr>
        <w:t>Supplementary material for “</w:t>
      </w:r>
      <w:r w:rsidR="0069158F" w:rsidRPr="0069158F">
        <w:rPr>
          <w:rFonts w:ascii="Times New Roman" w:hAnsi="Times New Roman" w:cs="Times New Roman"/>
          <w:b/>
          <w:lang w:val="en-US"/>
        </w:rPr>
        <w:t xml:space="preserve">Homozygous missense </w:t>
      </w:r>
      <w:r w:rsidR="0069158F" w:rsidRPr="009E3D44">
        <w:rPr>
          <w:rFonts w:ascii="Times New Roman" w:hAnsi="Times New Roman" w:cs="Times New Roman"/>
          <w:b/>
          <w:i/>
          <w:iCs/>
          <w:lang w:val="en-US"/>
        </w:rPr>
        <w:t>WIPI2</w:t>
      </w:r>
      <w:r w:rsidR="0069158F" w:rsidRPr="0069158F">
        <w:rPr>
          <w:rFonts w:ascii="Times New Roman" w:hAnsi="Times New Roman" w:cs="Times New Roman"/>
          <w:b/>
          <w:lang w:val="en-US"/>
        </w:rPr>
        <w:t xml:space="preserve"> variants cause a congenital disorder of autophagy with neurodevelopmental impairments of variable clinical severity and disease course</w:t>
      </w:r>
      <w:r w:rsidRPr="002B648B">
        <w:rPr>
          <w:rFonts w:ascii="Times New Roman" w:hAnsi="Times New Roman" w:cs="Times New Roman"/>
          <w:b/>
          <w:lang w:val="en-US"/>
        </w:rPr>
        <w:t>”</w:t>
      </w:r>
    </w:p>
    <w:p w14:paraId="06EA0667" w14:textId="77777777" w:rsidR="00D1661E" w:rsidRPr="00D67990" w:rsidRDefault="00D1661E" w:rsidP="00D1661E">
      <w:pPr>
        <w:spacing w:line="480" w:lineRule="auto"/>
        <w:rPr>
          <w:rFonts w:ascii="Times New Roman" w:hAnsi="Times New Roman" w:cs="Times New Roman"/>
          <w:bCs/>
          <w:lang w:val="en-US"/>
        </w:rPr>
      </w:pPr>
    </w:p>
    <w:p w14:paraId="5091A800" w14:textId="5E214E46" w:rsidR="0079220F" w:rsidRPr="00D67990" w:rsidRDefault="00D56A81" w:rsidP="00D1661E">
      <w:pPr>
        <w:spacing w:line="480" w:lineRule="auto"/>
        <w:rPr>
          <w:rFonts w:ascii="Times New Roman" w:hAnsi="Times New Roman" w:cs="Times New Roman"/>
          <w:bCs/>
          <w:lang w:val="en-US"/>
        </w:rPr>
      </w:pPr>
      <w:r w:rsidRPr="00D67990">
        <w:rPr>
          <w:rFonts w:ascii="Times New Roman" w:hAnsi="Times New Roman" w:cs="Times New Roman"/>
          <w:bCs/>
          <w:lang w:val="en-US"/>
        </w:rPr>
        <w:t>1</w:t>
      </w:r>
      <w:r w:rsidR="00E23B3E" w:rsidRPr="00D67990">
        <w:rPr>
          <w:rFonts w:ascii="Times New Roman" w:hAnsi="Times New Roman" w:cs="Times New Roman"/>
          <w:bCs/>
          <w:lang w:val="en-US"/>
        </w:rPr>
        <w:t>. Supplementary Case Reports</w:t>
      </w:r>
    </w:p>
    <w:p w14:paraId="12777EC5" w14:textId="19370AC8" w:rsidR="00D67990" w:rsidRPr="00D67990" w:rsidRDefault="00D56A81" w:rsidP="00D67990">
      <w:pPr>
        <w:spacing w:line="480" w:lineRule="auto"/>
        <w:rPr>
          <w:rFonts w:ascii="Times New Roman" w:hAnsi="Times New Roman" w:cs="Times New Roman"/>
          <w:bCs/>
          <w:lang w:val="en-US"/>
        </w:rPr>
      </w:pPr>
      <w:r w:rsidRPr="00D67990">
        <w:rPr>
          <w:rFonts w:ascii="Times New Roman" w:hAnsi="Times New Roman" w:cs="Times New Roman"/>
          <w:bCs/>
          <w:lang w:val="en-US"/>
        </w:rPr>
        <w:t>2</w:t>
      </w:r>
      <w:r w:rsidR="008D134C" w:rsidRPr="00D67990">
        <w:rPr>
          <w:rFonts w:ascii="Times New Roman" w:hAnsi="Times New Roman" w:cs="Times New Roman"/>
          <w:bCs/>
          <w:lang w:val="en-US"/>
        </w:rPr>
        <w:t>. Supplementary Tables</w:t>
      </w:r>
    </w:p>
    <w:p w14:paraId="0EE3BB0A" w14:textId="77777777" w:rsidR="00D56A81" w:rsidRDefault="00D56A81" w:rsidP="00C75904">
      <w:pPr>
        <w:spacing w:line="480" w:lineRule="auto"/>
        <w:jc w:val="both"/>
        <w:rPr>
          <w:rFonts w:ascii="Times New Roman" w:hAnsi="Times New Roman" w:cs="Times New Roman"/>
          <w:b/>
          <w:bCs/>
          <w:lang w:val="en-US"/>
        </w:rPr>
      </w:pPr>
    </w:p>
    <w:p w14:paraId="0154B174" w14:textId="611004B2" w:rsidR="00E23B3E" w:rsidRPr="00C75904" w:rsidRDefault="00D56A81" w:rsidP="00C75904">
      <w:pPr>
        <w:spacing w:line="480" w:lineRule="auto"/>
        <w:jc w:val="both"/>
        <w:rPr>
          <w:rFonts w:ascii="Times New Roman" w:hAnsi="Times New Roman" w:cs="Times New Roman"/>
          <w:b/>
          <w:bCs/>
          <w:lang w:val="en-US"/>
        </w:rPr>
      </w:pPr>
      <w:r>
        <w:rPr>
          <w:rFonts w:ascii="Times New Roman" w:hAnsi="Times New Roman" w:cs="Times New Roman"/>
          <w:b/>
          <w:bCs/>
          <w:lang w:val="en-US"/>
        </w:rPr>
        <w:t>1</w:t>
      </w:r>
      <w:r w:rsidR="00E23B3E" w:rsidRPr="00C75904">
        <w:rPr>
          <w:rFonts w:ascii="Times New Roman" w:hAnsi="Times New Roman" w:cs="Times New Roman"/>
          <w:b/>
          <w:bCs/>
          <w:lang w:val="en-US"/>
        </w:rPr>
        <w:t>. Supplementary Case Reports</w:t>
      </w:r>
    </w:p>
    <w:p w14:paraId="5404B154" w14:textId="77777777" w:rsidR="00CF36EE" w:rsidRPr="00C75904" w:rsidRDefault="00CF36EE" w:rsidP="00C75904">
      <w:pPr>
        <w:spacing w:line="480" w:lineRule="auto"/>
        <w:jc w:val="both"/>
        <w:rPr>
          <w:rFonts w:ascii="Times New Roman" w:hAnsi="Times New Roman" w:cs="Times New Roman"/>
          <w:b/>
          <w:bCs/>
          <w:lang w:val="en-US"/>
        </w:rPr>
      </w:pPr>
    </w:p>
    <w:p w14:paraId="428AD169" w14:textId="6CDC21AC" w:rsidR="00CF36EE" w:rsidRPr="00C75904" w:rsidRDefault="00CF36EE" w:rsidP="00C75904">
      <w:pPr>
        <w:spacing w:line="480" w:lineRule="auto"/>
        <w:jc w:val="both"/>
        <w:rPr>
          <w:rFonts w:ascii="Times New Roman" w:hAnsi="Times New Roman" w:cs="Times New Roman"/>
          <w:lang w:val="en-US"/>
        </w:rPr>
      </w:pPr>
      <w:r w:rsidRPr="00C75904">
        <w:rPr>
          <w:rFonts w:ascii="Times New Roman" w:hAnsi="Times New Roman" w:cs="Times New Roman"/>
          <w:b/>
          <w:bCs/>
          <w:lang w:val="en-US"/>
        </w:rPr>
        <w:t>Family 1</w:t>
      </w:r>
    </w:p>
    <w:p w14:paraId="29285BA6" w14:textId="3DFF1D4C" w:rsidR="00E23B3E" w:rsidRPr="00C75904" w:rsidRDefault="00CF36EE" w:rsidP="00C75904">
      <w:pPr>
        <w:spacing w:line="480" w:lineRule="auto"/>
        <w:jc w:val="both"/>
        <w:rPr>
          <w:rFonts w:ascii="Times New Roman" w:hAnsi="Times New Roman" w:cs="Times New Roman"/>
          <w:lang w:val="en-US"/>
        </w:rPr>
      </w:pPr>
      <w:r w:rsidRPr="00C75904">
        <w:rPr>
          <w:rFonts w:ascii="Times New Roman" w:hAnsi="Times New Roman" w:cs="Times New Roman"/>
          <w:lang w:val="en-US"/>
        </w:rPr>
        <w:t xml:space="preserve">Family 1 presents with </w:t>
      </w:r>
      <w:r w:rsidR="00E23B3E" w:rsidRPr="00C75904">
        <w:rPr>
          <w:rFonts w:ascii="Times New Roman" w:hAnsi="Times New Roman" w:cs="Times New Roman"/>
          <w:lang w:val="en-US"/>
        </w:rPr>
        <w:t>3 affected children</w:t>
      </w:r>
      <w:r w:rsidRPr="00C75904">
        <w:rPr>
          <w:rFonts w:ascii="Times New Roman" w:hAnsi="Times New Roman" w:cs="Times New Roman"/>
          <w:lang w:val="en-US"/>
        </w:rPr>
        <w:t xml:space="preserve"> </w:t>
      </w:r>
      <w:r w:rsidR="003C73FA" w:rsidRPr="00C75904">
        <w:rPr>
          <w:rFonts w:ascii="Times New Roman" w:hAnsi="Times New Roman" w:cs="Times New Roman"/>
          <w:lang w:val="en-US"/>
        </w:rPr>
        <w:t>of</w:t>
      </w:r>
      <w:r w:rsidRPr="00C75904">
        <w:rPr>
          <w:rFonts w:ascii="Times New Roman" w:hAnsi="Times New Roman" w:cs="Times New Roman"/>
          <w:lang w:val="en-US"/>
        </w:rPr>
        <w:t xml:space="preserve"> Egyptian</w:t>
      </w:r>
      <w:r w:rsidR="003C73FA" w:rsidRPr="00C75904">
        <w:rPr>
          <w:rFonts w:ascii="Times New Roman" w:hAnsi="Times New Roman" w:cs="Times New Roman"/>
          <w:lang w:val="en-US"/>
        </w:rPr>
        <w:t xml:space="preserve"> origin</w:t>
      </w:r>
      <w:r w:rsidRPr="00C75904">
        <w:rPr>
          <w:rFonts w:ascii="Times New Roman" w:hAnsi="Times New Roman" w:cs="Times New Roman"/>
          <w:lang w:val="en-US"/>
        </w:rPr>
        <w:t xml:space="preserve">. </w:t>
      </w:r>
      <w:r w:rsidR="00E23B3E" w:rsidRPr="00C75904">
        <w:rPr>
          <w:rFonts w:ascii="Times New Roman" w:hAnsi="Times New Roman" w:cs="Times New Roman"/>
          <w:lang w:val="en-US"/>
        </w:rPr>
        <w:t>Parents are healthy first cousins</w:t>
      </w:r>
      <w:r w:rsidR="004F1DC0" w:rsidRPr="00C75904">
        <w:rPr>
          <w:rFonts w:ascii="Times New Roman" w:hAnsi="Times New Roman" w:cs="Times New Roman"/>
          <w:lang w:val="en-US"/>
        </w:rPr>
        <w:t>. P</w:t>
      </w:r>
      <w:r w:rsidR="00E23B3E" w:rsidRPr="00C75904">
        <w:rPr>
          <w:rFonts w:ascii="Times New Roman" w:hAnsi="Times New Roman" w:cs="Times New Roman"/>
          <w:lang w:val="en-US"/>
        </w:rPr>
        <w:t>aternal and maternal ages were 40 and 37</w:t>
      </w:r>
      <w:r w:rsidR="004F1DC0" w:rsidRPr="00C75904">
        <w:rPr>
          <w:rFonts w:ascii="Times New Roman" w:hAnsi="Times New Roman" w:cs="Times New Roman"/>
          <w:lang w:val="en-US"/>
        </w:rPr>
        <w:t xml:space="preserve"> </w:t>
      </w:r>
      <w:r w:rsidR="00E23B3E" w:rsidRPr="00C75904">
        <w:rPr>
          <w:rFonts w:ascii="Times New Roman" w:hAnsi="Times New Roman" w:cs="Times New Roman"/>
          <w:lang w:val="en-US"/>
        </w:rPr>
        <w:t xml:space="preserve">years old, respectively. Apart from the reported patients, they had </w:t>
      </w:r>
      <w:r w:rsidR="004F1DC0" w:rsidRPr="00C75904">
        <w:rPr>
          <w:rFonts w:ascii="Times New Roman" w:hAnsi="Times New Roman" w:cs="Times New Roman"/>
          <w:lang w:val="en-US"/>
        </w:rPr>
        <w:t>healthy</w:t>
      </w:r>
      <w:r w:rsidR="00E23B3E" w:rsidRPr="00C75904">
        <w:rPr>
          <w:rFonts w:ascii="Times New Roman" w:hAnsi="Times New Roman" w:cs="Times New Roman"/>
          <w:lang w:val="en-US"/>
        </w:rPr>
        <w:t xml:space="preserve"> male offspring. Pregnancy and delivery histories for all </w:t>
      </w:r>
      <w:r w:rsidR="004F1DC0" w:rsidRPr="00C75904">
        <w:rPr>
          <w:rFonts w:ascii="Times New Roman" w:hAnsi="Times New Roman" w:cs="Times New Roman"/>
          <w:lang w:val="en-US"/>
        </w:rPr>
        <w:t>siblings</w:t>
      </w:r>
      <w:r w:rsidR="00E23B3E" w:rsidRPr="00C75904">
        <w:rPr>
          <w:rFonts w:ascii="Times New Roman" w:hAnsi="Times New Roman" w:cs="Times New Roman"/>
          <w:lang w:val="en-US"/>
        </w:rPr>
        <w:t xml:space="preserve"> were uneventful, with average growth parameters at birth and regular neonatal course. </w:t>
      </w:r>
    </w:p>
    <w:p w14:paraId="0C50C51A" w14:textId="6B889191" w:rsidR="00E23B3E" w:rsidRPr="00C75904" w:rsidRDefault="00E23B3E" w:rsidP="00C75904">
      <w:pPr>
        <w:spacing w:line="480" w:lineRule="auto"/>
        <w:jc w:val="both"/>
        <w:rPr>
          <w:rFonts w:ascii="Times New Roman" w:hAnsi="Times New Roman" w:cs="Times New Roman"/>
          <w:lang w:val="en-US"/>
        </w:rPr>
      </w:pPr>
      <w:r w:rsidRPr="00C75904">
        <w:rPr>
          <w:rFonts w:ascii="Times New Roman" w:hAnsi="Times New Roman" w:cs="Times New Roman"/>
          <w:lang w:val="en-US"/>
        </w:rPr>
        <w:tab/>
      </w:r>
      <w:r w:rsidR="00903CA5">
        <w:rPr>
          <w:rFonts w:ascii="Times New Roman" w:hAnsi="Times New Roman" w:cs="Times New Roman"/>
          <w:lang w:val="en-US"/>
        </w:rPr>
        <w:t xml:space="preserve">Case </w:t>
      </w:r>
      <w:r w:rsidR="00903CA5" w:rsidRPr="00903CA5">
        <w:rPr>
          <w:rFonts w:ascii="Times New Roman" w:hAnsi="Times New Roman" w:cs="Times New Roman"/>
          <w:lang w:val="en-US"/>
        </w:rPr>
        <w:t>F1-IV:1</w:t>
      </w:r>
      <w:r w:rsidR="00903CA5">
        <w:rPr>
          <w:rFonts w:ascii="Times New Roman" w:hAnsi="Times New Roman" w:cs="Times New Roman"/>
          <w:lang w:val="en-US"/>
        </w:rPr>
        <w:t xml:space="preserve"> </w:t>
      </w:r>
      <w:r w:rsidRPr="00C75904">
        <w:rPr>
          <w:rFonts w:ascii="Times New Roman" w:hAnsi="Times New Roman" w:cs="Times New Roman"/>
          <w:lang w:val="en-US"/>
        </w:rPr>
        <w:t>was the oldest girl in the family, aged 13 years old</w:t>
      </w:r>
      <w:r w:rsidR="004F1DC0" w:rsidRPr="00C75904">
        <w:rPr>
          <w:rFonts w:ascii="Times New Roman" w:hAnsi="Times New Roman" w:cs="Times New Roman"/>
          <w:lang w:val="en-US"/>
        </w:rPr>
        <w:t xml:space="preserve"> at the first clinical evaluation. She had</w:t>
      </w:r>
      <w:r w:rsidRPr="00C75904">
        <w:rPr>
          <w:rFonts w:ascii="Times New Roman" w:hAnsi="Times New Roman" w:cs="Times New Roman"/>
          <w:lang w:val="en-US"/>
        </w:rPr>
        <w:t xml:space="preserve"> </w:t>
      </w:r>
      <w:r w:rsidR="00C11BA6" w:rsidRPr="00C75904">
        <w:rPr>
          <w:rFonts w:ascii="Times New Roman" w:hAnsi="Times New Roman" w:cs="Times New Roman"/>
          <w:lang w:val="en-US"/>
        </w:rPr>
        <w:t xml:space="preserve">a </w:t>
      </w:r>
      <w:r w:rsidRPr="00C75904">
        <w:rPr>
          <w:rFonts w:ascii="Times New Roman" w:hAnsi="Times New Roman" w:cs="Times New Roman"/>
          <w:lang w:val="en-US"/>
        </w:rPr>
        <w:t xml:space="preserve">severe </w:t>
      </w:r>
      <w:r w:rsidR="004F1DC0" w:rsidRPr="00C75904">
        <w:rPr>
          <w:rFonts w:ascii="Times New Roman" w:hAnsi="Times New Roman" w:cs="Times New Roman"/>
          <w:lang w:val="en-US"/>
        </w:rPr>
        <w:t xml:space="preserve">psychomotor </w:t>
      </w:r>
      <w:r w:rsidRPr="00C75904">
        <w:rPr>
          <w:rFonts w:ascii="Times New Roman" w:hAnsi="Times New Roman" w:cs="Times New Roman"/>
          <w:lang w:val="en-US"/>
        </w:rPr>
        <w:t>delay</w:t>
      </w:r>
      <w:r w:rsidR="004F1DC0" w:rsidRPr="00C75904">
        <w:rPr>
          <w:rFonts w:ascii="Times New Roman" w:hAnsi="Times New Roman" w:cs="Times New Roman"/>
          <w:lang w:val="en-US"/>
        </w:rPr>
        <w:t xml:space="preserve"> and</w:t>
      </w:r>
      <w:r w:rsidRPr="00C75904">
        <w:rPr>
          <w:rFonts w:ascii="Times New Roman" w:hAnsi="Times New Roman" w:cs="Times New Roman"/>
          <w:lang w:val="en-US"/>
        </w:rPr>
        <w:t xml:space="preserve"> mild hypotonia </w:t>
      </w:r>
      <w:r w:rsidR="004F1DC0" w:rsidRPr="00C75904">
        <w:rPr>
          <w:rFonts w:ascii="Times New Roman" w:hAnsi="Times New Roman" w:cs="Times New Roman"/>
          <w:lang w:val="en-US"/>
        </w:rPr>
        <w:t>during</w:t>
      </w:r>
      <w:r w:rsidRPr="00C75904">
        <w:rPr>
          <w:rFonts w:ascii="Times New Roman" w:hAnsi="Times New Roman" w:cs="Times New Roman"/>
          <w:lang w:val="en-US"/>
        </w:rPr>
        <w:t xml:space="preserve"> infancy</w:t>
      </w:r>
      <w:r w:rsidR="00E914B3" w:rsidRPr="00C75904">
        <w:rPr>
          <w:rFonts w:ascii="Times New Roman" w:hAnsi="Times New Roman" w:cs="Times New Roman"/>
          <w:lang w:val="en-US"/>
        </w:rPr>
        <w:t xml:space="preserve">. </w:t>
      </w:r>
      <w:r w:rsidR="004F1DC0" w:rsidRPr="00C75904">
        <w:rPr>
          <w:rFonts w:ascii="Times New Roman" w:hAnsi="Times New Roman" w:cs="Times New Roman"/>
          <w:lang w:val="en-US"/>
        </w:rPr>
        <w:t>A</w:t>
      </w:r>
      <w:r w:rsidRPr="00C75904">
        <w:rPr>
          <w:rFonts w:ascii="Times New Roman" w:hAnsi="Times New Roman" w:cs="Times New Roman"/>
          <w:lang w:val="en-US"/>
        </w:rPr>
        <w:t>t 2 years</w:t>
      </w:r>
      <w:r w:rsidR="004F1DC0" w:rsidRPr="00C75904">
        <w:rPr>
          <w:rFonts w:ascii="Times New Roman" w:hAnsi="Times New Roman" w:cs="Times New Roman"/>
          <w:lang w:val="en-US"/>
        </w:rPr>
        <w:t xml:space="preserve">, </w:t>
      </w:r>
      <w:r w:rsidR="00E914B3" w:rsidRPr="00C75904">
        <w:rPr>
          <w:rFonts w:ascii="Times New Roman" w:hAnsi="Times New Roman" w:cs="Times New Roman"/>
          <w:lang w:val="en-US"/>
        </w:rPr>
        <w:t>the patient</w:t>
      </w:r>
      <w:r w:rsidR="004F1DC0" w:rsidRPr="00C75904">
        <w:rPr>
          <w:rFonts w:ascii="Times New Roman" w:hAnsi="Times New Roman" w:cs="Times New Roman"/>
          <w:lang w:val="en-US"/>
        </w:rPr>
        <w:t xml:space="preserve"> started to suffer from epilepsy</w:t>
      </w:r>
      <w:r w:rsidRPr="00C75904">
        <w:rPr>
          <w:rFonts w:ascii="Times New Roman" w:hAnsi="Times New Roman" w:cs="Times New Roman"/>
          <w:lang w:val="en-US"/>
        </w:rPr>
        <w:t xml:space="preserve"> </w:t>
      </w:r>
      <w:r w:rsidR="00E914B3" w:rsidRPr="00C75904">
        <w:rPr>
          <w:rFonts w:ascii="Times New Roman" w:hAnsi="Times New Roman" w:cs="Times New Roman"/>
          <w:lang w:val="en-US"/>
        </w:rPr>
        <w:t>with</w:t>
      </w:r>
      <w:r w:rsidRPr="00C75904">
        <w:rPr>
          <w:rFonts w:ascii="Times New Roman" w:hAnsi="Times New Roman" w:cs="Times New Roman"/>
          <w:lang w:val="en-US"/>
        </w:rPr>
        <w:t xml:space="preserve"> generalized myoclonic seizures. Additionally, tonic seizures with cyanosis </w:t>
      </w:r>
      <w:r w:rsidR="00E914B3" w:rsidRPr="00C75904">
        <w:rPr>
          <w:rFonts w:ascii="Times New Roman" w:hAnsi="Times New Roman" w:cs="Times New Roman"/>
          <w:lang w:val="en-US"/>
        </w:rPr>
        <w:t>started 2 years later</w:t>
      </w:r>
      <w:r w:rsidRPr="00C75904">
        <w:rPr>
          <w:rFonts w:ascii="Times New Roman" w:hAnsi="Times New Roman" w:cs="Times New Roman"/>
          <w:lang w:val="en-US"/>
        </w:rPr>
        <w:t xml:space="preserve">. </w:t>
      </w:r>
      <w:r w:rsidR="004F1DC0" w:rsidRPr="00C75904">
        <w:rPr>
          <w:rFonts w:ascii="Times New Roman" w:hAnsi="Times New Roman" w:cs="Times New Roman"/>
          <w:lang w:val="en-US"/>
        </w:rPr>
        <w:t>Multi-drug therapy with</w:t>
      </w:r>
      <w:r w:rsidRPr="00C75904">
        <w:rPr>
          <w:rFonts w:ascii="Times New Roman" w:hAnsi="Times New Roman" w:cs="Times New Roman"/>
          <w:lang w:val="en-US"/>
        </w:rPr>
        <w:t xml:space="preserve"> valproate, levetiracetam, clonazepam, </w:t>
      </w:r>
      <w:r w:rsidR="004F1DC0" w:rsidRPr="00C75904">
        <w:rPr>
          <w:rFonts w:ascii="Times New Roman" w:hAnsi="Times New Roman" w:cs="Times New Roman"/>
          <w:lang w:val="en-US"/>
        </w:rPr>
        <w:t xml:space="preserve">and </w:t>
      </w:r>
      <w:r w:rsidRPr="00C75904">
        <w:rPr>
          <w:rFonts w:ascii="Times New Roman" w:hAnsi="Times New Roman" w:cs="Times New Roman"/>
          <w:lang w:val="en-US"/>
        </w:rPr>
        <w:t xml:space="preserve">topiramate failed to control </w:t>
      </w:r>
      <w:r w:rsidR="00E914B3" w:rsidRPr="00C75904">
        <w:rPr>
          <w:rFonts w:ascii="Times New Roman" w:hAnsi="Times New Roman" w:cs="Times New Roman"/>
          <w:lang w:val="en-US"/>
        </w:rPr>
        <w:t>seizures</w:t>
      </w:r>
      <w:r w:rsidRPr="00C75904">
        <w:rPr>
          <w:rFonts w:ascii="Times New Roman" w:hAnsi="Times New Roman" w:cs="Times New Roman"/>
          <w:lang w:val="en-US"/>
        </w:rPr>
        <w:t xml:space="preserve">. </w:t>
      </w:r>
      <w:r w:rsidR="00AC159F" w:rsidRPr="00C75904">
        <w:rPr>
          <w:rFonts w:ascii="Times New Roman" w:hAnsi="Times New Roman" w:cs="Times New Roman"/>
          <w:lang w:val="en-US"/>
        </w:rPr>
        <w:t>EEG showed bilateral temporo-parietal epileptogenic discharges</w:t>
      </w:r>
      <w:r w:rsidR="002A712F">
        <w:rPr>
          <w:rFonts w:ascii="Times New Roman" w:hAnsi="Times New Roman" w:cs="Times New Roman"/>
          <w:lang w:val="en-US"/>
        </w:rPr>
        <w:t xml:space="preserve"> with slow background activity</w:t>
      </w:r>
      <w:r w:rsidR="00AC159F" w:rsidRPr="00C75904">
        <w:rPr>
          <w:rFonts w:ascii="Times New Roman" w:hAnsi="Times New Roman" w:cs="Times New Roman"/>
          <w:lang w:val="en-US"/>
        </w:rPr>
        <w:t xml:space="preserve">. </w:t>
      </w:r>
      <w:r w:rsidR="004F1DC0" w:rsidRPr="00C75904">
        <w:rPr>
          <w:rFonts w:ascii="Times New Roman" w:hAnsi="Times New Roman" w:cs="Times New Roman"/>
          <w:lang w:val="en-US"/>
        </w:rPr>
        <w:t>At 13 years</w:t>
      </w:r>
      <w:r w:rsidR="00E914B3" w:rsidRPr="00C75904">
        <w:rPr>
          <w:rFonts w:ascii="Times New Roman" w:hAnsi="Times New Roman" w:cs="Times New Roman"/>
          <w:lang w:val="en-US"/>
        </w:rPr>
        <w:t xml:space="preserve"> the patient showed severe cognitive impairment, she could not vocalize or follow objects, and fairly responded to sounds. H</w:t>
      </w:r>
      <w:r w:rsidRPr="00C75904">
        <w:rPr>
          <w:rFonts w:ascii="Times New Roman" w:hAnsi="Times New Roman" w:cs="Times New Roman"/>
          <w:lang w:val="en-US"/>
        </w:rPr>
        <w:t>er weight was 12.5</w:t>
      </w:r>
      <w:r w:rsidR="004F1DC0" w:rsidRPr="00C75904">
        <w:rPr>
          <w:rFonts w:ascii="Times New Roman" w:hAnsi="Times New Roman" w:cs="Times New Roman"/>
          <w:lang w:val="en-US"/>
        </w:rPr>
        <w:t xml:space="preserve"> </w:t>
      </w:r>
      <w:r w:rsidRPr="00C75904">
        <w:rPr>
          <w:rFonts w:ascii="Times New Roman" w:hAnsi="Times New Roman" w:cs="Times New Roman"/>
          <w:lang w:val="en-US"/>
        </w:rPr>
        <w:t>kg (-3.5</w:t>
      </w:r>
      <w:r w:rsidR="007D0D47" w:rsidRPr="00C75904">
        <w:rPr>
          <w:rFonts w:ascii="Times New Roman" w:hAnsi="Times New Roman" w:cs="Times New Roman"/>
          <w:lang w:val="en-US"/>
        </w:rPr>
        <w:t xml:space="preserve"> </w:t>
      </w:r>
      <w:r w:rsidRPr="00C75904">
        <w:rPr>
          <w:rFonts w:ascii="Times New Roman" w:hAnsi="Times New Roman" w:cs="Times New Roman"/>
          <w:lang w:val="en-US"/>
        </w:rPr>
        <w:t>SD</w:t>
      </w:r>
      <w:r w:rsidR="007D0D47" w:rsidRPr="00C75904">
        <w:rPr>
          <w:rFonts w:ascii="Times New Roman" w:hAnsi="Times New Roman" w:cs="Times New Roman"/>
          <w:lang w:val="en-US"/>
        </w:rPr>
        <w:t>s</w:t>
      </w:r>
      <w:r w:rsidRPr="00C75904">
        <w:rPr>
          <w:rFonts w:ascii="Times New Roman" w:hAnsi="Times New Roman" w:cs="Times New Roman"/>
          <w:lang w:val="en-US"/>
        </w:rPr>
        <w:t>), length 110</w:t>
      </w:r>
      <w:r w:rsidR="004F1DC0" w:rsidRPr="00C75904">
        <w:rPr>
          <w:rFonts w:ascii="Times New Roman" w:hAnsi="Times New Roman" w:cs="Times New Roman"/>
          <w:lang w:val="en-US"/>
        </w:rPr>
        <w:t xml:space="preserve"> </w:t>
      </w:r>
      <w:r w:rsidRPr="00C75904">
        <w:rPr>
          <w:rFonts w:ascii="Times New Roman" w:hAnsi="Times New Roman" w:cs="Times New Roman"/>
          <w:lang w:val="en-US"/>
        </w:rPr>
        <w:t>cm (-7</w:t>
      </w:r>
      <w:r w:rsidR="007D0D47" w:rsidRPr="00C75904">
        <w:rPr>
          <w:rFonts w:ascii="Times New Roman" w:hAnsi="Times New Roman" w:cs="Times New Roman"/>
          <w:lang w:val="en-US"/>
        </w:rPr>
        <w:t xml:space="preserve"> </w:t>
      </w:r>
      <w:r w:rsidRPr="00C75904">
        <w:rPr>
          <w:rFonts w:ascii="Times New Roman" w:hAnsi="Times New Roman" w:cs="Times New Roman"/>
          <w:lang w:val="en-US"/>
        </w:rPr>
        <w:t>SD</w:t>
      </w:r>
      <w:r w:rsidR="007D0D47" w:rsidRPr="00C75904">
        <w:rPr>
          <w:rFonts w:ascii="Times New Roman" w:hAnsi="Times New Roman" w:cs="Times New Roman"/>
          <w:lang w:val="en-US"/>
        </w:rPr>
        <w:t>s</w:t>
      </w:r>
      <w:r w:rsidRPr="00C75904">
        <w:rPr>
          <w:rFonts w:ascii="Times New Roman" w:hAnsi="Times New Roman" w:cs="Times New Roman"/>
          <w:lang w:val="en-US"/>
        </w:rPr>
        <w:t>) and head circumference 47</w:t>
      </w:r>
      <w:r w:rsidR="004F1DC0" w:rsidRPr="00C75904">
        <w:rPr>
          <w:rFonts w:ascii="Times New Roman" w:hAnsi="Times New Roman" w:cs="Times New Roman"/>
          <w:lang w:val="en-US"/>
        </w:rPr>
        <w:t xml:space="preserve"> </w:t>
      </w:r>
      <w:r w:rsidRPr="00C75904">
        <w:rPr>
          <w:rFonts w:ascii="Times New Roman" w:hAnsi="Times New Roman" w:cs="Times New Roman"/>
          <w:lang w:val="en-US"/>
        </w:rPr>
        <w:t>cm (-4.9</w:t>
      </w:r>
      <w:r w:rsidR="007D0D47" w:rsidRPr="00C75904">
        <w:rPr>
          <w:rFonts w:ascii="Times New Roman" w:hAnsi="Times New Roman" w:cs="Times New Roman"/>
          <w:lang w:val="en-US"/>
        </w:rPr>
        <w:t xml:space="preserve"> </w:t>
      </w:r>
      <w:r w:rsidRPr="00C75904">
        <w:rPr>
          <w:rFonts w:ascii="Times New Roman" w:hAnsi="Times New Roman" w:cs="Times New Roman"/>
          <w:lang w:val="en-US"/>
        </w:rPr>
        <w:t>SD</w:t>
      </w:r>
      <w:r w:rsidR="007D0D47" w:rsidRPr="00C75904">
        <w:rPr>
          <w:rFonts w:ascii="Times New Roman" w:hAnsi="Times New Roman" w:cs="Times New Roman"/>
          <w:lang w:val="en-US"/>
        </w:rPr>
        <w:t>s</w:t>
      </w:r>
      <w:r w:rsidRPr="00C75904">
        <w:rPr>
          <w:rFonts w:ascii="Times New Roman" w:hAnsi="Times New Roman" w:cs="Times New Roman"/>
          <w:lang w:val="en-US"/>
        </w:rPr>
        <w:t>).</w:t>
      </w:r>
      <w:r w:rsidR="00E914B3" w:rsidRPr="00C75904">
        <w:rPr>
          <w:rFonts w:ascii="Times New Roman" w:hAnsi="Times New Roman" w:cs="Times New Roman"/>
          <w:lang w:val="en-US"/>
        </w:rPr>
        <w:t xml:space="preserve"> </w:t>
      </w:r>
      <w:r w:rsidR="004F1DC0" w:rsidRPr="00C75904">
        <w:rPr>
          <w:rFonts w:ascii="Times New Roman" w:hAnsi="Times New Roman" w:cs="Times New Roman"/>
          <w:lang w:val="en-US"/>
        </w:rPr>
        <w:t xml:space="preserve">Dysmorphic features </w:t>
      </w:r>
      <w:r w:rsidR="00E914B3" w:rsidRPr="00C75904">
        <w:rPr>
          <w:rFonts w:ascii="Times New Roman" w:hAnsi="Times New Roman" w:cs="Times New Roman"/>
          <w:lang w:val="en-US"/>
        </w:rPr>
        <w:t>i</w:t>
      </w:r>
      <w:r w:rsidR="004F1DC0" w:rsidRPr="00C75904">
        <w:rPr>
          <w:rFonts w:ascii="Times New Roman" w:hAnsi="Times New Roman" w:cs="Times New Roman"/>
          <w:lang w:val="en-US"/>
        </w:rPr>
        <w:t>nclud</w:t>
      </w:r>
      <w:r w:rsidR="00E914B3" w:rsidRPr="00C75904">
        <w:rPr>
          <w:rFonts w:ascii="Times New Roman" w:hAnsi="Times New Roman" w:cs="Times New Roman"/>
          <w:lang w:val="en-US"/>
        </w:rPr>
        <w:t>ed</w:t>
      </w:r>
      <w:r w:rsidR="004F1DC0" w:rsidRPr="00C75904">
        <w:rPr>
          <w:rFonts w:ascii="Times New Roman" w:hAnsi="Times New Roman" w:cs="Times New Roman"/>
          <w:lang w:val="en-US"/>
        </w:rPr>
        <w:t xml:space="preserve"> </w:t>
      </w:r>
      <w:r w:rsidR="00C75904" w:rsidRPr="00C75904">
        <w:rPr>
          <w:rFonts w:ascii="Times New Roman" w:hAnsi="Times New Roman" w:cs="Times New Roman"/>
          <w:lang w:val="en-US"/>
        </w:rPr>
        <w:t xml:space="preserve">a </w:t>
      </w:r>
      <w:r w:rsidR="004F1DC0" w:rsidRPr="00C75904">
        <w:rPr>
          <w:rFonts w:ascii="Times New Roman" w:hAnsi="Times New Roman" w:cs="Times New Roman"/>
          <w:lang w:val="en-US"/>
        </w:rPr>
        <w:t>l</w:t>
      </w:r>
      <w:r w:rsidRPr="00C75904">
        <w:rPr>
          <w:rFonts w:ascii="Times New Roman" w:hAnsi="Times New Roman" w:cs="Times New Roman"/>
          <w:lang w:val="en-US"/>
        </w:rPr>
        <w:t xml:space="preserve">ong face with </w:t>
      </w:r>
      <w:r w:rsidR="00C75904" w:rsidRPr="00C75904">
        <w:rPr>
          <w:rFonts w:ascii="Times New Roman" w:hAnsi="Times New Roman" w:cs="Times New Roman"/>
          <w:lang w:val="en-US"/>
        </w:rPr>
        <w:t xml:space="preserve">a </w:t>
      </w:r>
      <w:r w:rsidRPr="00C75904">
        <w:rPr>
          <w:rFonts w:ascii="Times New Roman" w:hAnsi="Times New Roman" w:cs="Times New Roman"/>
          <w:lang w:val="en-US"/>
        </w:rPr>
        <w:t>prominent chin, thick eyebrows, prominent nose, thick alveolar ridge, teeth deformities</w:t>
      </w:r>
      <w:r w:rsidR="004F1DC0" w:rsidRPr="00C75904">
        <w:rPr>
          <w:rFonts w:ascii="Times New Roman" w:hAnsi="Times New Roman" w:cs="Times New Roman"/>
          <w:lang w:val="en-US"/>
        </w:rPr>
        <w:t>,</w:t>
      </w:r>
      <w:r w:rsidRPr="00C75904">
        <w:rPr>
          <w:rFonts w:ascii="Times New Roman" w:hAnsi="Times New Roman" w:cs="Times New Roman"/>
          <w:lang w:val="en-US"/>
        </w:rPr>
        <w:t xml:space="preserve"> and low set ears. </w:t>
      </w:r>
      <w:r w:rsidR="004F1DC0" w:rsidRPr="00C75904">
        <w:rPr>
          <w:rFonts w:ascii="Times New Roman" w:hAnsi="Times New Roman" w:cs="Times New Roman"/>
          <w:lang w:val="en-US"/>
        </w:rPr>
        <w:t>In addition to the short stature, she had kyphoscoliosis, o</w:t>
      </w:r>
      <w:r w:rsidRPr="00C75904">
        <w:rPr>
          <w:rFonts w:ascii="Times New Roman" w:hAnsi="Times New Roman" w:cs="Times New Roman"/>
          <w:lang w:val="en-US"/>
        </w:rPr>
        <w:t xml:space="preserve">verlapping toes, </w:t>
      </w:r>
      <w:r w:rsidR="00AC159F" w:rsidRPr="00C75904">
        <w:rPr>
          <w:rFonts w:ascii="Times New Roman" w:hAnsi="Times New Roman" w:cs="Times New Roman"/>
          <w:lang w:val="en-US"/>
        </w:rPr>
        <w:t xml:space="preserve">contractures of </w:t>
      </w:r>
      <w:r w:rsidRPr="00C75904">
        <w:rPr>
          <w:rFonts w:ascii="Times New Roman" w:hAnsi="Times New Roman" w:cs="Times New Roman"/>
          <w:lang w:val="en-US"/>
        </w:rPr>
        <w:t>hands</w:t>
      </w:r>
      <w:r w:rsidR="00CF3A7D" w:rsidRPr="00C75904">
        <w:rPr>
          <w:rFonts w:ascii="Times New Roman" w:hAnsi="Times New Roman" w:cs="Times New Roman"/>
          <w:lang w:val="en-US"/>
        </w:rPr>
        <w:t xml:space="preserve"> and feet</w:t>
      </w:r>
      <w:r w:rsidR="004F1DC0" w:rsidRPr="00C75904">
        <w:rPr>
          <w:rFonts w:ascii="Times New Roman" w:hAnsi="Times New Roman" w:cs="Times New Roman"/>
          <w:lang w:val="en-US"/>
        </w:rPr>
        <w:t>,</w:t>
      </w:r>
      <w:r w:rsidRPr="00C75904">
        <w:rPr>
          <w:rFonts w:ascii="Times New Roman" w:hAnsi="Times New Roman" w:cs="Times New Roman"/>
          <w:lang w:val="en-US"/>
        </w:rPr>
        <w:t xml:space="preserve"> and pes planus. </w:t>
      </w:r>
      <w:r w:rsidR="004F1DC0" w:rsidRPr="00C75904">
        <w:rPr>
          <w:rFonts w:ascii="Times New Roman" w:hAnsi="Times New Roman" w:cs="Times New Roman"/>
          <w:lang w:val="en-US"/>
        </w:rPr>
        <w:t>Detailed n</w:t>
      </w:r>
      <w:r w:rsidRPr="00C75904">
        <w:rPr>
          <w:rFonts w:ascii="Times New Roman" w:hAnsi="Times New Roman" w:cs="Times New Roman"/>
          <w:lang w:val="en-US"/>
        </w:rPr>
        <w:t>eurological examination showed nystagmus, drooling, severe spasticity, bri</w:t>
      </w:r>
      <w:r w:rsidR="00CF3A7D" w:rsidRPr="00C75904">
        <w:rPr>
          <w:rFonts w:ascii="Times New Roman" w:hAnsi="Times New Roman" w:cs="Times New Roman"/>
          <w:lang w:val="en-US"/>
        </w:rPr>
        <w:t>s</w:t>
      </w:r>
      <w:r w:rsidRPr="00C75904">
        <w:rPr>
          <w:rFonts w:ascii="Times New Roman" w:hAnsi="Times New Roman" w:cs="Times New Roman"/>
          <w:lang w:val="en-US"/>
        </w:rPr>
        <w:t xml:space="preserve">k reflexes, and </w:t>
      </w:r>
      <w:r w:rsidR="00D67990">
        <w:rPr>
          <w:rFonts w:ascii="Times New Roman" w:hAnsi="Times New Roman" w:cs="Times New Roman"/>
          <w:lang w:val="en-US"/>
        </w:rPr>
        <w:t>dyskinetic movements</w:t>
      </w:r>
      <w:r w:rsidRPr="00C75904">
        <w:rPr>
          <w:rFonts w:ascii="Times New Roman" w:hAnsi="Times New Roman" w:cs="Times New Roman"/>
          <w:lang w:val="en-US"/>
        </w:rPr>
        <w:t xml:space="preserve">. </w:t>
      </w:r>
      <w:r w:rsidR="004F1DC0" w:rsidRPr="00C75904">
        <w:rPr>
          <w:rFonts w:ascii="Times New Roman" w:hAnsi="Times New Roman" w:cs="Times New Roman"/>
          <w:lang w:val="en-US"/>
        </w:rPr>
        <w:t>Auditory brain stem evoked potentials were normal. The op</w:t>
      </w:r>
      <w:r w:rsidR="00CF3A7D" w:rsidRPr="00C75904">
        <w:rPr>
          <w:rFonts w:ascii="Times New Roman" w:hAnsi="Times New Roman" w:cs="Times New Roman"/>
          <w:lang w:val="en-US"/>
        </w:rPr>
        <w:t>h</w:t>
      </w:r>
      <w:r w:rsidR="004F1DC0" w:rsidRPr="00C75904">
        <w:rPr>
          <w:rFonts w:ascii="Times New Roman" w:hAnsi="Times New Roman" w:cs="Times New Roman"/>
          <w:lang w:val="en-US"/>
        </w:rPr>
        <w:t>thalmologic</w:t>
      </w:r>
      <w:r w:rsidRPr="00C75904">
        <w:rPr>
          <w:rFonts w:ascii="Times New Roman" w:hAnsi="Times New Roman" w:cs="Times New Roman"/>
          <w:lang w:val="en-US"/>
        </w:rPr>
        <w:t xml:space="preserve"> evaluation showed </w:t>
      </w:r>
      <w:r w:rsidR="004F1DC0" w:rsidRPr="00C75904">
        <w:rPr>
          <w:rFonts w:ascii="Times New Roman" w:hAnsi="Times New Roman" w:cs="Times New Roman"/>
          <w:lang w:val="en-US"/>
        </w:rPr>
        <w:t xml:space="preserve">a </w:t>
      </w:r>
      <w:r w:rsidRPr="00C75904">
        <w:rPr>
          <w:rFonts w:ascii="Times New Roman" w:hAnsi="Times New Roman" w:cs="Times New Roman"/>
          <w:lang w:val="en-US"/>
        </w:rPr>
        <w:t>normal fundus</w:t>
      </w:r>
      <w:r w:rsidR="00192081" w:rsidRPr="00C75904">
        <w:rPr>
          <w:rFonts w:ascii="Times New Roman" w:hAnsi="Times New Roman" w:cs="Times New Roman"/>
          <w:lang w:val="en-US"/>
        </w:rPr>
        <w:t>. W</w:t>
      </w:r>
      <w:r w:rsidRPr="00C75904">
        <w:rPr>
          <w:rFonts w:ascii="Times New Roman" w:hAnsi="Times New Roman" w:cs="Times New Roman"/>
          <w:lang w:val="en-US"/>
        </w:rPr>
        <w:t>hile</w:t>
      </w:r>
      <w:r w:rsidR="00192081" w:rsidRPr="00C75904">
        <w:rPr>
          <w:rFonts w:ascii="Times New Roman" w:hAnsi="Times New Roman" w:cs="Times New Roman"/>
          <w:lang w:val="en-US"/>
        </w:rPr>
        <w:t xml:space="preserve"> </w:t>
      </w:r>
      <w:r w:rsidRPr="00C75904">
        <w:rPr>
          <w:rFonts w:ascii="Times New Roman" w:hAnsi="Times New Roman" w:cs="Times New Roman"/>
          <w:lang w:val="en-US"/>
        </w:rPr>
        <w:lastRenderedPageBreak/>
        <w:t>visual evoked potential</w:t>
      </w:r>
      <w:r w:rsidR="00192081" w:rsidRPr="00C75904">
        <w:rPr>
          <w:rFonts w:ascii="Times New Roman" w:hAnsi="Times New Roman" w:cs="Times New Roman"/>
          <w:lang w:val="en-US"/>
        </w:rPr>
        <w:t xml:space="preserve">s showed </w:t>
      </w:r>
      <w:r w:rsidRPr="00C75904">
        <w:rPr>
          <w:rFonts w:ascii="Times New Roman" w:hAnsi="Times New Roman" w:cs="Times New Roman"/>
          <w:lang w:val="en-US"/>
        </w:rPr>
        <w:t xml:space="preserve">delayed latency of central </w:t>
      </w:r>
      <w:r w:rsidR="00B8707E">
        <w:rPr>
          <w:rFonts w:ascii="Times New Roman" w:hAnsi="Times New Roman" w:cs="Times New Roman"/>
          <w:lang w:val="en-US"/>
        </w:rPr>
        <w:t>visio</w:t>
      </w:r>
      <w:r w:rsidRPr="00C75904">
        <w:rPr>
          <w:rFonts w:ascii="Times New Roman" w:hAnsi="Times New Roman" w:cs="Times New Roman"/>
          <w:lang w:val="en-US"/>
        </w:rPr>
        <w:t>n</w:t>
      </w:r>
      <w:r w:rsidR="00192081" w:rsidRPr="00C75904">
        <w:rPr>
          <w:rFonts w:ascii="Times New Roman" w:hAnsi="Times New Roman" w:cs="Times New Roman"/>
          <w:lang w:val="en-US"/>
        </w:rPr>
        <w:t xml:space="preserve">, her electroretinogram (ERG) </w:t>
      </w:r>
      <w:r w:rsidR="00B8707E">
        <w:rPr>
          <w:rFonts w:ascii="Times New Roman" w:hAnsi="Times New Roman" w:cs="Times New Roman"/>
          <w:lang w:val="en-US"/>
        </w:rPr>
        <w:t>was</w:t>
      </w:r>
      <w:r w:rsidR="00C75904" w:rsidRPr="00C75904">
        <w:rPr>
          <w:rFonts w:ascii="Times New Roman" w:hAnsi="Times New Roman" w:cs="Times New Roman"/>
          <w:lang w:val="en-US"/>
        </w:rPr>
        <w:t xml:space="preserve"> </w:t>
      </w:r>
      <w:r w:rsidR="00192081" w:rsidRPr="00C75904">
        <w:rPr>
          <w:rFonts w:ascii="Times New Roman" w:hAnsi="Times New Roman" w:cs="Times New Roman"/>
          <w:lang w:val="en-US"/>
        </w:rPr>
        <w:t>normal</w:t>
      </w:r>
      <w:r w:rsidRPr="00C75904">
        <w:rPr>
          <w:rFonts w:ascii="Times New Roman" w:hAnsi="Times New Roman" w:cs="Times New Roman"/>
          <w:lang w:val="en-US"/>
        </w:rPr>
        <w:t>.</w:t>
      </w:r>
      <w:r w:rsidR="00AC159F" w:rsidRPr="00C75904">
        <w:rPr>
          <w:rFonts w:ascii="Times New Roman" w:hAnsi="Times New Roman" w:cs="Times New Roman"/>
          <w:lang w:val="en-US"/>
        </w:rPr>
        <w:t xml:space="preserve"> </w:t>
      </w:r>
      <w:r w:rsidR="00710165" w:rsidRPr="00C75904">
        <w:rPr>
          <w:rFonts w:ascii="Times New Roman" w:hAnsi="Times New Roman" w:cs="Times New Roman"/>
          <w:lang w:val="en-US"/>
        </w:rPr>
        <w:t xml:space="preserve">Brain MRI performed at 7 years of age revealed corpus callosum hypoplasia (CCH), periventricular white matter signal anomalies, enlargement of the subarachnoid spaces and lateral ventricles, inferior cerebellar vermis hypoplasia, swelling with T2 hyperintensity of the cerebellar dentate nuclei, and platyspondyly of the cervical vertebrae (Fig. 1C). </w:t>
      </w:r>
      <w:r w:rsidR="00B8707E">
        <w:rPr>
          <w:rFonts w:ascii="Times New Roman" w:hAnsi="Times New Roman" w:cs="Times New Roman"/>
          <w:lang w:val="en-US"/>
        </w:rPr>
        <w:t xml:space="preserve">At </w:t>
      </w:r>
      <w:r w:rsidRPr="00C75904">
        <w:rPr>
          <w:rFonts w:ascii="Times New Roman" w:hAnsi="Times New Roman" w:cs="Times New Roman"/>
          <w:lang w:val="en-US"/>
        </w:rPr>
        <w:t xml:space="preserve">age 10 years, the patient developed severe </w:t>
      </w:r>
      <w:r w:rsidR="002F49B6" w:rsidRPr="00C75904">
        <w:rPr>
          <w:rFonts w:ascii="Times New Roman" w:hAnsi="Times New Roman" w:cs="Times New Roman"/>
          <w:lang w:val="en-US"/>
        </w:rPr>
        <w:t xml:space="preserve">hemolytic </w:t>
      </w:r>
      <w:r w:rsidRPr="00C75904">
        <w:rPr>
          <w:rFonts w:ascii="Times New Roman" w:hAnsi="Times New Roman" w:cs="Times New Roman"/>
          <w:lang w:val="en-US"/>
        </w:rPr>
        <w:t xml:space="preserve">anemia </w:t>
      </w:r>
      <w:r w:rsidR="00192081" w:rsidRPr="00C75904">
        <w:rPr>
          <w:rFonts w:ascii="Times New Roman" w:hAnsi="Times New Roman" w:cs="Times New Roman"/>
          <w:lang w:val="en-US"/>
        </w:rPr>
        <w:t xml:space="preserve">(with </w:t>
      </w:r>
      <w:r w:rsidRPr="00C75904">
        <w:rPr>
          <w:rFonts w:ascii="Times New Roman" w:hAnsi="Times New Roman" w:cs="Times New Roman"/>
          <w:lang w:val="en-US"/>
        </w:rPr>
        <w:t xml:space="preserve">hemoglobin level </w:t>
      </w:r>
      <w:r w:rsidR="00192081" w:rsidRPr="00C75904">
        <w:rPr>
          <w:rFonts w:ascii="Times New Roman" w:hAnsi="Times New Roman" w:cs="Times New Roman"/>
          <w:lang w:val="en-US"/>
        </w:rPr>
        <w:t>as low as</w:t>
      </w:r>
      <w:r w:rsidRPr="00C75904">
        <w:rPr>
          <w:rFonts w:ascii="Times New Roman" w:hAnsi="Times New Roman" w:cs="Times New Roman"/>
          <w:lang w:val="en-US"/>
        </w:rPr>
        <w:t xml:space="preserve"> 6</w:t>
      </w:r>
      <w:r w:rsidR="00192081" w:rsidRPr="00C75904">
        <w:rPr>
          <w:rFonts w:ascii="Times New Roman" w:hAnsi="Times New Roman" w:cs="Times New Roman"/>
          <w:lang w:val="en-US"/>
        </w:rPr>
        <w:t xml:space="preserve"> </w:t>
      </w:r>
      <w:r w:rsidRPr="00C75904">
        <w:rPr>
          <w:rFonts w:ascii="Times New Roman" w:hAnsi="Times New Roman" w:cs="Times New Roman"/>
          <w:lang w:val="en-US"/>
        </w:rPr>
        <w:t>mg%</w:t>
      </w:r>
      <w:r w:rsidR="00192081" w:rsidRPr="00C75904">
        <w:rPr>
          <w:rFonts w:ascii="Times New Roman" w:hAnsi="Times New Roman" w:cs="Times New Roman"/>
          <w:lang w:val="en-US"/>
        </w:rPr>
        <w:t>)</w:t>
      </w:r>
      <w:r w:rsidRPr="00C75904">
        <w:rPr>
          <w:rFonts w:ascii="Times New Roman" w:hAnsi="Times New Roman" w:cs="Times New Roman"/>
          <w:lang w:val="en-US"/>
        </w:rPr>
        <w:t xml:space="preserve"> requir</w:t>
      </w:r>
      <w:r w:rsidR="00775CC8" w:rsidRPr="00C75904">
        <w:rPr>
          <w:rFonts w:ascii="Times New Roman" w:hAnsi="Times New Roman" w:cs="Times New Roman"/>
          <w:lang w:val="en-US"/>
        </w:rPr>
        <w:t>ing</w:t>
      </w:r>
      <w:r w:rsidRPr="00C75904">
        <w:rPr>
          <w:rFonts w:ascii="Times New Roman" w:hAnsi="Times New Roman" w:cs="Times New Roman"/>
          <w:lang w:val="en-US"/>
        </w:rPr>
        <w:t xml:space="preserve"> </w:t>
      </w:r>
      <w:r w:rsidR="00775CC8" w:rsidRPr="00C75904">
        <w:rPr>
          <w:rFonts w:ascii="Times New Roman" w:hAnsi="Times New Roman" w:cs="Times New Roman"/>
          <w:lang w:val="en-US"/>
        </w:rPr>
        <w:t xml:space="preserve">several </w:t>
      </w:r>
      <w:r w:rsidRPr="00C75904">
        <w:rPr>
          <w:rFonts w:ascii="Times New Roman" w:hAnsi="Times New Roman" w:cs="Times New Roman"/>
          <w:lang w:val="en-US"/>
        </w:rPr>
        <w:t>blood tran</w:t>
      </w:r>
      <w:r w:rsidR="002F49B6" w:rsidRPr="00C75904">
        <w:rPr>
          <w:rFonts w:ascii="Times New Roman" w:hAnsi="Times New Roman" w:cs="Times New Roman"/>
          <w:lang w:val="en-US"/>
        </w:rPr>
        <w:t>s</w:t>
      </w:r>
      <w:r w:rsidRPr="00C75904">
        <w:rPr>
          <w:rFonts w:ascii="Times New Roman" w:hAnsi="Times New Roman" w:cs="Times New Roman"/>
          <w:lang w:val="en-US"/>
        </w:rPr>
        <w:t>fusio</w:t>
      </w:r>
      <w:r w:rsidR="00775CC8" w:rsidRPr="00C75904">
        <w:rPr>
          <w:rFonts w:ascii="Times New Roman" w:hAnsi="Times New Roman" w:cs="Times New Roman"/>
          <w:lang w:val="en-US"/>
        </w:rPr>
        <w:t>ns</w:t>
      </w:r>
      <w:r w:rsidR="002F49B6" w:rsidRPr="00C75904">
        <w:rPr>
          <w:rFonts w:ascii="Times New Roman" w:hAnsi="Times New Roman" w:cs="Times New Roman"/>
          <w:lang w:val="en-US"/>
        </w:rPr>
        <w:t xml:space="preserve"> and recurrent jaundice</w:t>
      </w:r>
      <w:r w:rsidRPr="00C75904">
        <w:rPr>
          <w:rFonts w:ascii="Times New Roman" w:hAnsi="Times New Roman" w:cs="Times New Roman"/>
          <w:lang w:val="en-US"/>
        </w:rPr>
        <w:t xml:space="preserve">. </w:t>
      </w:r>
      <w:r w:rsidR="00AC159F" w:rsidRPr="00C75904">
        <w:rPr>
          <w:rFonts w:ascii="Times New Roman" w:hAnsi="Times New Roman" w:cs="Times New Roman"/>
          <w:lang w:val="en-US"/>
        </w:rPr>
        <w:t>Four years later</w:t>
      </w:r>
      <w:r w:rsidR="002F49B6" w:rsidRPr="00C75904">
        <w:rPr>
          <w:rFonts w:ascii="Times New Roman" w:hAnsi="Times New Roman" w:cs="Times New Roman"/>
          <w:lang w:val="en-US"/>
        </w:rPr>
        <w:t xml:space="preserve">, she was admitted to </w:t>
      </w:r>
      <w:r w:rsidR="00C11BA6" w:rsidRPr="00C75904">
        <w:rPr>
          <w:rFonts w:ascii="Times New Roman" w:hAnsi="Times New Roman" w:cs="Times New Roman"/>
          <w:lang w:val="en-US"/>
        </w:rPr>
        <w:t xml:space="preserve">the </w:t>
      </w:r>
      <w:r w:rsidR="002F49B6" w:rsidRPr="00C75904">
        <w:rPr>
          <w:rFonts w:ascii="Times New Roman" w:hAnsi="Times New Roman" w:cs="Times New Roman"/>
          <w:lang w:val="en-US"/>
        </w:rPr>
        <w:t>pediatric intensive care unit due to</w:t>
      </w:r>
      <w:r w:rsidRPr="00C75904">
        <w:rPr>
          <w:rFonts w:ascii="Times New Roman" w:hAnsi="Times New Roman" w:cs="Times New Roman"/>
          <w:lang w:val="en-US"/>
        </w:rPr>
        <w:t xml:space="preserve"> a </w:t>
      </w:r>
      <w:r w:rsidR="002F49B6" w:rsidRPr="00C75904">
        <w:rPr>
          <w:rFonts w:ascii="Times New Roman" w:hAnsi="Times New Roman" w:cs="Times New Roman"/>
          <w:lang w:val="en-US"/>
        </w:rPr>
        <w:t xml:space="preserve">severe </w:t>
      </w:r>
      <w:r w:rsidRPr="00C75904">
        <w:rPr>
          <w:rFonts w:ascii="Times New Roman" w:hAnsi="Times New Roman" w:cs="Times New Roman"/>
          <w:lang w:val="en-US"/>
        </w:rPr>
        <w:t>chest infection</w:t>
      </w:r>
      <w:r w:rsidR="002F49B6" w:rsidRPr="00C75904">
        <w:rPr>
          <w:rFonts w:ascii="Times New Roman" w:hAnsi="Times New Roman" w:cs="Times New Roman"/>
          <w:lang w:val="en-US"/>
        </w:rPr>
        <w:t xml:space="preserve"> </w:t>
      </w:r>
      <w:r w:rsidRPr="00C75904">
        <w:rPr>
          <w:rFonts w:ascii="Times New Roman" w:hAnsi="Times New Roman" w:cs="Times New Roman"/>
          <w:lang w:val="en-US"/>
        </w:rPr>
        <w:t xml:space="preserve">and died </w:t>
      </w:r>
      <w:r w:rsidR="00AC159F" w:rsidRPr="00C75904">
        <w:rPr>
          <w:rFonts w:ascii="Times New Roman" w:hAnsi="Times New Roman" w:cs="Times New Roman"/>
          <w:lang w:val="en-US"/>
        </w:rPr>
        <w:t>of</w:t>
      </w:r>
      <w:r w:rsidRPr="00C75904">
        <w:rPr>
          <w:rFonts w:ascii="Times New Roman" w:hAnsi="Times New Roman" w:cs="Times New Roman"/>
          <w:lang w:val="en-US"/>
        </w:rPr>
        <w:t xml:space="preserve"> respiratory failure.</w:t>
      </w:r>
      <w:r w:rsidR="004F1DC0" w:rsidRPr="00C75904">
        <w:rPr>
          <w:rFonts w:ascii="Times New Roman" w:hAnsi="Times New Roman" w:cs="Times New Roman"/>
          <w:lang w:val="en-US"/>
        </w:rPr>
        <w:t xml:space="preserve"> </w:t>
      </w:r>
      <w:r w:rsidR="00AC159F" w:rsidRPr="00C75904">
        <w:rPr>
          <w:rFonts w:ascii="Times New Roman" w:hAnsi="Times New Roman" w:cs="Times New Roman"/>
          <w:lang w:val="en-US"/>
        </w:rPr>
        <w:t>K</w:t>
      </w:r>
      <w:r w:rsidR="004F1DC0" w:rsidRPr="00C75904">
        <w:rPr>
          <w:rFonts w:ascii="Times New Roman" w:hAnsi="Times New Roman" w:cs="Times New Roman"/>
          <w:lang w:val="en-US"/>
        </w:rPr>
        <w:t xml:space="preserve">aryotype </w:t>
      </w:r>
      <w:r w:rsidR="00AC159F" w:rsidRPr="00C75904">
        <w:rPr>
          <w:rFonts w:ascii="Times New Roman" w:hAnsi="Times New Roman" w:cs="Times New Roman"/>
          <w:lang w:val="en-US"/>
        </w:rPr>
        <w:t xml:space="preserve">and extended metabolic screening (including the dosage of organic acid in </w:t>
      </w:r>
      <w:r w:rsidR="00C75904" w:rsidRPr="00C75904">
        <w:rPr>
          <w:rFonts w:ascii="Times New Roman" w:hAnsi="Times New Roman" w:cs="Times New Roman"/>
          <w:lang w:val="en-US"/>
        </w:rPr>
        <w:t xml:space="preserve">the </w:t>
      </w:r>
      <w:r w:rsidR="00AC159F" w:rsidRPr="00C75904">
        <w:rPr>
          <w:rFonts w:ascii="Times New Roman" w:hAnsi="Times New Roman" w:cs="Times New Roman"/>
          <w:lang w:val="en-US"/>
        </w:rPr>
        <w:t xml:space="preserve">urine) </w:t>
      </w:r>
      <w:r w:rsidR="004F1DC0" w:rsidRPr="00C75904">
        <w:rPr>
          <w:rFonts w:ascii="Times New Roman" w:hAnsi="Times New Roman" w:cs="Times New Roman"/>
          <w:lang w:val="en-US"/>
        </w:rPr>
        <w:t>yielded normal results.</w:t>
      </w:r>
    </w:p>
    <w:p w14:paraId="11A6349A" w14:textId="0679FC93" w:rsidR="00E23B3E" w:rsidRPr="00C75904" w:rsidRDefault="00E23B3E" w:rsidP="00C75904">
      <w:pPr>
        <w:spacing w:line="480" w:lineRule="auto"/>
        <w:jc w:val="both"/>
        <w:rPr>
          <w:rFonts w:ascii="Times New Roman" w:hAnsi="Times New Roman" w:cs="Times New Roman"/>
          <w:lang w:val="en-US"/>
        </w:rPr>
      </w:pPr>
      <w:r w:rsidRPr="00C75904">
        <w:rPr>
          <w:rFonts w:ascii="Times New Roman" w:hAnsi="Times New Roman" w:cs="Times New Roman"/>
          <w:lang w:val="en-US"/>
        </w:rPr>
        <w:tab/>
      </w:r>
      <w:r w:rsidR="00903CA5">
        <w:rPr>
          <w:rFonts w:ascii="Times New Roman" w:hAnsi="Times New Roman" w:cs="Times New Roman"/>
          <w:lang w:val="en-US"/>
        </w:rPr>
        <w:t>Case F1-IV:3 is</w:t>
      </w:r>
      <w:r w:rsidRPr="00C75904">
        <w:rPr>
          <w:rFonts w:ascii="Times New Roman" w:hAnsi="Times New Roman" w:cs="Times New Roman"/>
          <w:lang w:val="en-US"/>
        </w:rPr>
        <w:t xml:space="preserve"> the third</w:t>
      </w:r>
      <w:r w:rsidR="00BF4DD2" w:rsidRPr="00C75904">
        <w:rPr>
          <w:rFonts w:ascii="Times New Roman" w:hAnsi="Times New Roman" w:cs="Times New Roman"/>
          <w:lang w:val="en-US"/>
        </w:rPr>
        <w:t>-born</w:t>
      </w:r>
      <w:r w:rsidRPr="00C75904">
        <w:rPr>
          <w:rFonts w:ascii="Times New Roman" w:hAnsi="Times New Roman" w:cs="Times New Roman"/>
          <w:lang w:val="en-US"/>
        </w:rPr>
        <w:t xml:space="preserve"> in the family</w:t>
      </w:r>
      <w:r w:rsidR="00AC159F" w:rsidRPr="00C75904">
        <w:rPr>
          <w:rFonts w:ascii="Times New Roman" w:hAnsi="Times New Roman" w:cs="Times New Roman"/>
          <w:lang w:val="en-US"/>
        </w:rPr>
        <w:t xml:space="preserve">. He was </w:t>
      </w:r>
      <w:r w:rsidRPr="00C75904">
        <w:rPr>
          <w:rFonts w:ascii="Times New Roman" w:hAnsi="Times New Roman" w:cs="Times New Roman"/>
          <w:lang w:val="en-US"/>
        </w:rPr>
        <w:t>11.4</w:t>
      </w:r>
      <w:r w:rsidR="00BF4DD2" w:rsidRPr="00C75904">
        <w:rPr>
          <w:rFonts w:ascii="Times New Roman" w:hAnsi="Times New Roman" w:cs="Times New Roman"/>
          <w:lang w:val="en-US"/>
        </w:rPr>
        <w:t xml:space="preserve"> </w:t>
      </w:r>
      <w:r w:rsidRPr="00C75904">
        <w:rPr>
          <w:rFonts w:ascii="Times New Roman" w:hAnsi="Times New Roman" w:cs="Times New Roman"/>
          <w:lang w:val="en-US"/>
        </w:rPr>
        <w:t>y</w:t>
      </w:r>
      <w:r w:rsidR="00BF4DD2" w:rsidRPr="00C75904">
        <w:rPr>
          <w:rFonts w:ascii="Times New Roman" w:hAnsi="Times New Roman" w:cs="Times New Roman"/>
          <w:lang w:val="en-US"/>
        </w:rPr>
        <w:t xml:space="preserve">ears </w:t>
      </w:r>
      <w:r w:rsidR="00AC159F" w:rsidRPr="00C75904">
        <w:rPr>
          <w:rFonts w:ascii="Times New Roman" w:hAnsi="Times New Roman" w:cs="Times New Roman"/>
          <w:lang w:val="en-US"/>
        </w:rPr>
        <w:t xml:space="preserve">old </w:t>
      </w:r>
      <w:r w:rsidR="00BF4DD2" w:rsidRPr="00C75904">
        <w:rPr>
          <w:rFonts w:ascii="Times New Roman" w:hAnsi="Times New Roman" w:cs="Times New Roman"/>
          <w:lang w:val="en-US"/>
        </w:rPr>
        <w:t>at the first clinical evaluation</w:t>
      </w:r>
      <w:r w:rsidRPr="00C75904">
        <w:rPr>
          <w:rFonts w:ascii="Times New Roman" w:hAnsi="Times New Roman" w:cs="Times New Roman"/>
          <w:lang w:val="en-US"/>
        </w:rPr>
        <w:t>.</w:t>
      </w:r>
      <w:r w:rsidR="00BF4DD2" w:rsidRPr="00C75904">
        <w:rPr>
          <w:rFonts w:ascii="Times New Roman" w:hAnsi="Times New Roman" w:cs="Times New Roman"/>
          <w:lang w:val="en-US"/>
        </w:rPr>
        <w:t xml:space="preserve"> </w:t>
      </w:r>
      <w:r w:rsidR="00AC159F" w:rsidRPr="00C75904">
        <w:rPr>
          <w:rFonts w:ascii="Times New Roman" w:hAnsi="Times New Roman" w:cs="Times New Roman"/>
          <w:lang w:val="en-US"/>
        </w:rPr>
        <w:t>The child</w:t>
      </w:r>
      <w:r w:rsidR="00BF4DD2" w:rsidRPr="00C75904">
        <w:rPr>
          <w:rFonts w:ascii="Times New Roman" w:hAnsi="Times New Roman" w:cs="Times New Roman"/>
          <w:lang w:val="en-US"/>
        </w:rPr>
        <w:t xml:space="preserve"> met basic developmental milestones, being able to sit unassisted and </w:t>
      </w:r>
      <w:r w:rsidR="003044CA" w:rsidRPr="00C75904">
        <w:rPr>
          <w:rFonts w:ascii="Times New Roman" w:hAnsi="Times New Roman" w:cs="Times New Roman"/>
          <w:lang w:val="en-US"/>
        </w:rPr>
        <w:t>crawl at the age of 1.5 years.</w:t>
      </w:r>
      <w:r w:rsidR="00A814DE" w:rsidRPr="00C75904">
        <w:rPr>
          <w:rFonts w:ascii="Times New Roman" w:hAnsi="Times New Roman" w:cs="Times New Roman"/>
          <w:lang w:val="en-US"/>
        </w:rPr>
        <w:t xml:space="preserve"> Subsequently, a</w:t>
      </w:r>
      <w:r w:rsidRPr="00C75904">
        <w:rPr>
          <w:rFonts w:ascii="Times New Roman" w:hAnsi="Times New Roman" w:cs="Times New Roman"/>
          <w:lang w:val="en-US"/>
        </w:rPr>
        <w:t xml:space="preserve"> gradual regression was noted. </w:t>
      </w:r>
      <w:r w:rsidR="009F4609" w:rsidRPr="00C75904">
        <w:rPr>
          <w:rFonts w:ascii="Times New Roman" w:hAnsi="Times New Roman" w:cs="Times New Roman"/>
          <w:lang w:val="en-US"/>
        </w:rPr>
        <w:t>Epilepsy started at the age of 3 years with myoclonic and tonic seizures, which recurred every week or less. Seizures were refractory to multidrug treatment with valproate, levetiracetam, and clonazepam. Clinical history also revealed a femur fracture at the age of 5</w:t>
      </w:r>
      <w:r w:rsidR="00AC159F" w:rsidRPr="00C75904">
        <w:rPr>
          <w:rFonts w:ascii="Times New Roman" w:hAnsi="Times New Roman" w:cs="Times New Roman"/>
          <w:lang w:val="en-US"/>
        </w:rPr>
        <w:t xml:space="preserve"> </w:t>
      </w:r>
      <w:r w:rsidR="009F4609" w:rsidRPr="00C75904">
        <w:rPr>
          <w:rFonts w:ascii="Times New Roman" w:hAnsi="Times New Roman" w:cs="Times New Roman"/>
          <w:lang w:val="en-US"/>
        </w:rPr>
        <w:t xml:space="preserve">years. </w:t>
      </w:r>
      <w:r w:rsidR="007D0D47" w:rsidRPr="00C75904">
        <w:rPr>
          <w:rFonts w:ascii="Times New Roman" w:hAnsi="Times New Roman" w:cs="Times New Roman"/>
          <w:lang w:val="en-US"/>
        </w:rPr>
        <w:t xml:space="preserve">At 11.4 years, his </w:t>
      </w:r>
      <w:r w:rsidR="009F4609" w:rsidRPr="00C75904">
        <w:rPr>
          <w:rFonts w:ascii="Times New Roman" w:hAnsi="Times New Roman" w:cs="Times New Roman"/>
          <w:lang w:val="en-US"/>
        </w:rPr>
        <w:t xml:space="preserve">weight </w:t>
      </w:r>
      <w:r w:rsidR="007D0D47" w:rsidRPr="00C75904">
        <w:rPr>
          <w:rFonts w:ascii="Times New Roman" w:hAnsi="Times New Roman" w:cs="Times New Roman"/>
          <w:lang w:val="en-US"/>
        </w:rPr>
        <w:t xml:space="preserve">was </w:t>
      </w:r>
      <w:r w:rsidR="009F4609" w:rsidRPr="00C75904">
        <w:rPr>
          <w:rFonts w:ascii="Times New Roman" w:hAnsi="Times New Roman" w:cs="Times New Roman"/>
          <w:lang w:val="en-US"/>
        </w:rPr>
        <w:t>11</w:t>
      </w:r>
      <w:r w:rsidR="007D0D47" w:rsidRPr="00C75904">
        <w:rPr>
          <w:rFonts w:ascii="Times New Roman" w:hAnsi="Times New Roman" w:cs="Times New Roman"/>
          <w:lang w:val="en-US"/>
        </w:rPr>
        <w:t xml:space="preserve"> </w:t>
      </w:r>
      <w:r w:rsidR="009F4609" w:rsidRPr="00C75904">
        <w:rPr>
          <w:rFonts w:ascii="Times New Roman" w:hAnsi="Times New Roman" w:cs="Times New Roman"/>
          <w:lang w:val="en-US"/>
        </w:rPr>
        <w:t>kg (-3.1</w:t>
      </w:r>
      <w:r w:rsidR="007D0D47" w:rsidRPr="00C75904">
        <w:rPr>
          <w:rFonts w:ascii="Times New Roman" w:hAnsi="Times New Roman" w:cs="Times New Roman"/>
          <w:lang w:val="en-US"/>
        </w:rPr>
        <w:t xml:space="preserve"> </w:t>
      </w:r>
      <w:r w:rsidR="009F4609" w:rsidRPr="00C75904">
        <w:rPr>
          <w:rFonts w:ascii="Times New Roman" w:hAnsi="Times New Roman" w:cs="Times New Roman"/>
          <w:lang w:val="en-US"/>
        </w:rPr>
        <w:t>SD</w:t>
      </w:r>
      <w:r w:rsidR="007D0D47" w:rsidRPr="00C75904">
        <w:rPr>
          <w:rFonts w:ascii="Times New Roman" w:hAnsi="Times New Roman" w:cs="Times New Roman"/>
          <w:lang w:val="en-US"/>
        </w:rPr>
        <w:t>s</w:t>
      </w:r>
      <w:r w:rsidR="009F4609" w:rsidRPr="00C75904">
        <w:rPr>
          <w:rFonts w:ascii="Times New Roman" w:hAnsi="Times New Roman" w:cs="Times New Roman"/>
          <w:lang w:val="en-US"/>
        </w:rPr>
        <w:t>), length 106</w:t>
      </w:r>
      <w:r w:rsidR="00AC159F" w:rsidRPr="00C75904">
        <w:rPr>
          <w:rFonts w:ascii="Times New Roman" w:hAnsi="Times New Roman" w:cs="Times New Roman"/>
          <w:lang w:val="en-US"/>
        </w:rPr>
        <w:t xml:space="preserve"> </w:t>
      </w:r>
      <w:r w:rsidR="009F4609" w:rsidRPr="00C75904">
        <w:rPr>
          <w:rFonts w:ascii="Times New Roman" w:hAnsi="Times New Roman" w:cs="Times New Roman"/>
          <w:lang w:val="en-US"/>
        </w:rPr>
        <w:t>cm (-5.8</w:t>
      </w:r>
      <w:r w:rsidR="007D0D47" w:rsidRPr="00C75904">
        <w:rPr>
          <w:rFonts w:ascii="Times New Roman" w:hAnsi="Times New Roman" w:cs="Times New Roman"/>
          <w:lang w:val="en-US"/>
        </w:rPr>
        <w:t xml:space="preserve"> </w:t>
      </w:r>
      <w:r w:rsidR="009F4609" w:rsidRPr="00C75904">
        <w:rPr>
          <w:rFonts w:ascii="Times New Roman" w:hAnsi="Times New Roman" w:cs="Times New Roman"/>
          <w:lang w:val="en-US"/>
        </w:rPr>
        <w:t>SD</w:t>
      </w:r>
      <w:r w:rsidR="007D0D47" w:rsidRPr="00C75904">
        <w:rPr>
          <w:rFonts w:ascii="Times New Roman" w:hAnsi="Times New Roman" w:cs="Times New Roman"/>
          <w:lang w:val="en-US"/>
        </w:rPr>
        <w:t>s</w:t>
      </w:r>
      <w:r w:rsidR="009F4609" w:rsidRPr="00C75904">
        <w:rPr>
          <w:rFonts w:ascii="Times New Roman" w:hAnsi="Times New Roman" w:cs="Times New Roman"/>
          <w:lang w:val="en-US"/>
        </w:rPr>
        <w:t>) and head circumference 46.5</w:t>
      </w:r>
      <w:r w:rsidR="00AC159F" w:rsidRPr="00C75904">
        <w:rPr>
          <w:rFonts w:ascii="Times New Roman" w:hAnsi="Times New Roman" w:cs="Times New Roman"/>
          <w:lang w:val="en-US"/>
        </w:rPr>
        <w:t xml:space="preserve"> </w:t>
      </w:r>
      <w:r w:rsidR="009F4609" w:rsidRPr="00C75904">
        <w:rPr>
          <w:rFonts w:ascii="Times New Roman" w:hAnsi="Times New Roman" w:cs="Times New Roman"/>
          <w:lang w:val="en-US"/>
        </w:rPr>
        <w:t>cm (-4.9</w:t>
      </w:r>
      <w:r w:rsidR="007D0D47" w:rsidRPr="00C75904">
        <w:rPr>
          <w:rFonts w:ascii="Times New Roman" w:hAnsi="Times New Roman" w:cs="Times New Roman"/>
          <w:lang w:val="en-US"/>
        </w:rPr>
        <w:t xml:space="preserve"> </w:t>
      </w:r>
      <w:r w:rsidR="009F4609" w:rsidRPr="00C75904">
        <w:rPr>
          <w:rFonts w:ascii="Times New Roman" w:hAnsi="Times New Roman" w:cs="Times New Roman"/>
          <w:lang w:val="en-US"/>
        </w:rPr>
        <w:t>SD</w:t>
      </w:r>
      <w:r w:rsidR="007D0D47" w:rsidRPr="00C75904">
        <w:rPr>
          <w:rFonts w:ascii="Times New Roman" w:hAnsi="Times New Roman" w:cs="Times New Roman"/>
          <w:lang w:val="en-US"/>
        </w:rPr>
        <w:t>s</w:t>
      </w:r>
      <w:r w:rsidR="009F4609" w:rsidRPr="00C75904">
        <w:rPr>
          <w:rFonts w:ascii="Times New Roman" w:hAnsi="Times New Roman" w:cs="Times New Roman"/>
          <w:lang w:val="en-US"/>
        </w:rPr>
        <w:t>).</w:t>
      </w:r>
      <w:r w:rsidR="007D0D47" w:rsidRPr="00C75904">
        <w:rPr>
          <w:rFonts w:ascii="Times New Roman" w:hAnsi="Times New Roman" w:cs="Times New Roman"/>
          <w:lang w:val="en-US"/>
        </w:rPr>
        <w:t xml:space="preserve"> He had facial dysmorphic features (including </w:t>
      </w:r>
      <w:r w:rsidR="00C75904" w:rsidRPr="00C75904">
        <w:rPr>
          <w:rFonts w:ascii="Times New Roman" w:hAnsi="Times New Roman" w:cs="Times New Roman"/>
          <w:lang w:val="en-US"/>
        </w:rPr>
        <w:t xml:space="preserve">a </w:t>
      </w:r>
      <w:r w:rsidR="007D0D47" w:rsidRPr="00C75904">
        <w:rPr>
          <w:rFonts w:ascii="Times New Roman" w:hAnsi="Times New Roman" w:cs="Times New Roman"/>
          <w:lang w:val="en-US"/>
        </w:rPr>
        <w:t xml:space="preserve">long face with </w:t>
      </w:r>
      <w:r w:rsidR="00C75904" w:rsidRPr="00C75904">
        <w:rPr>
          <w:rFonts w:ascii="Times New Roman" w:hAnsi="Times New Roman" w:cs="Times New Roman"/>
          <w:lang w:val="en-US"/>
        </w:rPr>
        <w:t xml:space="preserve">a </w:t>
      </w:r>
      <w:r w:rsidR="007D0D47" w:rsidRPr="00C75904">
        <w:rPr>
          <w:rFonts w:ascii="Times New Roman" w:hAnsi="Times New Roman" w:cs="Times New Roman"/>
          <w:lang w:val="en-US"/>
        </w:rPr>
        <w:t xml:space="preserve">prominent chin, thick eyebrows, prominent nose, thick alveolar ridge, teeth deformities, </w:t>
      </w:r>
      <w:r w:rsidR="00AC159F" w:rsidRPr="00C75904">
        <w:rPr>
          <w:rFonts w:ascii="Times New Roman" w:hAnsi="Times New Roman" w:cs="Times New Roman"/>
          <w:lang w:val="en-US"/>
        </w:rPr>
        <w:t xml:space="preserve">a </w:t>
      </w:r>
      <w:r w:rsidR="007D0D47" w:rsidRPr="00C75904">
        <w:rPr>
          <w:rFonts w:ascii="Times New Roman" w:hAnsi="Times New Roman" w:cs="Times New Roman"/>
          <w:lang w:val="en-US"/>
        </w:rPr>
        <w:t>double row of teeth, and large ears) and musculoskeletal abnormalities</w:t>
      </w:r>
      <w:r w:rsidR="00AC159F" w:rsidRPr="00C75904">
        <w:rPr>
          <w:rFonts w:ascii="Times New Roman" w:hAnsi="Times New Roman" w:cs="Times New Roman"/>
          <w:lang w:val="en-US"/>
        </w:rPr>
        <w:t xml:space="preserve"> (</w:t>
      </w:r>
      <w:r w:rsidR="00B8707E">
        <w:rPr>
          <w:rFonts w:ascii="Times New Roman" w:hAnsi="Times New Roman" w:cs="Times New Roman"/>
          <w:lang w:val="en-US"/>
        </w:rPr>
        <w:t xml:space="preserve">kyphoscoliosis and </w:t>
      </w:r>
      <w:r w:rsidR="007D0D47" w:rsidRPr="00C75904">
        <w:rPr>
          <w:rFonts w:ascii="Times New Roman" w:hAnsi="Times New Roman" w:cs="Times New Roman"/>
          <w:lang w:val="en-US"/>
        </w:rPr>
        <w:t>long fingers</w:t>
      </w:r>
      <w:r w:rsidR="00B8707E">
        <w:rPr>
          <w:rFonts w:ascii="Times New Roman" w:hAnsi="Times New Roman" w:cs="Times New Roman"/>
          <w:lang w:val="en-US"/>
        </w:rPr>
        <w:t xml:space="preserve"> </w:t>
      </w:r>
      <w:r w:rsidR="007D0D47" w:rsidRPr="00C75904">
        <w:rPr>
          <w:rFonts w:ascii="Times New Roman" w:hAnsi="Times New Roman" w:cs="Times New Roman"/>
          <w:lang w:val="en-US"/>
        </w:rPr>
        <w:t>and toes</w:t>
      </w:r>
      <w:r w:rsidR="00AC159F" w:rsidRPr="00C75904">
        <w:rPr>
          <w:rFonts w:ascii="Times New Roman" w:hAnsi="Times New Roman" w:cs="Times New Roman"/>
          <w:lang w:val="en-US"/>
        </w:rPr>
        <w:t>)</w:t>
      </w:r>
      <w:r w:rsidR="007D0D47" w:rsidRPr="00C75904">
        <w:rPr>
          <w:rFonts w:ascii="Times New Roman" w:hAnsi="Times New Roman" w:cs="Times New Roman"/>
          <w:lang w:val="en-US"/>
        </w:rPr>
        <w:t>.</w:t>
      </w:r>
      <w:r w:rsidR="00AC159F" w:rsidRPr="00C75904">
        <w:rPr>
          <w:rFonts w:ascii="Times New Roman" w:hAnsi="Times New Roman" w:cs="Times New Roman"/>
          <w:lang w:val="en-US"/>
        </w:rPr>
        <w:t xml:space="preserve"> </w:t>
      </w:r>
      <w:r w:rsidR="007D0D47" w:rsidRPr="00C75904">
        <w:rPr>
          <w:rFonts w:ascii="Times New Roman" w:hAnsi="Times New Roman" w:cs="Times New Roman"/>
          <w:lang w:val="en-US"/>
        </w:rPr>
        <w:t>Neurological examination revealed nystagmus, drooling, spastici</w:t>
      </w:r>
      <w:r w:rsidR="00D67990">
        <w:rPr>
          <w:rFonts w:ascii="Times New Roman" w:hAnsi="Times New Roman" w:cs="Times New Roman"/>
          <w:lang w:val="en-US"/>
        </w:rPr>
        <w:t>ty, brisk reflexes, dyskinesia</w:t>
      </w:r>
      <w:r w:rsidR="007D0D47" w:rsidRPr="00C75904">
        <w:rPr>
          <w:rFonts w:ascii="Times New Roman" w:hAnsi="Times New Roman" w:cs="Times New Roman"/>
          <w:lang w:val="en-US"/>
        </w:rPr>
        <w:t>, and hands</w:t>
      </w:r>
      <w:r w:rsidR="00AC159F" w:rsidRPr="00C75904">
        <w:rPr>
          <w:rFonts w:ascii="Times New Roman" w:hAnsi="Times New Roman" w:cs="Times New Roman"/>
          <w:lang w:val="en-US"/>
        </w:rPr>
        <w:t xml:space="preserve"> and feet</w:t>
      </w:r>
      <w:r w:rsidR="007D0D47" w:rsidRPr="00C75904">
        <w:rPr>
          <w:rFonts w:ascii="Times New Roman" w:hAnsi="Times New Roman" w:cs="Times New Roman"/>
          <w:lang w:val="en-US"/>
        </w:rPr>
        <w:t xml:space="preserve"> contractures. The patient appeared irritable and showed excessive crying. He did not show significant social interaction and could not follow object</w:t>
      </w:r>
      <w:r w:rsidR="00AC159F" w:rsidRPr="00C75904">
        <w:rPr>
          <w:rFonts w:ascii="Times New Roman" w:hAnsi="Times New Roman" w:cs="Times New Roman"/>
          <w:lang w:val="en-US"/>
        </w:rPr>
        <w:t>s</w:t>
      </w:r>
      <w:r w:rsidR="007D0D47" w:rsidRPr="00C75904">
        <w:rPr>
          <w:rFonts w:ascii="Times New Roman" w:hAnsi="Times New Roman" w:cs="Times New Roman"/>
          <w:lang w:val="en-US"/>
        </w:rPr>
        <w:t>, but a mild response to sounds was observed.</w:t>
      </w:r>
      <w:r w:rsidR="009F4609" w:rsidRPr="00C75904">
        <w:rPr>
          <w:rFonts w:ascii="Times New Roman" w:hAnsi="Times New Roman" w:cs="Times New Roman"/>
          <w:lang w:val="en-US"/>
        </w:rPr>
        <w:t xml:space="preserve"> </w:t>
      </w:r>
      <w:r w:rsidR="007D0D47" w:rsidRPr="00C75904">
        <w:rPr>
          <w:rFonts w:ascii="Times New Roman" w:hAnsi="Times New Roman" w:cs="Times New Roman"/>
          <w:lang w:val="en-US"/>
        </w:rPr>
        <w:t>EEG showed bitemporal epileptogenic discharges</w:t>
      </w:r>
      <w:r w:rsidR="002A712F">
        <w:rPr>
          <w:rFonts w:ascii="Times New Roman" w:hAnsi="Times New Roman" w:cs="Times New Roman"/>
          <w:lang w:val="en-US"/>
        </w:rPr>
        <w:t xml:space="preserve"> with slow background activity</w:t>
      </w:r>
      <w:r w:rsidR="007D0D47" w:rsidRPr="00C75904">
        <w:rPr>
          <w:rFonts w:ascii="Times New Roman" w:hAnsi="Times New Roman" w:cs="Times New Roman"/>
          <w:lang w:val="en-US"/>
        </w:rPr>
        <w:t xml:space="preserve">. </w:t>
      </w:r>
      <w:r w:rsidR="00710165" w:rsidRPr="00C75904">
        <w:rPr>
          <w:rFonts w:ascii="Times New Roman" w:hAnsi="Times New Roman" w:cs="Times New Roman"/>
          <w:lang w:val="en-US"/>
        </w:rPr>
        <w:t xml:space="preserve">Brain MRI performed at 3 years of age showed CCH with prevalent involvement of the posterior sections, mild reduced periventricular white matter, inferior cerebellar vermis hypoplasia, swelling with T2 hyperintensity of the dentate nuclei, and cervical platyspondyly (Fig. 1C). </w:t>
      </w:r>
      <w:r w:rsidR="007D0D47" w:rsidRPr="00C75904">
        <w:rPr>
          <w:rFonts w:ascii="Times New Roman" w:hAnsi="Times New Roman" w:cs="Times New Roman"/>
          <w:lang w:val="en-US"/>
        </w:rPr>
        <w:t xml:space="preserve"> Extended metabolic </w:t>
      </w:r>
      <w:r w:rsidRPr="00C75904">
        <w:rPr>
          <w:rFonts w:ascii="Times New Roman" w:hAnsi="Times New Roman" w:cs="Times New Roman"/>
          <w:lang w:val="en-US"/>
        </w:rPr>
        <w:t xml:space="preserve">investigations </w:t>
      </w:r>
      <w:r w:rsidR="007D0D47" w:rsidRPr="00C75904">
        <w:rPr>
          <w:rFonts w:ascii="Times New Roman" w:hAnsi="Times New Roman" w:cs="Times New Roman"/>
          <w:lang w:val="en-US"/>
        </w:rPr>
        <w:t>yielded</w:t>
      </w:r>
      <w:r w:rsidRPr="00C75904">
        <w:rPr>
          <w:rFonts w:ascii="Times New Roman" w:hAnsi="Times New Roman" w:cs="Times New Roman"/>
          <w:lang w:val="en-US"/>
        </w:rPr>
        <w:t xml:space="preserve"> normal</w:t>
      </w:r>
      <w:r w:rsidR="007D0D47" w:rsidRPr="00C75904">
        <w:rPr>
          <w:rFonts w:ascii="Times New Roman" w:hAnsi="Times New Roman" w:cs="Times New Roman"/>
          <w:lang w:val="en-US"/>
        </w:rPr>
        <w:t xml:space="preserve"> results</w:t>
      </w:r>
      <w:r w:rsidRPr="00C75904">
        <w:rPr>
          <w:rFonts w:ascii="Times New Roman" w:hAnsi="Times New Roman" w:cs="Times New Roman"/>
          <w:lang w:val="en-US"/>
        </w:rPr>
        <w:t xml:space="preserve">. </w:t>
      </w:r>
    </w:p>
    <w:p w14:paraId="303CB1FB" w14:textId="10DB4442" w:rsidR="00771C29" w:rsidRPr="00C75904" w:rsidRDefault="00E23B3E" w:rsidP="00C75904">
      <w:pPr>
        <w:spacing w:line="480" w:lineRule="auto"/>
        <w:jc w:val="both"/>
        <w:rPr>
          <w:rFonts w:ascii="Times New Roman" w:hAnsi="Times New Roman" w:cs="Times New Roman"/>
          <w:lang w:val="en-US"/>
        </w:rPr>
      </w:pPr>
      <w:r w:rsidRPr="00C75904">
        <w:rPr>
          <w:rFonts w:ascii="Times New Roman" w:hAnsi="Times New Roman" w:cs="Times New Roman"/>
          <w:lang w:val="en-US"/>
        </w:rPr>
        <w:lastRenderedPageBreak/>
        <w:tab/>
      </w:r>
      <w:r w:rsidR="00903CA5">
        <w:rPr>
          <w:rFonts w:ascii="Times New Roman" w:hAnsi="Times New Roman" w:cs="Times New Roman"/>
          <w:lang w:val="en-US"/>
        </w:rPr>
        <w:t>Case F1-IV:4 i</w:t>
      </w:r>
      <w:r w:rsidRPr="00C75904">
        <w:rPr>
          <w:rFonts w:ascii="Times New Roman" w:hAnsi="Times New Roman" w:cs="Times New Roman"/>
          <w:lang w:val="en-US"/>
        </w:rPr>
        <w:t>s the youngest female</w:t>
      </w:r>
      <w:r w:rsidR="00F00461" w:rsidRPr="00C75904">
        <w:rPr>
          <w:rFonts w:ascii="Times New Roman" w:hAnsi="Times New Roman" w:cs="Times New Roman"/>
          <w:lang w:val="en-US"/>
        </w:rPr>
        <w:t>,</w:t>
      </w:r>
      <w:r w:rsidRPr="00C75904">
        <w:rPr>
          <w:rFonts w:ascii="Times New Roman" w:hAnsi="Times New Roman" w:cs="Times New Roman"/>
          <w:lang w:val="en-US"/>
        </w:rPr>
        <w:t xml:space="preserve"> aged 7.5</w:t>
      </w:r>
      <w:r w:rsidR="00F00461" w:rsidRPr="00C75904">
        <w:rPr>
          <w:rFonts w:ascii="Times New Roman" w:hAnsi="Times New Roman" w:cs="Times New Roman"/>
          <w:lang w:val="en-US"/>
        </w:rPr>
        <w:t>-</w:t>
      </w:r>
      <w:r w:rsidRPr="00C75904">
        <w:rPr>
          <w:rFonts w:ascii="Times New Roman" w:hAnsi="Times New Roman" w:cs="Times New Roman"/>
          <w:lang w:val="en-US"/>
        </w:rPr>
        <w:t>y</w:t>
      </w:r>
      <w:r w:rsidR="00F00461" w:rsidRPr="00C75904">
        <w:rPr>
          <w:rFonts w:ascii="Times New Roman" w:hAnsi="Times New Roman" w:cs="Times New Roman"/>
          <w:lang w:val="en-US"/>
        </w:rPr>
        <w:t>ear</w:t>
      </w:r>
      <w:r w:rsidR="00B8707E">
        <w:rPr>
          <w:rFonts w:ascii="Times New Roman" w:hAnsi="Times New Roman" w:cs="Times New Roman"/>
          <w:lang w:val="en-US"/>
        </w:rPr>
        <w:t>s</w:t>
      </w:r>
      <w:r w:rsidR="00F00461" w:rsidRPr="00C75904">
        <w:rPr>
          <w:rFonts w:ascii="Times New Roman" w:hAnsi="Times New Roman" w:cs="Times New Roman"/>
          <w:lang w:val="en-US"/>
        </w:rPr>
        <w:t>-</w:t>
      </w:r>
      <w:r w:rsidRPr="00C75904">
        <w:rPr>
          <w:rFonts w:ascii="Times New Roman" w:hAnsi="Times New Roman" w:cs="Times New Roman"/>
          <w:lang w:val="en-US"/>
        </w:rPr>
        <w:t>old</w:t>
      </w:r>
      <w:r w:rsidR="00F00461" w:rsidRPr="00C75904">
        <w:rPr>
          <w:rFonts w:ascii="Times New Roman" w:hAnsi="Times New Roman" w:cs="Times New Roman"/>
          <w:lang w:val="en-US"/>
        </w:rPr>
        <w:t xml:space="preserve"> at the time of the first clinical evaluation</w:t>
      </w:r>
      <w:r w:rsidRPr="00C75904">
        <w:rPr>
          <w:rFonts w:ascii="Times New Roman" w:hAnsi="Times New Roman" w:cs="Times New Roman"/>
          <w:lang w:val="en-US"/>
        </w:rPr>
        <w:t xml:space="preserve">. She </w:t>
      </w:r>
      <w:r w:rsidR="00F00461" w:rsidRPr="00C75904">
        <w:rPr>
          <w:rFonts w:ascii="Times New Roman" w:hAnsi="Times New Roman" w:cs="Times New Roman"/>
          <w:lang w:val="en-US"/>
        </w:rPr>
        <w:t xml:space="preserve">was diagnosed with a severe psychomotor delay </w:t>
      </w:r>
      <w:r w:rsidRPr="00C75904">
        <w:rPr>
          <w:rFonts w:ascii="Times New Roman" w:hAnsi="Times New Roman" w:cs="Times New Roman"/>
          <w:lang w:val="en-US"/>
        </w:rPr>
        <w:t xml:space="preserve">since early </w:t>
      </w:r>
      <w:r w:rsidR="00F00461" w:rsidRPr="00C75904">
        <w:rPr>
          <w:rFonts w:ascii="Times New Roman" w:hAnsi="Times New Roman" w:cs="Times New Roman"/>
          <w:lang w:val="en-US"/>
        </w:rPr>
        <w:t>infancy</w:t>
      </w:r>
      <w:r w:rsidR="00CF3A7D" w:rsidRPr="00C75904">
        <w:rPr>
          <w:rFonts w:ascii="Times New Roman" w:hAnsi="Times New Roman" w:cs="Times New Roman"/>
          <w:lang w:val="en-US"/>
        </w:rPr>
        <w:t>. S</w:t>
      </w:r>
      <w:r w:rsidRPr="00C75904">
        <w:rPr>
          <w:rFonts w:ascii="Times New Roman" w:hAnsi="Times New Roman" w:cs="Times New Roman"/>
          <w:lang w:val="en-US"/>
        </w:rPr>
        <w:t xml:space="preserve">he </w:t>
      </w:r>
      <w:r w:rsidR="00F00461" w:rsidRPr="00C75904">
        <w:rPr>
          <w:rFonts w:ascii="Times New Roman" w:hAnsi="Times New Roman" w:cs="Times New Roman"/>
          <w:lang w:val="en-US"/>
        </w:rPr>
        <w:t>lacked</w:t>
      </w:r>
      <w:r w:rsidRPr="00C75904">
        <w:rPr>
          <w:rFonts w:ascii="Times New Roman" w:hAnsi="Times New Roman" w:cs="Times New Roman"/>
          <w:lang w:val="en-US"/>
        </w:rPr>
        <w:t xml:space="preserve"> head </w:t>
      </w:r>
      <w:r w:rsidR="00F00461" w:rsidRPr="00C75904">
        <w:rPr>
          <w:rFonts w:ascii="Times New Roman" w:hAnsi="Times New Roman" w:cs="Times New Roman"/>
          <w:lang w:val="en-US"/>
        </w:rPr>
        <w:t>control</w:t>
      </w:r>
      <w:r w:rsidR="00CF3A7D" w:rsidRPr="00C75904">
        <w:rPr>
          <w:rFonts w:ascii="Times New Roman" w:hAnsi="Times New Roman" w:cs="Times New Roman"/>
          <w:lang w:val="en-US"/>
        </w:rPr>
        <w:t xml:space="preserve">, could not vocalize, and </w:t>
      </w:r>
      <w:r w:rsidR="00F00461" w:rsidRPr="00C75904">
        <w:rPr>
          <w:rFonts w:ascii="Times New Roman" w:hAnsi="Times New Roman" w:cs="Times New Roman"/>
          <w:lang w:val="en-US"/>
        </w:rPr>
        <w:t xml:space="preserve">only </w:t>
      </w:r>
      <w:r w:rsidRPr="00C75904">
        <w:rPr>
          <w:rFonts w:ascii="Times New Roman" w:hAnsi="Times New Roman" w:cs="Times New Roman"/>
          <w:lang w:val="en-US"/>
        </w:rPr>
        <w:t xml:space="preserve">occasionally </w:t>
      </w:r>
      <w:r w:rsidR="00F00461" w:rsidRPr="00C75904">
        <w:rPr>
          <w:rFonts w:ascii="Times New Roman" w:hAnsi="Times New Roman" w:cs="Times New Roman"/>
          <w:lang w:val="en-US"/>
        </w:rPr>
        <w:t xml:space="preserve">showed social </w:t>
      </w:r>
      <w:r w:rsidRPr="00C75904">
        <w:rPr>
          <w:rFonts w:ascii="Times New Roman" w:hAnsi="Times New Roman" w:cs="Times New Roman"/>
          <w:lang w:val="en-US"/>
        </w:rPr>
        <w:t>smil</w:t>
      </w:r>
      <w:r w:rsidR="00F00461" w:rsidRPr="00C75904">
        <w:rPr>
          <w:rFonts w:ascii="Times New Roman" w:hAnsi="Times New Roman" w:cs="Times New Roman"/>
          <w:lang w:val="en-US"/>
        </w:rPr>
        <w:t>ing after</w:t>
      </w:r>
      <w:r w:rsidRPr="00C75904">
        <w:rPr>
          <w:rFonts w:ascii="Times New Roman" w:hAnsi="Times New Roman" w:cs="Times New Roman"/>
          <w:lang w:val="en-US"/>
        </w:rPr>
        <w:t xml:space="preserve"> eye contact. </w:t>
      </w:r>
      <w:r w:rsidR="00CF3A7D" w:rsidRPr="00C75904">
        <w:rPr>
          <w:rFonts w:ascii="Times New Roman" w:hAnsi="Times New Roman" w:cs="Times New Roman"/>
          <w:lang w:val="en-US"/>
        </w:rPr>
        <w:t xml:space="preserve">Since infancy, she suffered from recurrent myoclonic seizures with temporo-parietal epileptogenic discharges </w:t>
      </w:r>
      <w:r w:rsidR="002A712F">
        <w:rPr>
          <w:rFonts w:ascii="Times New Roman" w:hAnsi="Times New Roman" w:cs="Times New Roman"/>
          <w:lang w:val="en-US"/>
        </w:rPr>
        <w:t xml:space="preserve">and slow background activity </w:t>
      </w:r>
      <w:r w:rsidR="00CF3A7D" w:rsidRPr="00C75904">
        <w:rPr>
          <w:rFonts w:ascii="Times New Roman" w:hAnsi="Times New Roman" w:cs="Times New Roman"/>
          <w:lang w:val="en-US"/>
        </w:rPr>
        <w:t xml:space="preserve">on the EEG. </w:t>
      </w:r>
      <w:r w:rsidR="00710165" w:rsidRPr="00C75904">
        <w:rPr>
          <w:rFonts w:ascii="Times New Roman" w:hAnsi="Times New Roman" w:cs="Times New Roman"/>
          <w:lang w:val="en-US"/>
        </w:rPr>
        <w:t xml:space="preserve">Brain MRI performed at 6 years of age showed CCH with prevalent involvement of the posterior sections, mild reduced periventricular white matter, marked enlargement of the frontotemporal subarachnoid spaces, inferior cerebellar vermis hypoplasia, swelling with T2 hyperintensity of the dentate nuclei, and cervical platyspondyly (Fig. 1C).  </w:t>
      </w:r>
      <w:r w:rsidR="00F00461" w:rsidRPr="00C75904">
        <w:rPr>
          <w:rFonts w:ascii="Times New Roman" w:hAnsi="Times New Roman" w:cs="Times New Roman"/>
          <w:lang w:val="en-US"/>
        </w:rPr>
        <w:t xml:space="preserve">At 7.5 years, </w:t>
      </w:r>
      <w:r w:rsidRPr="00C75904">
        <w:rPr>
          <w:rFonts w:ascii="Times New Roman" w:hAnsi="Times New Roman" w:cs="Times New Roman"/>
          <w:lang w:val="en-US"/>
        </w:rPr>
        <w:t>her weight was 11</w:t>
      </w:r>
      <w:r w:rsidR="00CF3A7D" w:rsidRPr="00C75904">
        <w:rPr>
          <w:rFonts w:ascii="Times New Roman" w:hAnsi="Times New Roman" w:cs="Times New Roman"/>
          <w:lang w:val="en-US"/>
        </w:rPr>
        <w:t xml:space="preserve"> </w:t>
      </w:r>
      <w:r w:rsidRPr="00C75904">
        <w:rPr>
          <w:rFonts w:ascii="Times New Roman" w:hAnsi="Times New Roman" w:cs="Times New Roman"/>
          <w:lang w:val="en-US"/>
        </w:rPr>
        <w:t>kg (-3</w:t>
      </w:r>
      <w:r w:rsidR="00CF3A7D" w:rsidRPr="00C75904">
        <w:rPr>
          <w:rFonts w:ascii="Times New Roman" w:hAnsi="Times New Roman" w:cs="Times New Roman"/>
          <w:lang w:val="en-US"/>
        </w:rPr>
        <w:t xml:space="preserve"> </w:t>
      </w:r>
      <w:r w:rsidRPr="00C75904">
        <w:rPr>
          <w:rFonts w:ascii="Times New Roman" w:hAnsi="Times New Roman" w:cs="Times New Roman"/>
          <w:lang w:val="en-US"/>
        </w:rPr>
        <w:t>SD</w:t>
      </w:r>
      <w:r w:rsidR="00CF3A7D" w:rsidRPr="00C75904">
        <w:rPr>
          <w:rFonts w:ascii="Times New Roman" w:hAnsi="Times New Roman" w:cs="Times New Roman"/>
          <w:lang w:val="en-US"/>
        </w:rPr>
        <w:t>s</w:t>
      </w:r>
      <w:r w:rsidRPr="00C75904">
        <w:rPr>
          <w:rFonts w:ascii="Times New Roman" w:hAnsi="Times New Roman" w:cs="Times New Roman"/>
          <w:lang w:val="en-US"/>
        </w:rPr>
        <w:t>), length 101</w:t>
      </w:r>
      <w:r w:rsidR="00CF3A7D" w:rsidRPr="00C75904">
        <w:rPr>
          <w:rFonts w:ascii="Times New Roman" w:hAnsi="Times New Roman" w:cs="Times New Roman"/>
          <w:lang w:val="en-US"/>
        </w:rPr>
        <w:t xml:space="preserve"> </w:t>
      </w:r>
      <w:r w:rsidRPr="00C75904">
        <w:rPr>
          <w:rFonts w:ascii="Times New Roman" w:hAnsi="Times New Roman" w:cs="Times New Roman"/>
          <w:lang w:val="en-US"/>
        </w:rPr>
        <w:t>cm (-4</w:t>
      </w:r>
      <w:r w:rsidR="00CF3A7D" w:rsidRPr="00C75904">
        <w:rPr>
          <w:rFonts w:ascii="Times New Roman" w:hAnsi="Times New Roman" w:cs="Times New Roman"/>
          <w:lang w:val="en-US"/>
        </w:rPr>
        <w:t xml:space="preserve"> </w:t>
      </w:r>
      <w:r w:rsidRPr="00C75904">
        <w:rPr>
          <w:rFonts w:ascii="Times New Roman" w:hAnsi="Times New Roman" w:cs="Times New Roman"/>
          <w:lang w:val="en-US"/>
        </w:rPr>
        <w:t>SD</w:t>
      </w:r>
      <w:r w:rsidR="00CF3A7D" w:rsidRPr="00C75904">
        <w:rPr>
          <w:rFonts w:ascii="Times New Roman" w:hAnsi="Times New Roman" w:cs="Times New Roman"/>
          <w:lang w:val="en-US"/>
        </w:rPr>
        <w:t>s</w:t>
      </w:r>
      <w:r w:rsidRPr="00C75904">
        <w:rPr>
          <w:rFonts w:ascii="Times New Roman" w:hAnsi="Times New Roman" w:cs="Times New Roman"/>
          <w:lang w:val="en-US"/>
        </w:rPr>
        <w:t>) and head circumference 47.5</w:t>
      </w:r>
      <w:r w:rsidR="00CF3A7D" w:rsidRPr="00C75904">
        <w:rPr>
          <w:rFonts w:ascii="Times New Roman" w:hAnsi="Times New Roman" w:cs="Times New Roman"/>
          <w:lang w:val="en-US"/>
        </w:rPr>
        <w:t xml:space="preserve"> </w:t>
      </w:r>
      <w:r w:rsidRPr="00C75904">
        <w:rPr>
          <w:rFonts w:ascii="Times New Roman" w:hAnsi="Times New Roman" w:cs="Times New Roman"/>
          <w:lang w:val="en-US"/>
        </w:rPr>
        <w:t>cm (-3.1</w:t>
      </w:r>
      <w:r w:rsidR="00CF3A7D" w:rsidRPr="00C75904">
        <w:rPr>
          <w:rFonts w:ascii="Times New Roman" w:hAnsi="Times New Roman" w:cs="Times New Roman"/>
          <w:lang w:val="en-US"/>
        </w:rPr>
        <w:t xml:space="preserve"> </w:t>
      </w:r>
      <w:r w:rsidRPr="00C75904">
        <w:rPr>
          <w:rFonts w:ascii="Times New Roman" w:hAnsi="Times New Roman" w:cs="Times New Roman"/>
          <w:lang w:val="en-US"/>
        </w:rPr>
        <w:t>SD</w:t>
      </w:r>
      <w:r w:rsidR="00CF3A7D" w:rsidRPr="00C75904">
        <w:rPr>
          <w:rFonts w:ascii="Times New Roman" w:hAnsi="Times New Roman" w:cs="Times New Roman"/>
          <w:lang w:val="en-US"/>
        </w:rPr>
        <w:t>s</w:t>
      </w:r>
      <w:r w:rsidRPr="00C75904">
        <w:rPr>
          <w:rFonts w:ascii="Times New Roman" w:hAnsi="Times New Roman" w:cs="Times New Roman"/>
          <w:lang w:val="en-US"/>
        </w:rPr>
        <w:t xml:space="preserve">). </w:t>
      </w:r>
      <w:r w:rsidR="00CF3A7D" w:rsidRPr="00C75904">
        <w:rPr>
          <w:rFonts w:ascii="Times New Roman" w:hAnsi="Times New Roman" w:cs="Times New Roman"/>
          <w:lang w:val="en-US"/>
        </w:rPr>
        <w:t>She had mild dysmorphic</w:t>
      </w:r>
      <w:r w:rsidRPr="00C75904">
        <w:rPr>
          <w:rFonts w:ascii="Times New Roman" w:hAnsi="Times New Roman" w:cs="Times New Roman"/>
          <w:lang w:val="en-US"/>
        </w:rPr>
        <w:t xml:space="preserve"> facial features</w:t>
      </w:r>
      <w:r w:rsidR="00CF3A7D" w:rsidRPr="00C75904">
        <w:rPr>
          <w:rFonts w:ascii="Times New Roman" w:hAnsi="Times New Roman" w:cs="Times New Roman"/>
          <w:lang w:val="en-US"/>
        </w:rPr>
        <w:t xml:space="preserve">, such as </w:t>
      </w:r>
      <w:r w:rsidR="00C75904" w:rsidRPr="00C75904">
        <w:rPr>
          <w:rFonts w:ascii="Times New Roman" w:hAnsi="Times New Roman" w:cs="Times New Roman"/>
          <w:lang w:val="en-US"/>
        </w:rPr>
        <w:t xml:space="preserve">a </w:t>
      </w:r>
      <w:r w:rsidRPr="00C75904">
        <w:rPr>
          <w:rFonts w:ascii="Times New Roman" w:hAnsi="Times New Roman" w:cs="Times New Roman"/>
          <w:lang w:val="en-US"/>
        </w:rPr>
        <w:t xml:space="preserve">long face, prominent nose, long philtrum, </w:t>
      </w:r>
      <w:r w:rsidR="00CF3A7D" w:rsidRPr="00C75904">
        <w:rPr>
          <w:rFonts w:ascii="Times New Roman" w:hAnsi="Times New Roman" w:cs="Times New Roman"/>
          <w:lang w:val="en-US"/>
        </w:rPr>
        <w:t>retrognathia</w:t>
      </w:r>
      <w:r w:rsidRPr="00C75904">
        <w:rPr>
          <w:rFonts w:ascii="Times New Roman" w:hAnsi="Times New Roman" w:cs="Times New Roman"/>
          <w:lang w:val="en-US"/>
        </w:rPr>
        <w:t>, abnormal teeth shape, thick alveolar ridge</w:t>
      </w:r>
      <w:r w:rsidR="00CF3A7D" w:rsidRPr="00C75904">
        <w:rPr>
          <w:rFonts w:ascii="Times New Roman" w:hAnsi="Times New Roman" w:cs="Times New Roman"/>
          <w:lang w:val="en-US"/>
        </w:rPr>
        <w:t>,</w:t>
      </w:r>
      <w:r w:rsidRPr="00C75904">
        <w:rPr>
          <w:rFonts w:ascii="Times New Roman" w:hAnsi="Times New Roman" w:cs="Times New Roman"/>
          <w:lang w:val="en-US"/>
        </w:rPr>
        <w:t xml:space="preserve"> and large ears with promi</w:t>
      </w:r>
      <w:r w:rsidR="00CF3A7D" w:rsidRPr="00C75904">
        <w:rPr>
          <w:rFonts w:ascii="Times New Roman" w:hAnsi="Times New Roman" w:cs="Times New Roman"/>
          <w:lang w:val="en-US"/>
        </w:rPr>
        <w:t>n</w:t>
      </w:r>
      <w:r w:rsidRPr="00C75904">
        <w:rPr>
          <w:rFonts w:ascii="Times New Roman" w:hAnsi="Times New Roman" w:cs="Times New Roman"/>
          <w:lang w:val="en-US"/>
        </w:rPr>
        <w:t>ent ant</w:t>
      </w:r>
      <w:r w:rsidR="00CF3A7D" w:rsidRPr="00C75904">
        <w:rPr>
          <w:rFonts w:ascii="Times New Roman" w:hAnsi="Times New Roman" w:cs="Times New Roman"/>
          <w:lang w:val="en-US"/>
        </w:rPr>
        <w:t>i</w:t>
      </w:r>
      <w:r w:rsidRPr="00C75904">
        <w:rPr>
          <w:rFonts w:ascii="Times New Roman" w:hAnsi="Times New Roman" w:cs="Times New Roman"/>
          <w:lang w:val="en-US"/>
        </w:rPr>
        <w:t xml:space="preserve">helix. </w:t>
      </w:r>
      <w:r w:rsidR="00CF3A7D" w:rsidRPr="00C75904">
        <w:rPr>
          <w:rFonts w:ascii="Times New Roman" w:hAnsi="Times New Roman" w:cs="Times New Roman"/>
          <w:lang w:val="en-US"/>
        </w:rPr>
        <w:t>On n</w:t>
      </w:r>
      <w:r w:rsidRPr="00C75904">
        <w:rPr>
          <w:rFonts w:ascii="Times New Roman" w:hAnsi="Times New Roman" w:cs="Times New Roman"/>
          <w:lang w:val="en-US"/>
        </w:rPr>
        <w:t xml:space="preserve">eurological </w:t>
      </w:r>
      <w:r w:rsidR="00CF3A7D" w:rsidRPr="00C75904">
        <w:rPr>
          <w:rFonts w:ascii="Times New Roman" w:hAnsi="Times New Roman" w:cs="Times New Roman"/>
          <w:lang w:val="en-US"/>
        </w:rPr>
        <w:t xml:space="preserve">examination, </w:t>
      </w:r>
      <w:r w:rsidRPr="00C75904">
        <w:rPr>
          <w:rFonts w:ascii="Times New Roman" w:hAnsi="Times New Roman" w:cs="Times New Roman"/>
          <w:lang w:val="en-US"/>
        </w:rPr>
        <w:t>nystagmus, spasticity</w:t>
      </w:r>
      <w:r w:rsidR="00CF3A7D" w:rsidRPr="00C75904">
        <w:rPr>
          <w:rFonts w:ascii="Times New Roman" w:hAnsi="Times New Roman" w:cs="Times New Roman"/>
          <w:lang w:val="en-US"/>
        </w:rPr>
        <w:t>,</w:t>
      </w:r>
      <w:r w:rsidRPr="00C75904">
        <w:rPr>
          <w:rFonts w:ascii="Times New Roman" w:hAnsi="Times New Roman" w:cs="Times New Roman"/>
          <w:lang w:val="en-US"/>
        </w:rPr>
        <w:t xml:space="preserve"> and brisk reflexes</w:t>
      </w:r>
      <w:r w:rsidR="00CF3A7D" w:rsidRPr="00C75904">
        <w:rPr>
          <w:rFonts w:ascii="Times New Roman" w:hAnsi="Times New Roman" w:cs="Times New Roman"/>
          <w:lang w:val="en-US"/>
        </w:rPr>
        <w:t xml:space="preserve"> were observed</w:t>
      </w:r>
      <w:r w:rsidRPr="00C75904">
        <w:rPr>
          <w:rFonts w:ascii="Times New Roman" w:hAnsi="Times New Roman" w:cs="Times New Roman"/>
          <w:lang w:val="en-US"/>
        </w:rPr>
        <w:t xml:space="preserve">. </w:t>
      </w:r>
      <w:r w:rsidR="00CF3A7D" w:rsidRPr="00C75904">
        <w:rPr>
          <w:rFonts w:ascii="Times New Roman" w:hAnsi="Times New Roman" w:cs="Times New Roman"/>
          <w:lang w:val="en-US"/>
        </w:rPr>
        <w:t xml:space="preserve">Metabolic </w:t>
      </w:r>
      <w:r w:rsidRPr="00C75904">
        <w:rPr>
          <w:rFonts w:ascii="Times New Roman" w:hAnsi="Times New Roman" w:cs="Times New Roman"/>
          <w:lang w:val="en-US"/>
        </w:rPr>
        <w:t xml:space="preserve">investigations were normal. </w:t>
      </w:r>
    </w:p>
    <w:p w14:paraId="088B788C" w14:textId="699C50F9" w:rsidR="00CF36EE" w:rsidRPr="00C75904" w:rsidRDefault="00CF36EE" w:rsidP="00C75904">
      <w:pPr>
        <w:spacing w:line="480" w:lineRule="auto"/>
        <w:jc w:val="both"/>
        <w:rPr>
          <w:rFonts w:ascii="Times New Roman" w:hAnsi="Times New Roman" w:cs="Times New Roman"/>
          <w:b/>
          <w:lang w:val="en-US"/>
        </w:rPr>
      </w:pPr>
    </w:p>
    <w:p w14:paraId="2CDB508D" w14:textId="28BE2EBC" w:rsidR="00CF36EE" w:rsidRPr="00C75904" w:rsidRDefault="00CF36EE" w:rsidP="00C75904">
      <w:pPr>
        <w:spacing w:line="480" w:lineRule="auto"/>
        <w:jc w:val="both"/>
        <w:rPr>
          <w:rFonts w:ascii="Times New Roman" w:hAnsi="Times New Roman" w:cs="Times New Roman"/>
          <w:b/>
          <w:lang w:val="en-US"/>
        </w:rPr>
      </w:pPr>
      <w:r w:rsidRPr="00C75904">
        <w:rPr>
          <w:rFonts w:ascii="Times New Roman" w:hAnsi="Times New Roman" w:cs="Times New Roman"/>
          <w:b/>
          <w:lang w:val="en-US"/>
        </w:rPr>
        <w:t>Family 2</w:t>
      </w:r>
    </w:p>
    <w:p w14:paraId="2384A498" w14:textId="027BC95A" w:rsidR="00DD3338" w:rsidRPr="00C75904" w:rsidRDefault="003F2315" w:rsidP="00C75904">
      <w:pPr>
        <w:spacing w:line="480" w:lineRule="auto"/>
        <w:jc w:val="both"/>
        <w:rPr>
          <w:rFonts w:ascii="Times New Roman" w:hAnsi="Times New Roman" w:cs="Times New Roman"/>
          <w:lang w:val="en-US"/>
        </w:rPr>
      </w:pPr>
      <w:r w:rsidRPr="00C75904">
        <w:rPr>
          <w:rFonts w:ascii="Times New Roman" w:hAnsi="Times New Roman" w:cs="Times New Roman"/>
          <w:lang w:val="en-US"/>
        </w:rPr>
        <w:tab/>
      </w:r>
      <w:r w:rsidR="00903CA5">
        <w:rPr>
          <w:rFonts w:ascii="Times New Roman" w:hAnsi="Times New Roman" w:cs="Times New Roman"/>
          <w:lang w:val="en-US"/>
        </w:rPr>
        <w:t>The proband (</w:t>
      </w:r>
      <w:r w:rsidR="00903CA5" w:rsidRPr="00903CA5">
        <w:rPr>
          <w:rFonts w:ascii="Times New Roman" w:hAnsi="Times New Roman" w:cs="Times New Roman"/>
          <w:lang w:val="en-US"/>
        </w:rPr>
        <w:t>F2-IV:3</w:t>
      </w:r>
      <w:r w:rsidR="00903CA5">
        <w:rPr>
          <w:rFonts w:ascii="Times New Roman" w:hAnsi="Times New Roman" w:cs="Times New Roman"/>
          <w:lang w:val="en-US"/>
        </w:rPr>
        <w:t>) is</w:t>
      </w:r>
      <w:r w:rsidR="00B8707E">
        <w:rPr>
          <w:rFonts w:ascii="Times New Roman" w:hAnsi="Times New Roman" w:cs="Times New Roman"/>
          <w:lang w:val="en-US"/>
        </w:rPr>
        <w:t xml:space="preserve"> a 5</w:t>
      </w:r>
      <w:r w:rsidR="00743475" w:rsidRPr="00C75904">
        <w:rPr>
          <w:rFonts w:ascii="Times New Roman" w:hAnsi="Times New Roman" w:cs="Times New Roman"/>
          <w:lang w:val="en-US"/>
        </w:rPr>
        <w:t>-year-old female born to consanguineous healthy parents. Family history was remarkable for a previous intrauterine fetal demise due to anencephaly.</w:t>
      </w:r>
      <w:r w:rsidR="001014F3" w:rsidRPr="00C75904">
        <w:rPr>
          <w:rFonts w:ascii="Times New Roman" w:hAnsi="Times New Roman" w:cs="Times New Roman"/>
          <w:lang w:val="en-US"/>
        </w:rPr>
        <w:t xml:space="preserve"> </w:t>
      </w:r>
      <w:r w:rsidR="00743475" w:rsidRPr="00C75904">
        <w:rPr>
          <w:rFonts w:ascii="Times New Roman" w:hAnsi="Times New Roman" w:cs="Times New Roman"/>
          <w:lang w:val="en-US"/>
        </w:rPr>
        <w:t>She was born at</w:t>
      </w:r>
      <w:r w:rsidR="00DD3338" w:rsidRPr="00C75904">
        <w:rPr>
          <w:rFonts w:ascii="Times New Roman" w:hAnsi="Times New Roman" w:cs="Times New Roman"/>
          <w:lang w:val="en-US"/>
        </w:rPr>
        <w:t xml:space="preserve"> 30 weeks gestation</w:t>
      </w:r>
      <w:r w:rsidR="00743475" w:rsidRPr="00C75904">
        <w:rPr>
          <w:rFonts w:ascii="Times New Roman" w:hAnsi="Times New Roman" w:cs="Times New Roman"/>
          <w:lang w:val="en-US"/>
        </w:rPr>
        <w:t xml:space="preserve"> after an uneventful twin pregnancy. </w:t>
      </w:r>
      <w:r w:rsidR="00DD3338" w:rsidRPr="00C75904">
        <w:rPr>
          <w:rFonts w:ascii="Times New Roman" w:hAnsi="Times New Roman" w:cs="Times New Roman"/>
          <w:lang w:val="en-US"/>
        </w:rPr>
        <w:t>Birth weight, length</w:t>
      </w:r>
      <w:r w:rsidR="00743475" w:rsidRPr="00C75904">
        <w:rPr>
          <w:rFonts w:ascii="Times New Roman" w:hAnsi="Times New Roman" w:cs="Times New Roman"/>
          <w:lang w:val="en-US"/>
        </w:rPr>
        <w:t>,</w:t>
      </w:r>
      <w:r w:rsidR="00DD3338" w:rsidRPr="00C75904">
        <w:rPr>
          <w:rFonts w:ascii="Times New Roman" w:hAnsi="Times New Roman" w:cs="Times New Roman"/>
          <w:lang w:val="en-US"/>
        </w:rPr>
        <w:t xml:space="preserve"> and head circumference were normal. </w:t>
      </w:r>
      <w:r w:rsidR="00033D25" w:rsidRPr="00C75904">
        <w:rPr>
          <w:rFonts w:ascii="Times New Roman" w:hAnsi="Times New Roman" w:cs="Times New Roman"/>
          <w:lang w:val="en-US"/>
        </w:rPr>
        <w:t xml:space="preserve">Her older sister and twin brother are both alive and healthy. </w:t>
      </w:r>
      <w:r w:rsidR="00743475" w:rsidRPr="00C75904">
        <w:rPr>
          <w:rFonts w:ascii="Times New Roman" w:hAnsi="Times New Roman" w:cs="Times New Roman"/>
          <w:lang w:val="en-US"/>
        </w:rPr>
        <w:t>At the age of 11 months, t</w:t>
      </w:r>
      <w:r w:rsidR="00DD3338" w:rsidRPr="00C75904">
        <w:rPr>
          <w:rFonts w:ascii="Times New Roman" w:hAnsi="Times New Roman" w:cs="Times New Roman"/>
          <w:lang w:val="en-US"/>
        </w:rPr>
        <w:t xml:space="preserve">he patient presented with </w:t>
      </w:r>
      <w:r w:rsidR="004B7423" w:rsidRPr="00C75904">
        <w:rPr>
          <w:rFonts w:ascii="Times New Roman" w:hAnsi="Times New Roman" w:cs="Times New Roman"/>
          <w:lang w:val="en-US"/>
        </w:rPr>
        <w:t>nystagmus</w:t>
      </w:r>
      <w:r w:rsidR="00743475" w:rsidRPr="00C75904">
        <w:rPr>
          <w:rFonts w:ascii="Times New Roman" w:hAnsi="Times New Roman" w:cs="Times New Roman"/>
          <w:lang w:val="en-US"/>
        </w:rPr>
        <w:t xml:space="preserve"> and developmental delay</w:t>
      </w:r>
      <w:r w:rsidR="004B7423" w:rsidRPr="00C75904">
        <w:rPr>
          <w:rFonts w:ascii="Times New Roman" w:hAnsi="Times New Roman" w:cs="Times New Roman"/>
          <w:lang w:val="en-US"/>
        </w:rPr>
        <w:t xml:space="preserve">. </w:t>
      </w:r>
      <w:r w:rsidR="00D63D56" w:rsidRPr="00C75904">
        <w:rPr>
          <w:rFonts w:ascii="Times New Roman" w:hAnsi="Times New Roman" w:cs="Times New Roman"/>
          <w:lang w:val="en-US"/>
        </w:rPr>
        <w:t>E</w:t>
      </w:r>
      <w:r w:rsidR="004B7423" w:rsidRPr="00C75904">
        <w:rPr>
          <w:rFonts w:ascii="Times New Roman" w:hAnsi="Times New Roman" w:cs="Times New Roman"/>
          <w:lang w:val="en-US"/>
        </w:rPr>
        <w:t>lectroretinography (ERG) and visual evoked potential (VEP)</w:t>
      </w:r>
      <w:r w:rsidR="00D63D56" w:rsidRPr="00C75904">
        <w:rPr>
          <w:rFonts w:ascii="Times New Roman" w:hAnsi="Times New Roman" w:cs="Times New Roman"/>
          <w:lang w:val="en-US"/>
        </w:rPr>
        <w:t xml:space="preserve"> showed bilateral retinal and visual pathway involvement, </w:t>
      </w:r>
      <w:r w:rsidR="00743475" w:rsidRPr="00C75904">
        <w:rPr>
          <w:rFonts w:ascii="Times New Roman" w:hAnsi="Times New Roman" w:cs="Times New Roman"/>
          <w:lang w:val="en-US"/>
        </w:rPr>
        <w:t xml:space="preserve">leading to a </w:t>
      </w:r>
      <w:r w:rsidR="00D63D56" w:rsidRPr="00C75904">
        <w:rPr>
          <w:rFonts w:ascii="Times New Roman" w:hAnsi="Times New Roman" w:cs="Times New Roman"/>
          <w:lang w:val="en-US"/>
        </w:rPr>
        <w:t>possible</w:t>
      </w:r>
      <w:r w:rsidR="00743475" w:rsidRPr="00C75904">
        <w:rPr>
          <w:rFonts w:ascii="Times New Roman" w:hAnsi="Times New Roman" w:cs="Times New Roman"/>
          <w:lang w:val="en-US"/>
        </w:rPr>
        <w:t xml:space="preserve"> diagnosis of</w:t>
      </w:r>
      <w:r w:rsidR="00D63D56" w:rsidRPr="00C75904">
        <w:rPr>
          <w:rFonts w:ascii="Times New Roman" w:hAnsi="Times New Roman" w:cs="Times New Roman"/>
          <w:lang w:val="en-US"/>
        </w:rPr>
        <w:t xml:space="preserve"> cone-rod dystrophy. </w:t>
      </w:r>
      <w:r w:rsidR="00710165" w:rsidRPr="00C75904">
        <w:rPr>
          <w:rFonts w:ascii="Times New Roman" w:hAnsi="Times New Roman" w:cs="Times New Roman"/>
          <w:lang w:val="en-US"/>
        </w:rPr>
        <w:t>Brain MRI showed CCH with prevalent involvement of the posterior sections</w:t>
      </w:r>
      <w:r w:rsidR="00512DA2" w:rsidRPr="00C75904">
        <w:rPr>
          <w:rFonts w:ascii="Times New Roman" w:hAnsi="Times New Roman" w:cs="Times New Roman"/>
          <w:lang w:val="en-US"/>
        </w:rPr>
        <w:t>, hypoplasia of the anterior commissure,</w:t>
      </w:r>
      <w:r w:rsidR="00710165" w:rsidRPr="00C75904">
        <w:rPr>
          <w:rFonts w:ascii="Times New Roman" w:hAnsi="Times New Roman" w:cs="Times New Roman"/>
          <w:lang w:val="en-US"/>
        </w:rPr>
        <w:t xml:space="preserve"> and mild reduced periventricular white matter with signal alterations. </w:t>
      </w:r>
      <w:r w:rsidR="00512DA2" w:rsidRPr="00C75904">
        <w:rPr>
          <w:rFonts w:ascii="Times New Roman" w:hAnsi="Times New Roman" w:cs="Times New Roman"/>
          <w:lang w:val="en-US"/>
        </w:rPr>
        <w:t xml:space="preserve">The inferior cerebellar vermis was small, and there was platyspondyly of the cervical vertebrae (Fig. 1C). </w:t>
      </w:r>
      <w:r w:rsidR="00743475" w:rsidRPr="00C75904">
        <w:rPr>
          <w:rFonts w:ascii="Times New Roman" w:hAnsi="Times New Roman" w:cs="Times New Roman"/>
          <w:lang w:val="en-US"/>
        </w:rPr>
        <w:t xml:space="preserve">Neurological examination revealed </w:t>
      </w:r>
      <w:r w:rsidR="00D63D56" w:rsidRPr="00C75904">
        <w:rPr>
          <w:rFonts w:ascii="Times New Roman" w:hAnsi="Times New Roman" w:cs="Times New Roman"/>
          <w:lang w:val="en-US"/>
        </w:rPr>
        <w:t>behavioral problems</w:t>
      </w:r>
      <w:r w:rsidR="00743475" w:rsidRPr="00C75904">
        <w:rPr>
          <w:rFonts w:ascii="Times New Roman" w:hAnsi="Times New Roman" w:cs="Times New Roman"/>
          <w:lang w:val="en-US"/>
        </w:rPr>
        <w:t xml:space="preserve"> consistent with autism spectrum disorder (ASD)</w:t>
      </w:r>
      <w:r w:rsidR="00D63D56" w:rsidRPr="00C75904">
        <w:rPr>
          <w:rFonts w:ascii="Times New Roman" w:hAnsi="Times New Roman" w:cs="Times New Roman"/>
          <w:lang w:val="en-US"/>
        </w:rPr>
        <w:t xml:space="preserve"> and visual impairment. She </w:t>
      </w:r>
      <w:r w:rsidR="00743475" w:rsidRPr="00C75904">
        <w:rPr>
          <w:rFonts w:ascii="Times New Roman" w:hAnsi="Times New Roman" w:cs="Times New Roman"/>
          <w:lang w:val="en-US"/>
        </w:rPr>
        <w:t>could sit</w:t>
      </w:r>
      <w:r w:rsidR="00D63D56" w:rsidRPr="00C75904">
        <w:rPr>
          <w:rFonts w:ascii="Times New Roman" w:hAnsi="Times New Roman" w:cs="Times New Roman"/>
          <w:lang w:val="en-US"/>
        </w:rPr>
        <w:t xml:space="preserve"> independently </w:t>
      </w:r>
      <w:r w:rsidR="00D63D56" w:rsidRPr="00C75904">
        <w:rPr>
          <w:rFonts w:ascii="Times New Roman" w:hAnsi="Times New Roman" w:cs="Times New Roman"/>
          <w:lang w:val="en-US"/>
        </w:rPr>
        <w:lastRenderedPageBreak/>
        <w:t xml:space="preserve">at </w:t>
      </w:r>
      <w:r w:rsidR="00743475" w:rsidRPr="00C75904">
        <w:rPr>
          <w:rFonts w:ascii="Times New Roman" w:hAnsi="Times New Roman" w:cs="Times New Roman"/>
          <w:lang w:val="en-US"/>
        </w:rPr>
        <w:t xml:space="preserve">the age of </w:t>
      </w:r>
      <w:r w:rsidR="00D63D56" w:rsidRPr="00C75904">
        <w:rPr>
          <w:rFonts w:ascii="Times New Roman" w:hAnsi="Times New Roman" w:cs="Times New Roman"/>
          <w:lang w:val="en-US"/>
        </w:rPr>
        <w:t>18 months</w:t>
      </w:r>
      <w:r w:rsidR="00743475" w:rsidRPr="00C75904">
        <w:rPr>
          <w:rFonts w:ascii="Times New Roman" w:hAnsi="Times New Roman" w:cs="Times New Roman"/>
          <w:lang w:val="en-US"/>
        </w:rPr>
        <w:t xml:space="preserve"> and</w:t>
      </w:r>
      <w:r w:rsidR="00D63D56" w:rsidRPr="00C75904">
        <w:rPr>
          <w:rFonts w:ascii="Times New Roman" w:hAnsi="Times New Roman" w:cs="Times New Roman"/>
          <w:lang w:val="en-US"/>
        </w:rPr>
        <w:t xml:space="preserve"> walk at </w:t>
      </w:r>
      <w:r w:rsidR="00743475" w:rsidRPr="00C75904">
        <w:rPr>
          <w:rFonts w:ascii="Times New Roman" w:hAnsi="Times New Roman" w:cs="Times New Roman"/>
          <w:lang w:val="en-US"/>
        </w:rPr>
        <w:t xml:space="preserve">the age of </w:t>
      </w:r>
      <w:r w:rsidR="00D63D56" w:rsidRPr="00C75904">
        <w:rPr>
          <w:rFonts w:ascii="Times New Roman" w:hAnsi="Times New Roman" w:cs="Times New Roman"/>
          <w:lang w:val="en-US"/>
        </w:rPr>
        <w:t>2 years</w:t>
      </w:r>
      <w:r w:rsidR="00743475" w:rsidRPr="00C75904">
        <w:rPr>
          <w:rFonts w:ascii="Times New Roman" w:hAnsi="Times New Roman" w:cs="Times New Roman"/>
          <w:lang w:val="en-US"/>
        </w:rPr>
        <w:t xml:space="preserve">. She said her </w:t>
      </w:r>
      <w:r w:rsidR="00D63D56" w:rsidRPr="00C75904">
        <w:rPr>
          <w:rFonts w:ascii="Times New Roman" w:hAnsi="Times New Roman" w:cs="Times New Roman"/>
          <w:lang w:val="en-US"/>
        </w:rPr>
        <w:t xml:space="preserve">first words at </w:t>
      </w:r>
      <w:r w:rsidR="00743475" w:rsidRPr="00C75904">
        <w:rPr>
          <w:rFonts w:ascii="Times New Roman" w:hAnsi="Times New Roman" w:cs="Times New Roman"/>
          <w:lang w:val="en-US"/>
        </w:rPr>
        <w:t xml:space="preserve">the age of </w:t>
      </w:r>
      <w:r w:rsidR="00D63D56" w:rsidRPr="00C75904">
        <w:rPr>
          <w:rFonts w:ascii="Times New Roman" w:hAnsi="Times New Roman" w:cs="Times New Roman"/>
          <w:lang w:val="en-US"/>
        </w:rPr>
        <w:t>3 years. Currently</w:t>
      </w:r>
      <w:r w:rsidR="00743475" w:rsidRPr="00C75904">
        <w:rPr>
          <w:rFonts w:ascii="Times New Roman" w:hAnsi="Times New Roman" w:cs="Times New Roman"/>
          <w:lang w:val="en-US"/>
        </w:rPr>
        <w:t>,</w:t>
      </w:r>
      <w:r w:rsidR="00D63D56" w:rsidRPr="00C75904">
        <w:rPr>
          <w:rFonts w:ascii="Times New Roman" w:hAnsi="Times New Roman" w:cs="Times New Roman"/>
          <w:lang w:val="en-US"/>
        </w:rPr>
        <w:t xml:space="preserve"> she </w:t>
      </w:r>
      <w:r w:rsidR="00743475" w:rsidRPr="00C75904">
        <w:rPr>
          <w:rFonts w:ascii="Times New Roman" w:hAnsi="Times New Roman" w:cs="Times New Roman"/>
          <w:lang w:val="en-US"/>
        </w:rPr>
        <w:t>can</w:t>
      </w:r>
      <w:r w:rsidR="00D63D56" w:rsidRPr="00C75904">
        <w:rPr>
          <w:rFonts w:ascii="Times New Roman" w:hAnsi="Times New Roman" w:cs="Times New Roman"/>
          <w:lang w:val="en-US"/>
        </w:rPr>
        <w:t xml:space="preserve"> walk</w:t>
      </w:r>
      <w:r w:rsidR="00743475" w:rsidRPr="00C75904">
        <w:rPr>
          <w:rFonts w:ascii="Times New Roman" w:hAnsi="Times New Roman" w:cs="Times New Roman"/>
          <w:lang w:val="en-US"/>
        </w:rPr>
        <w:t xml:space="preserve"> if supported, with</w:t>
      </w:r>
      <w:r w:rsidR="00D63D56" w:rsidRPr="00C75904">
        <w:rPr>
          <w:rFonts w:ascii="Times New Roman" w:hAnsi="Times New Roman" w:cs="Times New Roman"/>
          <w:lang w:val="en-US"/>
        </w:rPr>
        <w:t xml:space="preserve"> </w:t>
      </w:r>
      <w:r w:rsidR="00C75904" w:rsidRPr="00C75904">
        <w:rPr>
          <w:rFonts w:ascii="Times New Roman" w:hAnsi="Times New Roman" w:cs="Times New Roman"/>
          <w:lang w:val="en-US"/>
        </w:rPr>
        <w:t xml:space="preserve">an </w:t>
      </w:r>
      <w:r w:rsidR="00D63D56" w:rsidRPr="00C75904">
        <w:rPr>
          <w:rFonts w:ascii="Times New Roman" w:hAnsi="Times New Roman" w:cs="Times New Roman"/>
          <w:lang w:val="en-US"/>
        </w:rPr>
        <w:t>ataxic gait</w:t>
      </w:r>
      <w:r w:rsidR="00743475" w:rsidRPr="00C75904">
        <w:rPr>
          <w:rFonts w:ascii="Times New Roman" w:hAnsi="Times New Roman" w:cs="Times New Roman"/>
          <w:lang w:val="en-US"/>
        </w:rPr>
        <w:t>. She has</w:t>
      </w:r>
      <w:r w:rsidR="00D63D56" w:rsidRPr="00C75904">
        <w:rPr>
          <w:rFonts w:ascii="Times New Roman" w:hAnsi="Times New Roman" w:cs="Times New Roman"/>
          <w:lang w:val="en-US"/>
        </w:rPr>
        <w:t xml:space="preserve"> normal tone and reflexes. </w:t>
      </w:r>
      <w:r w:rsidR="00743475" w:rsidRPr="00C75904">
        <w:rPr>
          <w:rFonts w:ascii="Times New Roman" w:hAnsi="Times New Roman" w:cs="Times New Roman"/>
          <w:lang w:val="en-US"/>
        </w:rPr>
        <w:t>Her</w:t>
      </w:r>
      <w:r w:rsidR="00D63D56" w:rsidRPr="00C75904">
        <w:rPr>
          <w:rFonts w:ascii="Times New Roman" w:hAnsi="Times New Roman" w:cs="Times New Roman"/>
          <w:lang w:val="en-US"/>
        </w:rPr>
        <w:t xml:space="preserve"> </w:t>
      </w:r>
      <w:r w:rsidR="00743475" w:rsidRPr="00C75904">
        <w:rPr>
          <w:rFonts w:ascii="Times New Roman" w:hAnsi="Times New Roman" w:cs="Times New Roman"/>
          <w:lang w:val="en-US"/>
        </w:rPr>
        <w:t xml:space="preserve">expressive and receptive </w:t>
      </w:r>
      <w:r w:rsidR="00D63D56" w:rsidRPr="00C75904">
        <w:rPr>
          <w:rFonts w:ascii="Times New Roman" w:hAnsi="Times New Roman" w:cs="Times New Roman"/>
          <w:lang w:val="en-US"/>
        </w:rPr>
        <w:t>language development</w:t>
      </w:r>
      <w:r w:rsidR="00743475" w:rsidRPr="00C75904">
        <w:rPr>
          <w:rFonts w:ascii="Times New Roman" w:hAnsi="Times New Roman" w:cs="Times New Roman"/>
          <w:lang w:val="en-US"/>
        </w:rPr>
        <w:t xml:space="preserve"> is very limited</w:t>
      </w:r>
      <w:r w:rsidR="00D63D56" w:rsidRPr="00C75904">
        <w:rPr>
          <w:rFonts w:ascii="Times New Roman" w:hAnsi="Times New Roman" w:cs="Times New Roman"/>
          <w:lang w:val="en-US"/>
        </w:rPr>
        <w:t xml:space="preserve">. </w:t>
      </w:r>
      <w:r w:rsidR="0045592B" w:rsidRPr="00C75904">
        <w:rPr>
          <w:rFonts w:ascii="Times New Roman" w:hAnsi="Times New Roman" w:cs="Times New Roman"/>
          <w:lang w:val="en-US"/>
        </w:rPr>
        <w:t>Behavioral problems includ</w:t>
      </w:r>
      <w:r w:rsidR="00743475" w:rsidRPr="00C75904">
        <w:rPr>
          <w:rFonts w:ascii="Times New Roman" w:hAnsi="Times New Roman" w:cs="Times New Roman"/>
          <w:lang w:val="en-US"/>
        </w:rPr>
        <w:t>e</w:t>
      </w:r>
      <w:r w:rsidR="0045592B" w:rsidRPr="00C75904">
        <w:rPr>
          <w:rFonts w:ascii="Times New Roman" w:hAnsi="Times New Roman" w:cs="Times New Roman"/>
          <w:lang w:val="en-US"/>
        </w:rPr>
        <w:t xml:space="preserve"> irritability, stereotyp</w:t>
      </w:r>
      <w:r w:rsidR="00743475" w:rsidRPr="00C75904">
        <w:rPr>
          <w:rFonts w:ascii="Times New Roman" w:hAnsi="Times New Roman" w:cs="Times New Roman"/>
          <w:lang w:val="en-US"/>
        </w:rPr>
        <w:t>ed movements,</w:t>
      </w:r>
      <w:r w:rsidR="00D63D56" w:rsidRPr="00C75904">
        <w:rPr>
          <w:rFonts w:ascii="Times New Roman" w:hAnsi="Times New Roman" w:cs="Times New Roman"/>
          <w:lang w:val="en-US"/>
        </w:rPr>
        <w:t xml:space="preserve"> and self-injurious</w:t>
      </w:r>
      <w:r w:rsidR="0045592B" w:rsidRPr="00C75904">
        <w:rPr>
          <w:rFonts w:ascii="Times New Roman" w:hAnsi="Times New Roman" w:cs="Times New Roman"/>
          <w:lang w:val="en-US"/>
        </w:rPr>
        <w:t xml:space="preserve"> behavior. </w:t>
      </w:r>
      <w:r w:rsidR="00743475" w:rsidRPr="00C75904">
        <w:rPr>
          <w:rFonts w:ascii="Times New Roman" w:hAnsi="Times New Roman" w:cs="Times New Roman"/>
          <w:lang w:val="en-US"/>
        </w:rPr>
        <w:t>She was never diagnosed with</w:t>
      </w:r>
      <w:r w:rsidR="0045592B" w:rsidRPr="00C75904">
        <w:rPr>
          <w:rFonts w:ascii="Times New Roman" w:hAnsi="Times New Roman" w:cs="Times New Roman"/>
          <w:lang w:val="en-US"/>
        </w:rPr>
        <w:t xml:space="preserve"> seizures</w:t>
      </w:r>
      <w:r w:rsidR="00B8707E">
        <w:rPr>
          <w:rFonts w:ascii="Times New Roman" w:hAnsi="Times New Roman" w:cs="Times New Roman"/>
          <w:lang w:val="en-US"/>
        </w:rPr>
        <w:t>,</w:t>
      </w:r>
      <w:r w:rsidR="00743475" w:rsidRPr="00C75904">
        <w:rPr>
          <w:rFonts w:ascii="Times New Roman" w:hAnsi="Times New Roman" w:cs="Times New Roman"/>
          <w:lang w:val="en-US"/>
        </w:rPr>
        <w:t xml:space="preserve"> and her EEG is normal</w:t>
      </w:r>
      <w:r w:rsidR="0045592B" w:rsidRPr="00C75904">
        <w:rPr>
          <w:rFonts w:ascii="Times New Roman" w:hAnsi="Times New Roman" w:cs="Times New Roman"/>
          <w:lang w:val="en-US"/>
        </w:rPr>
        <w:t xml:space="preserve">. </w:t>
      </w:r>
      <w:r w:rsidR="00743475" w:rsidRPr="00C75904">
        <w:rPr>
          <w:rFonts w:ascii="Times New Roman" w:hAnsi="Times New Roman" w:cs="Times New Roman"/>
          <w:lang w:val="en-US"/>
        </w:rPr>
        <w:t xml:space="preserve">Physical examination at the age of 4.6 years did not show relevant dysmorphic features </w:t>
      </w:r>
      <w:r w:rsidR="00B8707E">
        <w:rPr>
          <w:rFonts w:ascii="Times New Roman" w:hAnsi="Times New Roman" w:cs="Times New Roman"/>
          <w:lang w:val="en-US"/>
        </w:rPr>
        <w:t>nor</w:t>
      </w:r>
      <w:r w:rsidR="00743475" w:rsidRPr="00C75904">
        <w:rPr>
          <w:rFonts w:ascii="Times New Roman" w:hAnsi="Times New Roman" w:cs="Times New Roman"/>
          <w:lang w:val="en-US"/>
        </w:rPr>
        <w:t xml:space="preserve"> musculoskeletal abnormalities.</w:t>
      </w:r>
      <w:r w:rsidR="0045592B" w:rsidRPr="00C75904">
        <w:rPr>
          <w:rFonts w:ascii="Times New Roman" w:hAnsi="Times New Roman" w:cs="Times New Roman"/>
          <w:lang w:val="en-US"/>
        </w:rPr>
        <w:t xml:space="preserve"> </w:t>
      </w:r>
      <w:r w:rsidR="00743475" w:rsidRPr="00C75904">
        <w:rPr>
          <w:rFonts w:ascii="Times New Roman" w:hAnsi="Times New Roman" w:cs="Times New Roman"/>
          <w:lang w:val="en-US"/>
        </w:rPr>
        <w:t>Her</w:t>
      </w:r>
      <w:r w:rsidR="0045592B" w:rsidRPr="00C75904">
        <w:rPr>
          <w:rFonts w:ascii="Times New Roman" w:hAnsi="Times New Roman" w:cs="Times New Roman"/>
          <w:lang w:val="en-US"/>
        </w:rPr>
        <w:t xml:space="preserve"> growth parameters </w:t>
      </w:r>
      <w:r w:rsidR="00743475" w:rsidRPr="00C75904">
        <w:rPr>
          <w:rFonts w:ascii="Times New Roman" w:hAnsi="Times New Roman" w:cs="Times New Roman"/>
          <w:lang w:val="en-US"/>
        </w:rPr>
        <w:t>are normal</w:t>
      </w:r>
      <w:r w:rsidR="0045592B" w:rsidRPr="00C75904">
        <w:rPr>
          <w:rFonts w:ascii="Times New Roman" w:hAnsi="Times New Roman" w:cs="Times New Roman"/>
          <w:lang w:val="en-US"/>
        </w:rPr>
        <w:t>. Metabolic work</w:t>
      </w:r>
      <w:r w:rsidR="00743475" w:rsidRPr="00C75904">
        <w:rPr>
          <w:rFonts w:ascii="Times New Roman" w:hAnsi="Times New Roman" w:cs="Times New Roman"/>
          <w:lang w:val="en-US"/>
        </w:rPr>
        <w:t>-</w:t>
      </w:r>
      <w:r w:rsidR="0045592B" w:rsidRPr="00C75904">
        <w:rPr>
          <w:rFonts w:ascii="Times New Roman" w:hAnsi="Times New Roman" w:cs="Times New Roman"/>
          <w:lang w:val="en-US"/>
        </w:rPr>
        <w:t>up was unremarkable.</w:t>
      </w:r>
    </w:p>
    <w:p w14:paraId="268EA302" w14:textId="40FC25BD" w:rsidR="007B4E7A" w:rsidRPr="00C75904" w:rsidRDefault="007B4E7A" w:rsidP="00C75904">
      <w:pPr>
        <w:spacing w:line="480" w:lineRule="auto"/>
        <w:jc w:val="both"/>
        <w:rPr>
          <w:rFonts w:ascii="Times New Roman" w:hAnsi="Times New Roman" w:cs="Times New Roman"/>
          <w:b/>
          <w:bCs/>
          <w:lang w:val="en-US"/>
        </w:rPr>
      </w:pPr>
    </w:p>
    <w:p w14:paraId="229F694D" w14:textId="4C824A32" w:rsidR="00AC159F" w:rsidRPr="00C75904" w:rsidRDefault="00D56A81" w:rsidP="00E23B3E">
      <w:pPr>
        <w:spacing w:line="480" w:lineRule="auto"/>
        <w:rPr>
          <w:rFonts w:ascii="Times New Roman" w:hAnsi="Times New Roman" w:cs="Times New Roman"/>
          <w:b/>
          <w:bCs/>
          <w:lang w:val="en-US"/>
        </w:rPr>
      </w:pPr>
      <w:r>
        <w:rPr>
          <w:rFonts w:ascii="Times New Roman" w:hAnsi="Times New Roman" w:cs="Times New Roman"/>
          <w:b/>
          <w:bCs/>
          <w:lang w:val="en-US"/>
        </w:rPr>
        <w:t>2</w:t>
      </w:r>
      <w:r w:rsidR="008D134C" w:rsidRPr="00C75904">
        <w:rPr>
          <w:rFonts w:ascii="Times New Roman" w:hAnsi="Times New Roman" w:cs="Times New Roman"/>
          <w:b/>
          <w:bCs/>
          <w:lang w:val="en-US"/>
        </w:rPr>
        <w:t>. Supplementary Tables</w:t>
      </w:r>
    </w:p>
    <w:p w14:paraId="58977016" w14:textId="7DFA2627" w:rsidR="00E21DCF" w:rsidRPr="00C75904" w:rsidRDefault="00E21DCF" w:rsidP="00E21DCF">
      <w:pPr>
        <w:spacing w:line="480" w:lineRule="auto"/>
        <w:rPr>
          <w:rFonts w:ascii="Times New Roman" w:hAnsi="Times New Roman" w:cs="Times New Roman"/>
          <w:b/>
          <w:bCs/>
          <w:lang w:val="en-US"/>
        </w:rPr>
      </w:pPr>
      <w:r w:rsidRPr="00C75904">
        <w:rPr>
          <w:rFonts w:ascii="Times New Roman" w:hAnsi="Times New Roman" w:cs="Times New Roman"/>
          <w:b/>
          <w:bCs/>
          <w:lang w:val="en-US"/>
        </w:rPr>
        <w:t xml:space="preserve">Supplementary Table 1. </w:t>
      </w:r>
      <w:r w:rsidR="00064CE3">
        <w:rPr>
          <w:rFonts w:ascii="Times New Roman" w:hAnsi="Times New Roman" w:cs="Times New Roman"/>
          <w:b/>
          <w:bCs/>
          <w:lang w:val="en-US"/>
        </w:rPr>
        <w:t>P</w:t>
      </w:r>
      <w:r w:rsidR="00064CE3" w:rsidRPr="00064CE3">
        <w:rPr>
          <w:rFonts w:ascii="Times New Roman" w:hAnsi="Times New Roman" w:cs="Times New Roman"/>
          <w:b/>
          <w:bCs/>
          <w:lang w:val="en-US"/>
        </w:rPr>
        <w:t xml:space="preserve">henotypic comparison associated with defects in </w:t>
      </w:r>
      <w:r w:rsidR="00064CE3" w:rsidRPr="00064CE3">
        <w:rPr>
          <w:rFonts w:ascii="Times New Roman" w:hAnsi="Times New Roman" w:cs="Times New Roman"/>
          <w:b/>
          <w:bCs/>
          <w:i/>
          <w:lang w:val="en-US"/>
        </w:rPr>
        <w:t>WIPI2</w:t>
      </w:r>
      <w:r w:rsidR="00064CE3" w:rsidRPr="00064CE3">
        <w:rPr>
          <w:rFonts w:ascii="Times New Roman" w:hAnsi="Times New Roman" w:cs="Times New Roman"/>
          <w:b/>
          <w:bCs/>
          <w:lang w:val="en-US"/>
        </w:rPr>
        <w:t xml:space="preserve">, </w:t>
      </w:r>
      <w:r w:rsidR="00064CE3" w:rsidRPr="00064CE3">
        <w:rPr>
          <w:rFonts w:ascii="Times New Roman" w:hAnsi="Times New Roman" w:cs="Times New Roman"/>
          <w:b/>
          <w:bCs/>
          <w:i/>
          <w:lang w:val="en-US"/>
        </w:rPr>
        <w:t xml:space="preserve">WIPI3 </w:t>
      </w:r>
      <w:r w:rsidR="00064CE3" w:rsidRPr="00064CE3">
        <w:rPr>
          <w:rFonts w:ascii="Times New Roman" w:hAnsi="Times New Roman" w:cs="Times New Roman"/>
          <w:b/>
          <w:bCs/>
          <w:lang w:val="en-US"/>
        </w:rPr>
        <w:t xml:space="preserve">and </w:t>
      </w:r>
      <w:r w:rsidR="00064CE3" w:rsidRPr="00064CE3">
        <w:rPr>
          <w:rFonts w:ascii="Times New Roman" w:hAnsi="Times New Roman" w:cs="Times New Roman"/>
          <w:b/>
          <w:bCs/>
          <w:i/>
          <w:lang w:val="en-US"/>
        </w:rPr>
        <w:t>WIPI4</w:t>
      </w:r>
      <w:r w:rsidR="00064CE3" w:rsidRPr="00064CE3">
        <w:rPr>
          <w:rFonts w:ascii="Times New Roman" w:hAnsi="Times New Roman" w:cs="Times New Roman"/>
          <w:b/>
          <w:bCs/>
          <w:lang w:val="en-US"/>
        </w:rPr>
        <w:t xml:space="preserve"> genes</w:t>
      </w:r>
    </w:p>
    <w:tbl>
      <w:tblPr>
        <w:tblStyle w:val="TableGrid1"/>
        <w:tblW w:w="9356" w:type="dxa"/>
        <w:tblInd w:w="-147" w:type="dxa"/>
        <w:tblLayout w:type="fixed"/>
        <w:tblLook w:val="04A0" w:firstRow="1" w:lastRow="0" w:firstColumn="1" w:lastColumn="0" w:noHBand="0" w:noVBand="1"/>
      </w:tblPr>
      <w:tblGrid>
        <w:gridCol w:w="872"/>
        <w:gridCol w:w="1430"/>
        <w:gridCol w:w="1682"/>
        <w:gridCol w:w="1867"/>
        <w:gridCol w:w="1946"/>
        <w:gridCol w:w="1559"/>
      </w:tblGrid>
      <w:tr w:rsidR="00C75904" w:rsidRPr="00C75904" w14:paraId="0CA67106" w14:textId="77777777" w:rsidTr="00AD6C3F">
        <w:trPr>
          <w:trHeight w:val="157"/>
        </w:trPr>
        <w:tc>
          <w:tcPr>
            <w:tcW w:w="872" w:type="dxa"/>
          </w:tcPr>
          <w:p w14:paraId="121C0EEB" w14:textId="77777777" w:rsidR="00C75904" w:rsidRPr="00C75904" w:rsidRDefault="00C75904" w:rsidP="00C75904">
            <w:pPr>
              <w:rPr>
                <w:b/>
                <w:sz w:val="12"/>
                <w:szCs w:val="12"/>
              </w:rPr>
            </w:pPr>
            <w:r w:rsidRPr="00C75904">
              <w:rPr>
                <w:b/>
                <w:sz w:val="12"/>
                <w:szCs w:val="12"/>
              </w:rPr>
              <w:t>Gene</w:t>
            </w:r>
          </w:p>
        </w:tc>
        <w:tc>
          <w:tcPr>
            <w:tcW w:w="1430" w:type="dxa"/>
          </w:tcPr>
          <w:p w14:paraId="59751946" w14:textId="77777777" w:rsidR="00C75904" w:rsidRPr="00C75904" w:rsidRDefault="00C75904" w:rsidP="00C75904">
            <w:pPr>
              <w:jc w:val="center"/>
              <w:rPr>
                <w:b/>
                <w:sz w:val="12"/>
                <w:szCs w:val="12"/>
              </w:rPr>
            </w:pPr>
          </w:p>
        </w:tc>
        <w:tc>
          <w:tcPr>
            <w:tcW w:w="1682" w:type="dxa"/>
          </w:tcPr>
          <w:p w14:paraId="7C576C57" w14:textId="77777777" w:rsidR="00C75904" w:rsidRPr="00064CE3" w:rsidRDefault="00C75904" w:rsidP="00C75904">
            <w:pPr>
              <w:jc w:val="center"/>
              <w:rPr>
                <w:b/>
                <w:i/>
                <w:sz w:val="12"/>
                <w:szCs w:val="12"/>
              </w:rPr>
            </w:pPr>
            <w:r w:rsidRPr="00064CE3">
              <w:rPr>
                <w:b/>
                <w:i/>
                <w:sz w:val="12"/>
                <w:szCs w:val="12"/>
              </w:rPr>
              <w:t>WIPI2</w:t>
            </w:r>
          </w:p>
        </w:tc>
        <w:tc>
          <w:tcPr>
            <w:tcW w:w="1867" w:type="dxa"/>
          </w:tcPr>
          <w:p w14:paraId="40E4449C" w14:textId="77777777" w:rsidR="00C75904" w:rsidRPr="00064CE3" w:rsidRDefault="00C75904" w:rsidP="00C75904">
            <w:pPr>
              <w:jc w:val="center"/>
              <w:rPr>
                <w:b/>
                <w:i/>
                <w:sz w:val="12"/>
                <w:szCs w:val="12"/>
              </w:rPr>
            </w:pPr>
            <w:r w:rsidRPr="00064CE3">
              <w:rPr>
                <w:b/>
                <w:i/>
                <w:sz w:val="12"/>
                <w:szCs w:val="12"/>
              </w:rPr>
              <w:t>WIPI3</w:t>
            </w:r>
          </w:p>
        </w:tc>
        <w:tc>
          <w:tcPr>
            <w:tcW w:w="3505" w:type="dxa"/>
            <w:gridSpan w:val="2"/>
          </w:tcPr>
          <w:p w14:paraId="1028EA05" w14:textId="77777777" w:rsidR="00C75904" w:rsidRPr="00064CE3" w:rsidRDefault="00C75904" w:rsidP="00C75904">
            <w:pPr>
              <w:jc w:val="center"/>
              <w:rPr>
                <w:b/>
                <w:i/>
                <w:sz w:val="12"/>
                <w:szCs w:val="12"/>
              </w:rPr>
            </w:pPr>
            <w:r w:rsidRPr="00064CE3">
              <w:rPr>
                <w:b/>
                <w:i/>
                <w:sz w:val="12"/>
                <w:szCs w:val="12"/>
              </w:rPr>
              <w:t>WIPI4</w:t>
            </w:r>
          </w:p>
        </w:tc>
      </w:tr>
      <w:tr w:rsidR="00C75904" w:rsidRPr="00C75904" w14:paraId="73B9A3C3" w14:textId="77777777" w:rsidTr="00AD6C3F">
        <w:trPr>
          <w:trHeight w:val="157"/>
        </w:trPr>
        <w:tc>
          <w:tcPr>
            <w:tcW w:w="872" w:type="dxa"/>
          </w:tcPr>
          <w:p w14:paraId="684AB74A" w14:textId="77777777" w:rsidR="00C75904" w:rsidRPr="00C75904" w:rsidRDefault="00C75904" w:rsidP="00C75904">
            <w:pPr>
              <w:rPr>
                <w:b/>
                <w:sz w:val="12"/>
                <w:szCs w:val="12"/>
              </w:rPr>
            </w:pPr>
            <w:r w:rsidRPr="00C75904">
              <w:rPr>
                <w:b/>
                <w:sz w:val="12"/>
                <w:szCs w:val="12"/>
              </w:rPr>
              <w:t>Inheritance</w:t>
            </w:r>
          </w:p>
        </w:tc>
        <w:tc>
          <w:tcPr>
            <w:tcW w:w="1430" w:type="dxa"/>
          </w:tcPr>
          <w:p w14:paraId="15666FFF" w14:textId="77777777" w:rsidR="00C75904" w:rsidRPr="00C75904" w:rsidRDefault="00C75904" w:rsidP="00C75904">
            <w:pPr>
              <w:jc w:val="center"/>
              <w:rPr>
                <w:b/>
                <w:sz w:val="12"/>
                <w:szCs w:val="12"/>
              </w:rPr>
            </w:pPr>
          </w:p>
        </w:tc>
        <w:tc>
          <w:tcPr>
            <w:tcW w:w="1682" w:type="dxa"/>
          </w:tcPr>
          <w:p w14:paraId="15E34283" w14:textId="77777777" w:rsidR="00C75904" w:rsidRPr="00C75904" w:rsidRDefault="00C75904" w:rsidP="00C75904">
            <w:pPr>
              <w:jc w:val="center"/>
              <w:rPr>
                <w:b/>
                <w:sz w:val="12"/>
                <w:szCs w:val="12"/>
              </w:rPr>
            </w:pPr>
            <w:r w:rsidRPr="00C75904">
              <w:rPr>
                <w:b/>
                <w:sz w:val="12"/>
                <w:szCs w:val="12"/>
              </w:rPr>
              <w:t>AR</w:t>
            </w:r>
          </w:p>
        </w:tc>
        <w:tc>
          <w:tcPr>
            <w:tcW w:w="1867" w:type="dxa"/>
          </w:tcPr>
          <w:p w14:paraId="4A7B49E5" w14:textId="77777777" w:rsidR="00C75904" w:rsidRPr="00C75904" w:rsidRDefault="00C75904" w:rsidP="00C75904">
            <w:pPr>
              <w:jc w:val="center"/>
              <w:rPr>
                <w:b/>
                <w:sz w:val="12"/>
                <w:szCs w:val="12"/>
              </w:rPr>
            </w:pPr>
            <w:r w:rsidRPr="00C75904">
              <w:rPr>
                <w:b/>
                <w:sz w:val="12"/>
                <w:szCs w:val="12"/>
              </w:rPr>
              <w:t>AR</w:t>
            </w:r>
          </w:p>
        </w:tc>
        <w:tc>
          <w:tcPr>
            <w:tcW w:w="3505" w:type="dxa"/>
            <w:gridSpan w:val="2"/>
          </w:tcPr>
          <w:p w14:paraId="76CEB9C5" w14:textId="77777777" w:rsidR="00C75904" w:rsidRPr="00C75904" w:rsidRDefault="00C75904" w:rsidP="00C75904">
            <w:pPr>
              <w:jc w:val="center"/>
              <w:rPr>
                <w:b/>
                <w:sz w:val="12"/>
                <w:szCs w:val="12"/>
              </w:rPr>
            </w:pPr>
            <w:r w:rsidRPr="00C75904">
              <w:rPr>
                <w:b/>
                <w:sz w:val="12"/>
                <w:szCs w:val="12"/>
              </w:rPr>
              <w:t>X-linked</w:t>
            </w:r>
          </w:p>
        </w:tc>
      </w:tr>
      <w:tr w:rsidR="00C75904" w:rsidRPr="00C75904" w14:paraId="3863F5D7" w14:textId="77777777" w:rsidTr="00AD6C3F">
        <w:trPr>
          <w:trHeight w:val="611"/>
        </w:trPr>
        <w:tc>
          <w:tcPr>
            <w:tcW w:w="872" w:type="dxa"/>
          </w:tcPr>
          <w:p w14:paraId="33CC70F1" w14:textId="77777777" w:rsidR="00C75904" w:rsidRPr="00C75904" w:rsidRDefault="00C75904" w:rsidP="00C75904">
            <w:pPr>
              <w:rPr>
                <w:b/>
                <w:sz w:val="12"/>
                <w:szCs w:val="12"/>
              </w:rPr>
            </w:pPr>
          </w:p>
        </w:tc>
        <w:tc>
          <w:tcPr>
            <w:tcW w:w="1430" w:type="dxa"/>
          </w:tcPr>
          <w:p w14:paraId="4515A631" w14:textId="77777777" w:rsidR="00C75904" w:rsidRPr="00C75904" w:rsidRDefault="00C75904" w:rsidP="00C75904">
            <w:pPr>
              <w:jc w:val="center"/>
              <w:rPr>
                <w:sz w:val="12"/>
                <w:szCs w:val="12"/>
              </w:rPr>
            </w:pPr>
          </w:p>
          <w:p w14:paraId="6A957B11" w14:textId="77777777" w:rsidR="00C75904" w:rsidRPr="00C75904" w:rsidRDefault="00C75904" w:rsidP="00C75904">
            <w:pPr>
              <w:jc w:val="center"/>
              <w:rPr>
                <w:sz w:val="12"/>
                <w:szCs w:val="12"/>
              </w:rPr>
            </w:pPr>
            <w:r w:rsidRPr="00C75904">
              <w:rPr>
                <w:sz w:val="12"/>
                <w:szCs w:val="12"/>
              </w:rPr>
              <w:t>Disorder</w:t>
            </w:r>
          </w:p>
          <w:p w14:paraId="039F3025" w14:textId="77777777" w:rsidR="00C75904" w:rsidRPr="00C75904" w:rsidRDefault="00C75904" w:rsidP="00C75904">
            <w:pPr>
              <w:jc w:val="center"/>
              <w:rPr>
                <w:b/>
                <w:sz w:val="12"/>
                <w:szCs w:val="12"/>
              </w:rPr>
            </w:pPr>
            <w:r w:rsidRPr="00C75904">
              <w:rPr>
                <w:sz w:val="12"/>
                <w:szCs w:val="12"/>
              </w:rPr>
              <w:t>(OMIM)</w:t>
            </w:r>
          </w:p>
        </w:tc>
        <w:tc>
          <w:tcPr>
            <w:tcW w:w="1682" w:type="dxa"/>
          </w:tcPr>
          <w:p w14:paraId="0D069D50" w14:textId="77777777" w:rsidR="00C75904" w:rsidRPr="00C75904" w:rsidRDefault="00C75904" w:rsidP="00C75904">
            <w:pPr>
              <w:jc w:val="both"/>
              <w:rPr>
                <w:sz w:val="12"/>
                <w:szCs w:val="12"/>
              </w:rPr>
            </w:pPr>
            <w:r w:rsidRPr="00C75904">
              <w:rPr>
                <w:sz w:val="12"/>
                <w:szCs w:val="12"/>
              </w:rPr>
              <w:t>Intellectual developmental disorder with short stature and variable skeletal anomalies (IDSSA, #618453)</w:t>
            </w:r>
          </w:p>
        </w:tc>
        <w:tc>
          <w:tcPr>
            <w:tcW w:w="1867" w:type="dxa"/>
          </w:tcPr>
          <w:p w14:paraId="51CDBD6F" w14:textId="77777777" w:rsidR="00C75904" w:rsidRPr="00C75904" w:rsidRDefault="00C75904" w:rsidP="00C75904">
            <w:pPr>
              <w:jc w:val="center"/>
              <w:rPr>
                <w:sz w:val="12"/>
                <w:szCs w:val="12"/>
              </w:rPr>
            </w:pPr>
            <w:r w:rsidRPr="00C75904">
              <w:rPr>
                <w:sz w:val="12"/>
                <w:szCs w:val="12"/>
              </w:rPr>
              <w:t xml:space="preserve">Neurodevelopmental disorder with spastic quadriplegia and brain abnormalities with or without seizures </w:t>
            </w:r>
          </w:p>
          <w:p w14:paraId="5CE92E14" w14:textId="77777777" w:rsidR="00C75904" w:rsidRPr="00C75904" w:rsidRDefault="00C75904" w:rsidP="00C75904">
            <w:pPr>
              <w:jc w:val="center"/>
              <w:rPr>
                <w:b/>
                <w:sz w:val="12"/>
                <w:szCs w:val="12"/>
              </w:rPr>
            </w:pPr>
            <w:r w:rsidRPr="00C75904">
              <w:rPr>
                <w:sz w:val="12"/>
                <w:szCs w:val="12"/>
              </w:rPr>
              <w:t>(NEDSBAS, #617977)</w:t>
            </w:r>
          </w:p>
        </w:tc>
        <w:tc>
          <w:tcPr>
            <w:tcW w:w="3505" w:type="dxa"/>
            <w:gridSpan w:val="2"/>
          </w:tcPr>
          <w:p w14:paraId="78999E89" w14:textId="77777777" w:rsidR="00C75904" w:rsidRPr="00C75904" w:rsidRDefault="00C75904" w:rsidP="00C75904">
            <w:pPr>
              <w:jc w:val="center"/>
              <w:rPr>
                <w:sz w:val="12"/>
                <w:szCs w:val="12"/>
              </w:rPr>
            </w:pPr>
            <w:r w:rsidRPr="00C75904">
              <w:rPr>
                <w:sz w:val="12"/>
                <w:szCs w:val="12"/>
              </w:rPr>
              <w:t>Static encephalopathy of childhood with neurodegeneration in adulthood; (SENDA #300894)</w:t>
            </w:r>
          </w:p>
        </w:tc>
      </w:tr>
      <w:tr w:rsidR="00C75904" w:rsidRPr="00C75904" w14:paraId="49BED973" w14:textId="77777777" w:rsidTr="00AD6C3F">
        <w:trPr>
          <w:trHeight w:val="314"/>
        </w:trPr>
        <w:tc>
          <w:tcPr>
            <w:tcW w:w="872" w:type="dxa"/>
          </w:tcPr>
          <w:p w14:paraId="6DDB0D8C" w14:textId="77777777" w:rsidR="00C75904" w:rsidRPr="00C75904" w:rsidRDefault="00C75904" w:rsidP="00C75904">
            <w:pPr>
              <w:rPr>
                <w:sz w:val="12"/>
                <w:szCs w:val="12"/>
              </w:rPr>
            </w:pPr>
          </w:p>
        </w:tc>
        <w:tc>
          <w:tcPr>
            <w:tcW w:w="1430" w:type="dxa"/>
          </w:tcPr>
          <w:p w14:paraId="07A3A8E7" w14:textId="77777777" w:rsidR="00C75904" w:rsidRPr="00C75904" w:rsidRDefault="00C75904" w:rsidP="00C75904">
            <w:pPr>
              <w:jc w:val="center"/>
              <w:rPr>
                <w:sz w:val="12"/>
                <w:szCs w:val="12"/>
              </w:rPr>
            </w:pPr>
          </w:p>
        </w:tc>
        <w:tc>
          <w:tcPr>
            <w:tcW w:w="1682" w:type="dxa"/>
          </w:tcPr>
          <w:p w14:paraId="2C934EE8" w14:textId="77777777" w:rsidR="00C75904" w:rsidRPr="00C75904" w:rsidRDefault="00C75904" w:rsidP="00C75904">
            <w:pPr>
              <w:jc w:val="center"/>
              <w:rPr>
                <w:sz w:val="12"/>
                <w:szCs w:val="12"/>
              </w:rPr>
            </w:pPr>
          </w:p>
          <w:p w14:paraId="2A46DB78" w14:textId="77777777" w:rsidR="00C75904" w:rsidRPr="00C75904" w:rsidRDefault="00C75904" w:rsidP="00C75904">
            <w:pPr>
              <w:jc w:val="center"/>
              <w:rPr>
                <w:sz w:val="12"/>
                <w:szCs w:val="12"/>
              </w:rPr>
            </w:pPr>
            <w:r w:rsidRPr="00C75904">
              <w:rPr>
                <w:sz w:val="12"/>
                <w:szCs w:val="12"/>
              </w:rPr>
              <w:t>6-8 cases</w:t>
            </w:r>
          </w:p>
        </w:tc>
        <w:tc>
          <w:tcPr>
            <w:tcW w:w="1867" w:type="dxa"/>
          </w:tcPr>
          <w:p w14:paraId="7B5E657A" w14:textId="77777777" w:rsidR="00C75904" w:rsidRPr="00C75904" w:rsidRDefault="00C75904" w:rsidP="00C75904">
            <w:pPr>
              <w:jc w:val="center"/>
              <w:rPr>
                <w:sz w:val="12"/>
                <w:szCs w:val="12"/>
              </w:rPr>
            </w:pPr>
          </w:p>
          <w:p w14:paraId="6F68062F" w14:textId="77777777" w:rsidR="00C75904" w:rsidRPr="00C75904" w:rsidRDefault="00C75904" w:rsidP="00C75904">
            <w:pPr>
              <w:jc w:val="center"/>
              <w:rPr>
                <w:sz w:val="12"/>
                <w:szCs w:val="12"/>
              </w:rPr>
            </w:pPr>
            <w:r w:rsidRPr="00C75904">
              <w:rPr>
                <w:sz w:val="12"/>
                <w:szCs w:val="12"/>
              </w:rPr>
              <w:t>10 cases</w:t>
            </w:r>
          </w:p>
        </w:tc>
        <w:tc>
          <w:tcPr>
            <w:tcW w:w="1946" w:type="dxa"/>
          </w:tcPr>
          <w:p w14:paraId="04C22580" w14:textId="52B8027B" w:rsidR="00C75904" w:rsidRPr="00C75904" w:rsidRDefault="00C75904" w:rsidP="00C75904">
            <w:pPr>
              <w:jc w:val="center"/>
              <w:rPr>
                <w:sz w:val="12"/>
                <w:szCs w:val="12"/>
              </w:rPr>
            </w:pPr>
            <w:proofErr w:type="spellStart"/>
            <w:r w:rsidRPr="00C75904">
              <w:rPr>
                <w:sz w:val="12"/>
                <w:szCs w:val="12"/>
              </w:rPr>
              <w:t>Stige</w:t>
            </w:r>
            <w:proofErr w:type="spellEnd"/>
            <w:r w:rsidRPr="00C75904">
              <w:rPr>
                <w:sz w:val="12"/>
                <w:szCs w:val="12"/>
              </w:rPr>
              <w:t xml:space="preserve"> et al., 2018</w:t>
            </w:r>
          </w:p>
          <w:p w14:paraId="27254CAF" w14:textId="77777777" w:rsidR="00C75904" w:rsidRPr="00C75904" w:rsidRDefault="00C75904" w:rsidP="00C75904">
            <w:pPr>
              <w:jc w:val="center"/>
              <w:rPr>
                <w:sz w:val="12"/>
                <w:szCs w:val="12"/>
              </w:rPr>
            </w:pPr>
            <w:r w:rsidRPr="00C75904">
              <w:rPr>
                <w:sz w:val="12"/>
                <w:szCs w:val="12"/>
              </w:rPr>
              <w:t>64 cases</w:t>
            </w:r>
          </w:p>
        </w:tc>
        <w:tc>
          <w:tcPr>
            <w:tcW w:w="1559" w:type="dxa"/>
          </w:tcPr>
          <w:p w14:paraId="5CFB9D5B" w14:textId="77777777" w:rsidR="00C75904" w:rsidRPr="00C75904" w:rsidRDefault="00C75904" w:rsidP="00C75904">
            <w:pPr>
              <w:jc w:val="center"/>
              <w:rPr>
                <w:sz w:val="12"/>
                <w:szCs w:val="12"/>
              </w:rPr>
            </w:pPr>
            <w:proofErr w:type="spellStart"/>
            <w:r w:rsidRPr="00C75904">
              <w:rPr>
                <w:sz w:val="12"/>
                <w:szCs w:val="12"/>
              </w:rPr>
              <w:t>Adang</w:t>
            </w:r>
            <w:proofErr w:type="spellEnd"/>
            <w:r w:rsidRPr="00C75904">
              <w:rPr>
                <w:sz w:val="12"/>
                <w:szCs w:val="12"/>
              </w:rPr>
              <w:t xml:space="preserve"> et al., 2020</w:t>
            </w:r>
          </w:p>
          <w:p w14:paraId="3BD08659" w14:textId="4DE79EEB" w:rsidR="00C75904" w:rsidRPr="00C75904" w:rsidRDefault="00C75904" w:rsidP="00C75904">
            <w:pPr>
              <w:jc w:val="center"/>
              <w:rPr>
                <w:sz w:val="12"/>
                <w:szCs w:val="12"/>
              </w:rPr>
            </w:pPr>
            <w:r w:rsidRPr="00C75904">
              <w:rPr>
                <w:sz w:val="12"/>
                <w:szCs w:val="12"/>
              </w:rPr>
              <w:t>123 cases</w:t>
            </w:r>
          </w:p>
        </w:tc>
      </w:tr>
      <w:tr w:rsidR="00C75904" w:rsidRPr="00C75904" w14:paraId="2D53EE7D" w14:textId="77777777" w:rsidTr="00AD6C3F">
        <w:trPr>
          <w:trHeight w:val="149"/>
        </w:trPr>
        <w:tc>
          <w:tcPr>
            <w:tcW w:w="872" w:type="dxa"/>
            <w:vMerge w:val="restart"/>
            <w:textDirection w:val="btLr"/>
          </w:tcPr>
          <w:p w14:paraId="39A8F7CE" w14:textId="77777777" w:rsidR="00C75904" w:rsidRPr="00C75904" w:rsidRDefault="00C75904" w:rsidP="00C75904">
            <w:pPr>
              <w:ind w:left="113" w:right="113"/>
              <w:jc w:val="center"/>
              <w:rPr>
                <w:b/>
                <w:sz w:val="12"/>
                <w:szCs w:val="12"/>
              </w:rPr>
            </w:pPr>
          </w:p>
          <w:p w14:paraId="22376A50" w14:textId="77777777" w:rsidR="00C75904" w:rsidRPr="00C75904" w:rsidRDefault="00C75904" w:rsidP="00C75904">
            <w:pPr>
              <w:ind w:left="113" w:right="113"/>
              <w:jc w:val="center"/>
              <w:rPr>
                <w:b/>
                <w:sz w:val="12"/>
                <w:szCs w:val="12"/>
              </w:rPr>
            </w:pPr>
            <w:r w:rsidRPr="00C75904">
              <w:rPr>
                <w:b/>
                <w:sz w:val="12"/>
                <w:szCs w:val="12"/>
              </w:rPr>
              <w:t>Clinical findings</w:t>
            </w:r>
          </w:p>
          <w:p w14:paraId="42F635AF" w14:textId="77777777" w:rsidR="00C75904" w:rsidRPr="00C75904" w:rsidRDefault="00C75904" w:rsidP="00C75904">
            <w:pPr>
              <w:ind w:left="720" w:right="113"/>
              <w:jc w:val="center"/>
              <w:rPr>
                <w:b/>
                <w:sz w:val="12"/>
                <w:szCs w:val="12"/>
              </w:rPr>
            </w:pPr>
          </w:p>
        </w:tc>
        <w:tc>
          <w:tcPr>
            <w:tcW w:w="1430" w:type="dxa"/>
          </w:tcPr>
          <w:p w14:paraId="7A76645F" w14:textId="77777777" w:rsidR="00C75904" w:rsidRPr="00C75904" w:rsidRDefault="00C75904" w:rsidP="00C75904">
            <w:pPr>
              <w:rPr>
                <w:sz w:val="12"/>
                <w:szCs w:val="12"/>
              </w:rPr>
            </w:pPr>
            <w:r w:rsidRPr="00C75904">
              <w:rPr>
                <w:sz w:val="12"/>
                <w:szCs w:val="12"/>
              </w:rPr>
              <w:t>DD</w:t>
            </w:r>
          </w:p>
        </w:tc>
        <w:tc>
          <w:tcPr>
            <w:tcW w:w="1682" w:type="dxa"/>
          </w:tcPr>
          <w:p w14:paraId="2AF57CA3" w14:textId="77777777" w:rsidR="00C75904" w:rsidRPr="00C75904" w:rsidRDefault="00C75904" w:rsidP="00C75904">
            <w:pPr>
              <w:jc w:val="center"/>
              <w:rPr>
                <w:sz w:val="12"/>
                <w:szCs w:val="12"/>
              </w:rPr>
            </w:pPr>
            <w:r w:rsidRPr="00C75904">
              <w:rPr>
                <w:sz w:val="12"/>
                <w:szCs w:val="12"/>
              </w:rPr>
              <w:t>6/6 (100%)</w:t>
            </w:r>
          </w:p>
        </w:tc>
        <w:tc>
          <w:tcPr>
            <w:tcW w:w="1867" w:type="dxa"/>
          </w:tcPr>
          <w:p w14:paraId="26BB30E3" w14:textId="77777777" w:rsidR="00C75904" w:rsidRPr="00C75904" w:rsidRDefault="00C75904" w:rsidP="00C75904">
            <w:pPr>
              <w:jc w:val="center"/>
              <w:rPr>
                <w:sz w:val="12"/>
                <w:szCs w:val="12"/>
              </w:rPr>
            </w:pPr>
            <w:r w:rsidRPr="00C75904">
              <w:rPr>
                <w:sz w:val="12"/>
                <w:szCs w:val="12"/>
              </w:rPr>
              <w:t>7/10 (70%)</w:t>
            </w:r>
          </w:p>
        </w:tc>
        <w:tc>
          <w:tcPr>
            <w:tcW w:w="1946" w:type="dxa"/>
          </w:tcPr>
          <w:p w14:paraId="764F4CBA" w14:textId="77777777" w:rsidR="00C75904" w:rsidRPr="00C75904" w:rsidRDefault="00C75904" w:rsidP="00C75904">
            <w:pPr>
              <w:jc w:val="center"/>
              <w:rPr>
                <w:sz w:val="12"/>
                <w:szCs w:val="12"/>
              </w:rPr>
            </w:pPr>
            <w:r w:rsidRPr="00C75904">
              <w:rPr>
                <w:sz w:val="12"/>
                <w:szCs w:val="12"/>
              </w:rPr>
              <w:t>64/64 (100%)</w:t>
            </w:r>
          </w:p>
        </w:tc>
        <w:tc>
          <w:tcPr>
            <w:tcW w:w="1559" w:type="dxa"/>
          </w:tcPr>
          <w:p w14:paraId="5B3F7AB9" w14:textId="77777777" w:rsidR="00C75904" w:rsidRPr="00C75904" w:rsidRDefault="00C75904" w:rsidP="00C75904">
            <w:pPr>
              <w:jc w:val="center"/>
              <w:rPr>
                <w:sz w:val="12"/>
                <w:szCs w:val="12"/>
              </w:rPr>
            </w:pPr>
            <w:r w:rsidRPr="00C75904">
              <w:rPr>
                <w:sz w:val="12"/>
                <w:szCs w:val="12"/>
              </w:rPr>
              <w:t>74/123 (60.5%)</w:t>
            </w:r>
          </w:p>
        </w:tc>
      </w:tr>
      <w:tr w:rsidR="00C75904" w:rsidRPr="00C75904" w14:paraId="5937C7B3" w14:textId="77777777" w:rsidTr="00AD6C3F">
        <w:trPr>
          <w:trHeight w:val="165"/>
        </w:trPr>
        <w:tc>
          <w:tcPr>
            <w:tcW w:w="872" w:type="dxa"/>
            <w:vMerge/>
          </w:tcPr>
          <w:p w14:paraId="07F0FEBD" w14:textId="77777777" w:rsidR="00C75904" w:rsidRPr="00C75904" w:rsidRDefault="00C75904" w:rsidP="00C75904">
            <w:pPr>
              <w:rPr>
                <w:sz w:val="12"/>
                <w:szCs w:val="12"/>
              </w:rPr>
            </w:pPr>
          </w:p>
        </w:tc>
        <w:tc>
          <w:tcPr>
            <w:tcW w:w="1430" w:type="dxa"/>
          </w:tcPr>
          <w:p w14:paraId="43695D85" w14:textId="77777777" w:rsidR="00C75904" w:rsidRPr="00C75904" w:rsidRDefault="00C75904" w:rsidP="00C75904">
            <w:pPr>
              <w:rPr>
                <w:sz w:val="12"/>
                <w:szCs w:val="12"/>
              </w:rPr>
            </w:pPr>
            <w:r w:rsidRPr="00C75904">
              <w:rPr>
                <w:sz w:val="12"/>
                <w:szCs w:val="12"/>
              </w:rPr>
              <w:t>ID</w:t>
            </w:r>
          </w:p>
        </w:tc>
        <w:tc>
          <w:tcPr>
            <w:tcW w:w="1682" w:type="dxa"/>
          </w:tcPr>
          <w:p w14:paraId="3C358E62" w14:textId="77777777" w:rsidR="00C75904" w:rsidRPr="00C75904" w:rsidRDefault="00C75904" w:rsidP="00C75904">
            <w:pPr>
              <w:jc w:val="center"/>
              <w:rPr>
                <w:sz w:val="12"/>
                <w:szCs w:val="12"/>
              </w:rPr>
            </w:pPr>
            <w:r w:rsidRPr="00C75904">
              <w:rPr>
                <w:sz w:val="12"/>
                <w:szCs w:val="12"/>
              </w:rPr>
              <w:t>6/6 (100%)</w:t>
            </w:r>
          </w:p>
        </w:tc>
        <w:tc>
          <w:tcPr>
            <w:tcW w:w="1867" w:type="dxa"/>
          </w:tcPr>
          <w:p w14:paraId="6DA421FC" w14:textId="77777777" w:rsidR="00C75904" w:rsidRPr="00C75904" w:rsidRDefault="00C75904" w:rsidP="00C75904">
            <w:pPr>
              <w:jc w:val="center"/>
              <w:rPr>
                <w:sz w:val="12"/>
                <w:szCs w:val="12"/>
              </w:rPr>
            </w:pPr>
            <w:r w:rsidRPr="00C75904">
              <w:rPr>
                <w:sz w:val="12"/>
                <w:szCs w:val="12"/>
              </w:rPr>
              <w:t>10/10 (100%)</w:t>
            </w:r>
          </w:p>
        </w:tc>
        <w:tc>
          <w:tcPr>
            <w:tcW w:w="1946" w:type="dxa"/>
          </w:tcPr>
          <w:p w14:paraId="4CB8BF53" w14:textId="77777777" w:rsidR="00C75904" w:rsidRPr="00C75904" w:rsidRDefault="00C75904" w:rsidP="00C75904">
            <w:pPr>
              <w:jc w:val="center"/>
              <w:rPr>
                <w:sz w:val="12"/>
                <w:szCs w:val="12"/>
              </w:rPr>
            </w:pPr>
            <w:r w:rsidRPr="00C75904">
              <w:rPr>
                <w:sz w:val="12"/>
                <w:szCs w:val="12"/>
              </w:rPr>
              <w:t>64/64 (100%)</w:t>
            </w:r>
          </w:p>
        </w:tc>
        <w:tc>
          <w:tcPr>
            <w:tcW w:w="1559" w:type="dxa"/>
          </w:tcPr>
          <w:p w14:paraId="6690B9E1" w14:textId="77777777" w:rsidR="00C75904" w:rsidRPr="00C75904" w:rsidRDefault="00C75904" w:rsidP="00C75904">
            <w:pPr>
              <w:jc w:val="center"/>
              <w:rPr>
                <w:sz w:val="12"/>
                <w:szCs w:val="12"/>
              </w:rPr>
            </w:pPr>
          </w:p>
        </w:tc>
      </w:tr>
      <w:tr w:rsidR="00C75904" w:rsidRPr="00C75904" w14:paraId="04BEAEC3" w14:textId="77777777" w:rsidTr="00AD6C3F">
        <w:trPr>
          <w:trHeight w:val="165"/>
        </w:trPr>
        <w:tc>
          <w:tcPr>
            <w:tcW w:w="872" w:type="dxa"/>
            <w:vMerge/>
          </w:tcPr>
          <w:p w14:paraId="4BF50B7F" w14:textId="77777777" w:rsidR="00C75904" w:rsidRPr="00C75904" w:rsidRDefault="00C75904" w:rsidP="00C75904">
            <w:pPr>
              <w:rPr>
                <w:sz w:val="12"/>
                <w:szCs w:val="12"/>
              </w:rPr>
            </w:pPr>
          </w:p>
        </w:tc>
        <w:tc>
          <w:tcPr>
            <w:tcW w:w="1430" w:type="dxa"/>
          </w:tcPr>
          <w:p w14:paraId="12C6EF71" w14:textId="77777777" w:rsidR="00C75904" w:rsidRPr="00C75904" w:rsidRDefault="00C75904" w:rsidP="00C75904">
            <w:pPr>
              <w:rPr>
                <w:sz w:val="12"/>
                <w:szCs w:val="12"/>
              </w:rPr>
            </w:pPr>
            <w:r w:rsidRPr="00C75904">
              <w:rPr>
                <w:sz w:val="12"/>
                <w:szCs w:val="12"/>
              </w:rPr>
              <w:t>Severity range</w:t>
            </w:r>
          </w:p>
        </w:tc>
        <w:tc>
          <w:tcPr>
            <w:tcW w:w="1682" w:type="dxa"/>
          </w:tcPr>
          <w:p w14:paraId="74DC6F88" w14:textId="1769F784" w:rsidR="00C75904" w:rsidRPr="00C75904" w:rsidRDefault="00575A7D" w:rsidP="00C75904">
            <w:pPr>
              <w:jc w:val="center"/>
              <w:rPr>
                <w:sz w:val="12"/>
                <w:szCs w:val="12"/>
              </w:rPr>
            </w:pPr>
            <w:r>
              <w:rPr>
                <w:sz w:val="12"/>
                <w:szCs w:val="12"/>
              </w:rPr>
              <w:t>M</w:t>
            </w:r>
            <w:r w:rsidRPr="00C75904">
              <w:rPr>
                <w:sz w:val="12"/>
                <w:szCs w:val="12"/>
              </w:rPr>
              <w:t xml:space="preserve">ild </w:t>
            </w:r>
            <w:r>
              <w:rPr>
                <w:sz w:val="12"/>
                <w:szCs w:val="12"/>
              </w:rPr>
              <w:t xml:space="preserve">to </w:t>
            </w:r>
            <w:r w:rsidR="00C75904" w:rsidRPr="00C75904">
              <w:rPr>
                <w:sz w:val="12"/>
                <w:szCs w:val="12"/>
              </w:rPr>
              <w:t xml:space="preserve">Profound </w:t>
            </w:r>
          </w:p>
        </w:tc>
        <w:tc>
          <w:tcPr>
            <w:tcW w:w="1867" w:type="dxa"/>
          </w:tcPr>
          <w:p w14:paraId="47AF9810" w14:textId="238EBF6F" w:rsidR="00C75904" w:rsidRPr="00C75904" w:rsidRDefault="00575A7D" w:rsidP="00C75904">
            <w:pPr>
              <w:jc w:val="center"/>
              <w:rPr>
                <w:sz w:val="12"/>
                <w:szCs w:val="12"/>
              </w:rPr>
            </w:pPr>
            <w:r w:rsidRPr="00C75904">
              <w:rPr>
                <w:sz w:val="12"/>
                <w:szCs w:val="12"/>
              </w:rPr>
              <w:t xml:space="preserve">Severe </w:t>
            </w:r>
            <w:r>
              <w:rPr>
                <w:sz w:val="12"/>
                <w:szCs w:val="12"/>
              </w:rPr>
              <w:t xml:space="preserve">to </w:t>
            </w:r>
            <w:r w:rsidR="00C75904" w:rsidRPr="00C75904">
              <w:rPr>
                <w:sz w:val="12"/>
                <w:szCs w:val="12"/>
              </w:rPr>
              <w:t xml:space="preserve">Profound </w:t>
            </w:r>
          </w:p>
        </w:tc>
        <w:tc>
          <w:tcPr>
            <w:tcW w:w="3505" w:type="dxa"/>
            <w:gridSpan w:val="2"/>
          </w:tcPr>
          <w:p w14:paraId="366967C5" w14:textId="52DF7414" w:rsidR="00C75904" w:rsidRPr="00C75904" w:rsidRDefault="00575A7D" w:rsidP="00C75904">
            <w:pPr>
              <w:jc w:val="center"/>
              <w:rPr>
                <w:sz w:val="12"/>
                <w:szCs w:val="12"/>
              </w:rPr>
            </w:pPr>
            <w:r>
              <w:rPr>
                <w:sz w:val="12"/>
                <w:szCs w:val="12"/>
              </w:rPr>
              <w:t xml:space="preserve">From </w:t>
            </w:r>
            <w:r w:rsidRPr="00C75904">
              <w:rPr>
                <w:sz w:val="12"/>
                <w:szCs w:val="12"/>
              </w:rPr>
              <w:t xml:space="preserve">asymptomatic carriers </w:t>
            </w:r>
            <w:r>
              <w:rPr>
                <w:sz w:val="12"/>
                <w:szCs w:val="12"/>
              </w:rPr>
              <w:t>to</w:t>
            </w:r>
            <w:r w:rsidR="00C75904" w:rsidRPr="00C75904">
              <w:rPr>
                <w:sz w:val="12"/>
                <w:szCs w:val="12"/>
              </w:rPr>
              <w:t xml:space="preserve"> profound</w:t>
            </w:r>
          </w:p>
        </w:tc>
      </w:tr>
      <w:tr w:rsidR="00C75904" w:rsidRPr="00C75904" w14:paraId="752EE594" w14:textId="77777777" w:rsidTr="00AD6C3F">
        <w:trPr>
          <w:trHeight w:val="165"/>
        </w:trPr>
        <w:tc>
          <w:tcPr>
            <w:tcW w:w="872" w:type="dxa"/>
            <w:vMerge/>
          </w:tcPr>
          <w:p w14:paraId="2243192D" w14:textId="77777777" w:rsidR="00C75904" w:rsidRPr="00C75904" w:rsidRDefault="00C75904" w:rsidP="00C75904">
            <w:pPr>
              <w:rPr>
                <w:sz w:val="12"/>
                <w:szCs w:val="12"/>
              </w:rPr>
            </w:pPr>
          </w:p>
        </w:tc>
        <w:tc>
          <w:tcPr>
            <w:tcW w:w="1430" w:type="dxa"/>
          </w:tcPr>
          <w:p w14:paraId="03299EE1" w14:textId="77777777" w:rsidR="00C75904" w:rsidRPr="00C75904" w:rsidRDefault="00C75904" w:rsidP="00C75904">
            <w:pPr>
              <w:rPr>
                <w:sz w:val="12"/>
                <w:szCs w:val="12"/>
              </w:rPr>
            </w:pPr>
            <w:r w:rsidRPr="00C75904">
              <w:rPr>
                <w:sz w:val="12"/>
                <w:szCs w:val="12"/>
              </w:rPr>
              <w:t>Epilepsy</w:t>
            </w:r>
          </w:p>
        </w:tc>
        <w:tc>
          <w:tcPr>
            <w:tcW w:w="1682" w:type="dxa"/>
          </w:tcPr>
          <w:p w14:paraId="6EC0D4CF" w14:textId="49C88226" w:rsidR="00C75904" w:rsidRPr="00C75904" w:rsidRDefault="00C75904" w:rsidP="00C75904">
            <w:pPr>
              <w:jc w:val="center"/>
              <w:rPr>
                <w:sz w:val="12"/>
                <w:szCs w:val="12"/>
              </w:rPr>
            </w:pPr>
            <w:r w:rsidRPr="00C75904">
              <w:rPr>
                <w:sz w:val="12"/>
                <w:szCs w:val="12"/>
              </w:rPr>
              <w:t>3/6 (50%)</w:t>
            </w:r>
          </w:p>
        </w:tc>
        <w:tc>
          <w:tcPr>
            <w:tcW w:w="1867" w:type="dxa"/>
          </w:tcPr>
          <w:p w14:paraId="76B0F672" w14:textId="77777777" w:rsidR="00C75904" w:rsidRPr="00C75904" w:rsidRDefault="00C75904" w:rsidP="00C75904">
            <w:pPr>
              <w:jc w:val="center"/>
              <w:rPr>
                <w:sz w:val="12"/>
                <w:szCs w:val="12"/>
              </w:rPr>
            </w:pPr>
            <w:r w:rsidRPr="00C75904">
              <w:rPr>
                <w:sz w:val="12"/>
                <w:szCs w:val="12"/>
              </w:rPr>
              <w:t>5/10 (50%)</w:t>
            </w:r>
          </w:p>
        </w:tc>
        <w:tc>
          <w:tcPr>
            <w:tcW w:w="1946" w:type="dxa"/>
          </w:tcPr>
          <w:p w14:paraId="7DEB5DE2" w14:textId="77777777" w:rsidR="00C75904" w:rsidRPr="00C75904" w:rsidRDefault="00C75904" w:rsidP="00C75904">
            <w:pPr>
              <w:jc w:val="center"/>
              <w:rPr>
                <w:sz w:val="12"/>
                <w:szCs w:val="12"/>
              </w:rPr>
            </w:pPr>
            <w:r w:rsidRPr="00C75904">
              <w:rPr>
                <w:sz w:val="12"/>
                <w:szCs w:val="12"/>
              </w:rPr>
              <w:t>42/62 (67.7%)</w:t>
            </w:r>
          </w:p>
        </w:tc>
        <w:tc>
          <w:tcPr>
            <w:tcW w:w="1559" w:type="dxa"/>
          </w:tcPr>
          <w:p w14:paraId="497DABA6" w14:textId="77777777" w:rsidR="00C75904" w:rsidRPr="00C75904" w:rsidRDefault="00C75904" w:rsidP="00C75904">
            <w:pPr>
              <w:jc w:val="center"/>
              <w:rPr>
                <w:sz w:val="12"/>
                <w:szCs w:val="12"/>
              </w:rPr>
            </w:pPr>
            <w:r w:rsidRPr="00C75904">
              <w:rPr>
                <w:sz w:val="12"/>
                <w:szCs w:val="12"/>
              </w:rPr>
              <w:t>32 (26.0%)</w:t>
            </w:r>
          </w:p>
        </w:tc>
      </w:tr>
      <w:tr w:rsidR="00C75904" w:rsidRPr="00C75904" w14:paraId="64C9EAA9" w14:textId="77777777" w:rsidTr="00AD6C3F">
        <w:trPr>
          <w:trHeight w:val="471"/>
        </w:trPr>
        <w:tc>
          <w:tcPr>
            <w:tcW w:w="872" w:type="dxa"/>
            <w:vMerge/>
          </w:tcPr>
          <w:p w14:paraId="232A5CA6" w14:textId="77777777" w:rsidR="00C75904" w:rsidRPr="00C75904" w:rsidRDefault="00C75904" w:rsidP="00C75904">
            <w:pPr>
              <w:rPr>
                <w:sz w:val="12"/>
                <w:szCs w:val="12"/>
              </w:rPr>
            </w:pPr>
          </w:p>
        </w:tc>
        <w:tc>
          <w:tcPr>
            <w:tcW w:w="1430" w:type="dxa"/>
          </w:tcPr>
          <w:p w14:paraId="2B3105C7" w14:textId="77777777" w:rsidR="00C75904" w:rsidRPr="00C75904" w:rsidRDefault="00C75904" w:rsidP="00C75904">
            <w:pPr>
              <w:rPr>
                <w:sz w:val="12"/>
                <w:szCs w:val="12"/>
              </w:rPr>
            </w:pPr>
            <w:r w:rsidRPr="00C75904">
              <w:rPr>
                <w:sz w:val="12"/>
                <w:szCs w:val="12"/>
              </w:rPr>
              <w:t>Movement disorders/spasticity/gait ataxia</w:t>
            </w:r>
          </w:p>
        </w:tc>
        <w:tc>
          <w:tcPr>
            <w:tcW w:w="1682" w:type="dxa"/>
          </w:tcPr>
          <w:p w14:paraId="12B762FC" w14:textId="77777777" w:rsidR="00C75904" w:rsidRPr="00C75904" w:rsidRDefault="00C75904" w:rsidP="00C75904">
            <w:pPr>
              <w:jc w:val="center"/>
              <w:rPr>
                <w:sz w:val="12"/>
                <w:szCs w:val="12"/>
              </w:rPr>
            </w:pPr>
            <w:r w:rsidRPr="00C75904">
              <w:rPr>
                <w:sz w:val="12"/>
                <w:szCs w:val="12"/>
              </w:rPr>
              <w:t>Dystonia 3/6 (50%)</w:t>
            </w:r>
          </w:p>
          <w:p w14:paraId="205D2029" w14:textId="77777777" w:rsidR="00C75904" w:rsidRPr="00C75904" w:rsidRDefault="00C75904" w:rsidP="00C75904">
            <w:pPr>
              <w:jc w:val="center"/>
              <w:rPr>
                <w:sz w:val="12"/>
                <w:szCs w:val="12"/>
              </w:rPr>
            </w:pPr>
            <w:r w:rsidRPr="00C75904">
              <w:rPr>
                <w:sz w:val="12"/>
                <w:szCs w:val="12"/>
              </w:rPr>
              <w:t>Gait ataxia 3/6 (50%)</w:t>
            </w:r>
          </w:p>
        </w:tc>
        <w:tc>
          <w:tcPr>
            <w:tcW w:w="1867" w:type="dxa"/>
          </w:tcPr>
          <w:p w14:paraId="2FA78ABB" w14:textId="77777777" w:rsidR="00C75904" w:rsidRPr="00C75904" w:rsidRDefault="00C75904" w:rsidP="00C75904">
            <w:pPr>
              <w:jc w:val="center"/>
              <w:rPr>
                <w:sz w:val="12"/>
                <w:szCs w:val="12"/>
              </w:rPr>
            </w:pPr>
            <w:r w:rsidRPr="00C75904">
              <w:rPr>
                <w:sz w:val="12"/>
                <w:szCs w:val="12"/>
              </w:rPr>
              <w:t>Spastic quadriplegia – 6/10 (60%)</w:t>
            </w:r>
          </w:p>
        </w:tc>
        <w:tc>
          <w:tcPr>
            <w:tcW w:w="1946" w:type="dxa"/>
          </w:tcPr>
          <w:p w14:paraId="4981E680" w14:textId="77777777" w:rsidR="00C75904" w:rsidRPr="00C75904" w:rsidRDefault="00C75904" w:rsidP="00C75904">
            <w:pPr>
              <w:jc w:val="center"/>
              <w:rPr>
                <w:sz w:val="12"/>
                <w:szCs w:val="12"/>
              </w:rPr>
            </w:pPr>
            <w:r w:rsidRPr="00C75904">
              <w:rPr>
                <w:sz w:val="12"/>
                <w:szCs w:val="12"/>
              </w:rPr>
              <w:t>Dystonia 44/60 (73.3%)</w:t>
            </w:r>
          </w:p>
          <w:p w14:paraId="177489AE" w14:textId="77777777" w:rsidR="00C75904" w:rsidRPr="00C75904" w:rsidRDefault="00C75904" w:rsidP="00C75904">
            <w:pPr>
              <w:jc w:val="center"/>
              <w:rPr>
                <w:sz w:val="12"/>
                <w:szCs w:val="12"/>
              </w:rPr>
            </w:pPr>
            <w:r w:rsidRPr="00C75904">
              <w:rPr>
                <w:sz w:val="12"/>
                <w:szCs w:val="12"/>
              </w:rPr>
              <w:t>Parkinsonism 35/58 (60.3%)</w:t>
            </w:r>
          </w:p>
        </w:tc>
        <w:tc>
          <w:tcPr>
            <w:tcW w:w="1559" w:type="dxa"/>
          </w:tcPr>
          <w:p w14:paraId="6CD28F22" w14:textId="77777777" w:rsidR="00C75904" w:rsidRPr="00C75904" w:rsidRDefault="00C75904" w:rsidP="00C75904">
            <w:pPr>
              <w:jc w:val="center"/>
              <w:rPr>
                <w:sz w:val="12"/>
                <w:szCs w:val="12"/>
              </w:rPr>
            </w:pPr>
            <w:r w:rsidRPr="00C75904">
              <w:rPr>
                <w:sz w:val="12"/>
                <w:szCs w:val="12"/>
              </w:rPr>
              <w:t>1 (0.8%)</w:t>
            </w:r>
          </w:p>
        </w:tc>
      </w:tr>
      <w:tr w:rsidR="00C75904" w:rsidRPr="00C75904" w14:paraId="408C9EDA" w14:textId="77777777" w:rsidTr="00AD6C3F">
        <w:trPr>
          <w:trHeight w:val="314"/>
        </w:trPr>
        <w:tc>
          <w:tcPr>
            <w:tcW w:w="872" w:type="dxa"/>
            <w:vMerge/>
          </w:tcPr>
          <w:p w14:paraId="313C3108" w14:textId="77777777" w:rsidR="00C75904" w:rsidRPr="00C75904" w:rsidRDefault="00C75904" w:rsidP="00C75904">
            <w:pPr>
              <w:rPr>
                <w:sz w:val="12"/>
                <w:szCs w:val="12"/>
              </w:rPr>
            </w:pPr>
          </w:p>
        </w:tc>
        <w:tc>
          <w:tcPr>
            <w:tcW w:w="1430" w:type="dxa"/>
          </w:tcPr>
          <w:p w14:paraId="6D31DF5D" w14:textId="77777777" w:rsidR="00C75904" w:rsidRPr="00C75904" w:rsidRDefault="00C75904" w:rsidP="00C75904">
            <w:pPr>
              <w:rPr>
                <w:sz w:val="12"/>
                <w:szCs w:val="12"/>
              </w:rPr>
            </w:pPr>
            <w:r w:rsidRPr="00C75904">
              <w:rPr>
                <w:sz w:val="12"/>
                <w:szCs w:val="12"/>
              </w:rPr>
              <w:t>Microcephaly (primary or secondary)</w:t>
            </w:r>
          </w:p>
        </w:tc>
        <w:tc>
          <w:tcPr>
            <w:tcW w:w="1682" w:type="dxa"/>
          </w:tcPr>
          <w:p w14:paraId="2D52DC5C" w14:textId="27574A24" w:rsidR="00C75904" w:rsidRPr="00C75904" w:rsidRDefault="00C75904" w:rsidP="00C75904">
            <w:pPr>
              <w:jc w:val="center"/>
              <w:rPr>
                <w:sz w:val="12"/>
                <w:szCs w:val="12"/>
              </w:rPr>
            </w:pPr>
            <w:r w:rsidRPr="00C75904">
              <w:rPr>
                <w:sz w:val="12"/>
                <w:szCs w:val="12"/>
              </w:rPr>
              <w:t>Secondary</w:t>
            </w:r>
          </w:p>
          <w:p w14:paraId="5EDC8CB6" w14:textId="264553F5" w:rsidR="00C75904" w:rsidRPr="00C75904" w:rsidRDefault="00C75904" w:rsidP="00C75904">
            <w:pPr>
              <w:jc w:val="center"/>
              <w:rPr>
                <w:sz w:val="12"/>
                <w:szCs w:val="12"/>
              </w:rPr>
            </w:pPr>
            <w:r w:rsidRPr="00C75904">
              <w:rPr>
                <w:sz w:val="12"/>
                <w:szCs w:val="12"/>
              </w:rPr>
              <w:t>3/6 (50%)</w:t>
            </w:r>
          </w:p>
        </w:tc>
        <w:tc>
          <w:tcPr>
            <w:tcW w:w="1867" w:type="dxa"/>
          </w:tcPr>
          <w:p w14:paraId="4E0F1369" w14:textId="77777777" w:rsidR="00C75904" w:rsidRPr="00C75904" w:rsidRDefault="00C75904" w:rsidP="00C75904">
            <w:pPr>
              <w:jc w:val="center"/>
              <w:rPr>
                <w:sz w:val="12"/>
                <w:szCs w:val="12"/>
              </w:rPr>
            </w:pPr>
            <w:r w:rsidRPr="00C75904">
              <w:rPr>
                <w:sz w:val="12"/>
                <w:szCs w:val="12"/>
              </w:rPr>
              <w:t>Secondary 7/10 (70%)</w:t>
            </w:r>
          </w:p>
        </w:tc>
        <w:tc>
          <w:tcPr>
            <w:tcW w:w="1946" w:type="dxa"/>
          </w:tcPr>
          <w:p w14:paraId="33686F33" w14:textId="5045226D" w:rsidR="00C75904" w:rsidRPr="00C75904" w:rsidRDefault="00C75904" w:rsidP="00C75904">
            <w:pPr>
              <w:jc w:val="center"/>
              <w:rPr>
                <w:sz w:val="12"/>
                <w:szCs w:val="12"/>
              </w:rPr>
            </w:pPr>
            <w:r w:rsidRPr="00C75904">
              <w:rPr>
                <w:sz w:val="12"/>
                <w:szCs w:val="12"/>
              </w:rPr>
              <w:t>1/11</w:t>
            </w:r>
            <w:r w:rsidR="00A839E0">
              <w:rPr>
                <w:sz w:val="12"/>
                <w:szCs w:val="12"/>
              </w:rPr>
              <w:t xml:space="preserve"> (9%)</w:t>
            </w:r>
          </w:p>
        </w:tc>
        <w:tc>
          <w:tcPr>
            <w:tcW w:w="1559" w:type="dxa"/>
          </w:tcPr>
          <w:p w14:paraId="487EB904" w14:textId="77777777" w:rsidR="00C75904" w:rsidRPr="00C75904" w:rsidRDefault="00C75904" w:rsidP="00C75904">
            <w:pPr>
              <w:jc w:val="center"/>
              <w:rPr>
                <w:sz w:val="12"/>
                <w:szCs w:val="12"/>
              </w:rPr>
            </w:pPr>
            <w:r w:rsidRPr="00C75904">
              <w:rPr>
                <w:sz w:val="12"/>
                <w:szCs w:val="12"/>
              </w:rPr>
              <w:t>13/47 (27.7%)</w:t>
            </w:r>
          </w:p>
        </w:tc>
      </w:tr>
      <w:tr w:rsidR="00C75904" w:rsidRPr="00C75904" w14:paraId="4AD2DB9E" w14:textId="77777777" w:rsidTr="00AD6C3F">
        <w:trPr>
          <w:trHeight w:val="165"/>
        </w:trPr>
        <w:tc>
          <w:tcPr>
            <w:tcW w:w="872" w:type="dxa"/>
            <w:vMerge/>
          </w:tcPr>
          <w:p w14:paraId="6DB6E736" w14:textId="77777777" w:rsidR="00C75904" w:rsidRPr="00C75904" w:rsidRDefault="00C75904" w:rsidP="00C75904">
            <w:pPr>
              <w:rPr>
                <w:sz w:val="12"/>
                <w:szCs w:val="12"/>
              </w:rPr>
            </w:pPr>
          </w:p>
        </w:tc>
        <w:tc>
          <w:tcPr>
            <w:tcW w:w="1430" w:type="dxa"/>
          </w:tcPr>
          <w:p w14:paraId="1CD0F08A" w14:textId="77777777" w:rsidR="00C75904" w:rsidRPr="00C75904" w:rsidRDefault="00C75904" w:rsidP="00C75904">
            <w:pPr>
              <w:rPr>
                <w:sz w:val="12"/>
                <w:szCs w:val="12"/>
              </w:rPr>
            </w:pPr>
            <w:r w:rsidRPr="00C75904">
              <w:rPr>
                <w:sz w:val="12"/>
                <w:szCs w:val="12"/>
              </w:rPr>
              <w:t>Dysmorphic features</w:t>
            </w:r>
          </w:p>
        </w:tc>
        <w:tc>
          <w:tcPr>
            <w:tcW w:w="1682" w:type="dxa"/>
          </w:tcPr>
          <w:p w14:paraId="16A8A398" w14:textId="2C35D169" w:rsidR="00C75904" w:rsidRPr="00C75904" w:rsidRDefault="00C75904" w:rsidP="00C75904">
            <w:pPr>
              <w:jc w:val="center"/>
              <w:rPr>
                <w:sz w:val="12"/>
                <w:szCs w:val="12"/>
              </w:rPr>
            </w:pPr>
            <w:r w:rsidRPr="00C75904">
              <w:rPr>
                <w:sz w:val="12"/>
                <w:szCs w:val="12"/>
              </w:rPr>
              <w:t>5/6 (83%)</w:t>
            </w:r>
          </w:p>
        </w:tc>
        <w:tc>
          <w:tcPr>
            <w:tcW w:w="1867" w:type="dxa"/>
          </w:tcPr>
          <w:p w14:paraId="5E98C04E" w14:textId="77777777" w:rsidR="00C75904" w:rsidRPr="00C75904" w:rsidRDefault="00C75904" w:rsidP="00C75904">
            <w:pPr>
              <w:pStyle w:val="ListParagraph"/>
              <w:numPr>
                <w:ilvl w:val="0"/>
                <w:numId w:val="1"/>
              </w:numPr>
              <w:spacing w:after="0" w:line="240" w:lineRule="auto"/>
              <w:jc w:val="center"/>
              <w:rPr>
                <w:sz w:val="12"/>
                <w:szCs w:val="12"/>
              </w:rPr>
            </w:pPr>
          </w:p>
        </w:tc>
        <w:tc>
          <w:tcPr>
            <w:tcW w:w="1946" w:type="dxa"/>
          </w:tcPr>
          <w:p w14:paraId="2516521F" w14:textId="204BCFDD" w:rsidR="00C75904" w:rsidRPr="00C75904" w:rsidRDefault="00C75904" w:rsidP="00C75904">
            <w:pPr>
              <w:jc w:val="center"/>
              <w:rPr>
                <w:sz w:val="12"/>
                <w:szCs w:val="12"/>
              </w:rPr>
            </w:pPr>
            <w:r w:rsidRPr="00C75904">
              <w:rPr>
                <w:sz w:val="12"/>
                <w:szCs w:val="12"/>
              </w:rPr>
              <w:t>11/16 (68.8%)</w:t>
            </w:r>
          </w:p>
        </w:tc>
        <w:tc>
          <w:tcPr>
            <w:tcW w:w="1559" w:type="dxa"/>
          </w:tcPr>
          <w:p w14:paraId="6459244F" w14:textId="77777777" w:rsidR="00C75904" w:rsidRPr="00C75904" w:rsidRDefault="00C75904" w:rsidP="00C75904">
            <w:pPr>
              <w:jc w:val="center"/>
              <w:rPr>
                <w:sz w:val="12"/>
                <w:szCs w:val="12"/>
              </w:rPr>
            </w:pPr>
            <w:r w:rsidRPr="00C75904">
              <w:rPr>
                <w:sz w:val="12"/>
                <w:szCs w:val="12"/>
              </w:rPr>
              <w:t>NA</w:t>
            </w:r>
          </w:p>
        </w:tc>
      </w:tr>
      <w:tr w:rsidR="00C75904" w:rsidRPr="00C75904" w14:paraId="35BCEF0B" w14:textId="77777777" w:rsidTr="00AD6C3F">
        <w:trPr>
          <w:trHeight w:val="314"/>
        </w:trPr>
        <w:tc>
          <w:tcPr>
            <w:tcW w:w="872" w:type="dxa"/>
            <w:vMerge/>
          </w:tcPr>
          <w:p w14:paraId="16400BFA" w14:textId="77777777" w:rsidR="00C75904" w:rsidRPr="00C75904" w:rsidRDefault="00C75904" w:rsidP="00C75904">
            <w:pPr>
              <w:rPr>
                <w:sz w:val="12"/>
                <w:szCs w:val="12"/>
              </w:rPr>
            </w:pPr>
          </w:p>
        </w:tc>
        <w:tc>
          <w:tcPr>
            <w:tcW w:w="1430" w:type="dxa"/>
          </w:tcPr>
          <w:p w14:paraId="3218258D" w14:textId="77777777" w:rsidR="00C75904" w:rsidRPr="00C75904" w:rsidRDefault="00C75904" w:rsidP="00C75904">
            <w:pPr>
              <w:rPr>
                <w:sz w:val="12"/>
                <w:szCs w:val="12"/>
              </w:rPr>
            </w:pPr>
            <w:r w:rsidRPr="00C75904">
              <w:rPr>
                <w:sz w:val="12"/>
                <w:szCs w:val="12"/>
              </w:rPr>
              <w:t>Progressive cognitive decline</w:t>
            </w:r>
          </w:p>
        </w:tc>
        <w:tc>
          <w:tcPr>
            <w:tcW w:w="1682" w:type="dxa"/>
          </w:tcPr>
          <w:p w14:paraId="636560BF" w14:textId="27AF6850" w:rsidR="00C75904" w:rsidRPr="00C75904" w:rsidRDefault="00C75904" w:rsidP="00C75904">
            <w:pPr>
              <w:jc w:val="center"/>
              <w:rPr>
                <w:sz w:val="12"/>
                <w:szCs w:val="12"/>
              </w:rPr>
            </w:pPr>
            <w:r w:rsidRPr="00C75904">
              <w:rPr>
                <w:sz w:val="12"/>
                <w:szCs w:val="12"/>
              </w:rPr>
              <w:t>-</w:t>
            </w:r>
          </w:p>
        </w:tc>
        <w:tc>
          <w:tcPr>
            <w:tcW w:w="1867" w:type="dxa"/>
          </w:tcPr>
          <w:p w14:paraId="433D6703" w14:textId="77777777" w:rsidR="00C75904" w:rsidRPr="00C75904" w:rsidRDefault="00C75904" w:rsidP="00C75904">
            <w:pPr>
              <w:jc w:val="center"/>
              <w:rPr>
                <w:sz w:val="12"/>
                <w:szCs w:val="12"/>
              </w:rPr>
            </w:pPr>
            <w:r w:rsidRPr="00C75904">
              <w:rPr>
                <w:sz w:val="12"/>
                <w:szCs w:val="12"/>
              </w:rPr>
              <w:t>-</w:t>
            </w:r>
          </w:p>
        </w:tc>
        <w:tc>
          <w:tcPr>
            <w:tcW w:w="1946" w:type="dxa"/>
          </w:tcPr>
          <w:p w14:paraId="25A5BFF3" w14:textId="77777777" w:rsidR="00C75904" w:rsidRPr="00C75904" w:rsidRDefault="00C75904" w:rsidP="00C75904">
            <w:pPr>
              <w:jc w:val="center"/>
              <w:rPr>
                <w:sz w:val="12"/>
                <w:szCs w:val="12"/>
              </w:rPr>
            </w:pPr>
            <w:r w:rsidRPr="00C75904">
              <w:rPr>
                <w:sz w:val="12"/>
                <w:szCs w:val="12"/>
              </w:rPr>
              <w:t>44/59 (74.6%)</w:t>
            </w:r>
          </w:p>
        </w:tc>
        <w:tc>
          <w:tcPr>
            <w:tcW w:w="1559" w:type="dxa"/>
          </w:tcPr>
          <w:p w14:paraId="62C1894B" w14:textId="77777777" w:rsidR="00C75904" w:rsidRPr="00C75904" w:rsidRDefault="00C75904" w:rsidP="00C75904">
            <w:pPr>
              <w:jc w:val="center"/>
              <w:rPr>
                <w:sz w:val="12"/>
                <w:szCs w:val="12"/>
              </w:rPr>
            </w:pPr>
            <w:r w:rsidRPr="00C75904">
              <w:rPr>
                <w:sz w:val="12"/>
                <w:szCs w:val="12"/>
              </w:rPr>
              <w:t>NA</w:t>
            </w:r>
          </w:p>
        </w:tc>
      </w:tr>
      <w:tr w:rsidR="00C75904" w:rsidRPr="00C75904" w14:paraId="49D6EAC1" w14:textId="77777777" w:rsidTr="00AD6C3F">
        <w:trPr>
          <w:trHeight w:val="323"/>
        </w:trPr>
        <w:tc>
          <w:tcPr>
            <w:tcW w:w="872" w:type="dxa"/>
            <w:vMerge/>
          </w:tcPr>
          <w:p w14:paraId="2C2B48F2" w14:textId="77777777" w:rsidR="00C75904" w:rsidRPr="00C75904" w:rsidRDefault="00C75904" w:rsidP="00C75904">
            <w:pPr>
              <w:rPr>
                <w:sz w:val="12"/>
                <w:szCs w:val="12"/>
              </w:rPr>
            </w:pPr>
          </w:p>
        </w:tc>
        <w:tc>
          <w:tcPr>
            <w:tcW w:w="1430" w:type="dxa"/>
          </w:tcPr>
          <w:p w14:paraId="139A3E7D" w14:textId="77777777" w:rsidR="00C75904" w:rsidRPr="00C75904" w:rsidRDefault="00C75904" w:rsidP="00C75904">
            <w:pPr>
              <w:rPr>
                <w:sz w:val="12"/>
                <w:szCs w:val="12"/>
              </w:rPr>
            </w:pPr>
            <w:r w:rsidRPr="00C75904">
              <w:rPr>
                <w:sz w:val="12"/>
                <w:szCs w:val="12"/>
              </w:rPr>
              <w:t>Progressive loss of motor function</w:t>
            </w:r>
          </w:p>
        </w:tc>
        <w:tc>
          <w:tcPr>
            <w:tcW w:w="1682" w:type="dxa"/>
          </w:tcPr>
          <w:p w14:paraId="1F5BFB55" w14:textId="0F417D43" w:rsidR="00C75904" w:rsidRPr="00C75904" w:rsidRDefault="00C75904" w:rsidP="00C75904">
            <w:pPr>
              <w:jc w:val="center"/>
              <w:rPr>
                <w:sz w:val="12"/>
                <w:szCs w:val="12"/>
              </w:rPr>
            </w:pPr>
            <w:r w:rsidRPr="00C75904">
              <w:rPr>
                <w:sz w:val="12"/>
                <w:szCs w:val="12"/>
              </w:rPr>
              <w:t>1/6 (17%)</w:t>
            </w:r>
          </w:p>
        </w:tc>
        <w:tc>
          <w:tcPr>
            <w:tcW w:w="1867" w:type="dxa"/>
          </w:tcPr>
          <w:p w14:paraId="26C5AF04" w14:textId="77777777" w:rsidR="00C75904" w:rsidRPr="00C75904" w:rsidRDefault="00C75904" w:rsidP="00C75904">
            <w:pPr>
              <w:jc w:val="center"/>
              <w:rPr>
                <w:sz w:val="12"/>
                <w:szCs w:val="12"/>
              </w:rPr>
            </w:pPr>
            <w:r w:rsidRPr="00C75904">
              <w:rPr>
                <w:sz w:val="12"/>
                <w:szCs w:val="12"/>
              </w:rPr>
              <w:t>-</w:t>
            </w:r>
          </w:p>
        </w:tc>
        <w:tc>
          <w:tcPr>
            <w:tcW w:w="1946" w:type="dxa"/>
          </w:tcPr>
          <w:p w14:paraId="08D7FCB4" w14:textId="77777777" w:rsidR="00C75904" w:rsidRPr="00C75904" w:rsidRDefault="00C75904" w:rsidP="00C75904">
            <w:pPr>
              <w:jc w:val="center"/>
              <w:rPr>
                <w:sz w:val="12"/>
                <w:szCs w:val="12"/>
              </w:rPr>
            </w:pPr>
            <w:r w:rsidRPr="00C75904">
              <w:rPr>
                <w:sz w:val="12"/>
                <w:szCs w:val="12"/>
              </w:rPr>
              <w:t>NA</w:t>
            </w:r>
          </w:p>
        </w:tc>
        <w:tc>
          <w:tcPr>
            <w:tcW w:w="1559" w:type="dxa"/>
          </w:tcPr>
          <w:p w14:paraId="61064D78" w14:textId="77777777" w:rsidR="00C75904" w:rsidRPr="00C75904" w:rsidRDefault="00C75904" w:rsidP="00C75904">
            <w:pPr>
              <w:jc w:val="center"/>
              <w:rPr>
                <w:sz w:val="12"/>
                <w:szCs w:val="12"/>
              </w:rPr>
            </w:pPr>
            <w:r w:rsidRPr="00C75904">
              <w:rPr>
                <w:sz w:val="12"/>
                <w:szCs w:val="12"/>
              </w:rPr>
              <w:t>41/84 (51.2%)</w:t>
            </w:r>
          </w:p>
        </w:tc>
      </w:tr>
      <w:tr w:rsidR="00C75904" w:rsidRPr="00C75904" w14:paraId="05E8B273" w14:textId="77777777" w:rsidTr="00AD6C3F">
        <w:trPr>
          <w:trHeight w:val="314"/>
        </w:trPr>
        <w:tc>
          <w:tcPr>
            <w:tcW w:w="872" w:type="dxa"/>
            <w:vMerge/>
          </w:tcPr>
          <w:p w14:paraId="54F8D91C" w14:textId="77777777" w:rsidR="00C75904" w:rsidRPr="00C75904" w:rsidRDefault="00C75904" w:rsidP="00C75904">
            <w:pPr>
              <w:rPr>
                <w:sz w:val="12"/>
                <w:szCs w:val="12"/>
              </w:rPr>
            </w:pPr>
          </w:p>
        </w:tc>
        <w:tc>
          <w:tcPr>
            <w:tcW w:w="1430" w:type="dxa"/>
          </w:tcPr>
          <w:p w14:paraId="69ADEFB2" w14:textId="77777777" w:rsidR="00C75904" w:rsidRPr="00C75904" w:rsidRDefault="00C75904" w:rsidP="00C75904">
            <w:pPr>
              <w:rPr>
                <w:sz w:val="12"/>
                <w:szCs w:val="12"/>
              </w:rPr>
            </w:pPr>
            <w:r w:rsidRPr="00C75904">
              <w:rPr>
                <w:sz w:val="12"/>
                <w:szCs w:val="12"/>
              </w:rPr>
              <w:t>Progressive loss of verbal function</w:t>
            </w:r>
          </w:p>
        </w:tc>
        <w:tc>
          <w:tcPr>
            <w:tcW w:w="1682" w:type="dxa"/>
          </w:tcPr>
          <w:p w14:paraId="50D1686A" w14:textId="5E6F2FA8" w:rsidR="00C75904" w:rsidRPr="00C75904" w:rsidRDefault="00C75904" w:rsidP="00C75904">
            <w:pPr>
              <w:jc w:val="center"/>
              <w:rPr>
                <w:sz w:val="12"/>
                <w:szCs w:val="12"/>
              </w:rPr>
            </w:pPr>
            <w:r w:rsidRPr="00C75904">
              <w:rPr>
                <w:sz w:val="12"/>
                <w:szCs w:val="12"/>
              </w:rPr>
              <w:t>-</w:t>
            </w:r>
          </w:p>
        </w:tc>
        <w:tc>
          <w:tcPr>
            <w:tcW w:w="1867" w:type="dxa"/>
          </w:tcPr>
          <w:p w14:paraId="0C9F81CE" w14:textId="77777777" w:rsidR="00C75904" w:rsidRPr="00C75904" w:rsidRDefault="00C75904" w:rsidP="00C75904">
            <w:pPr>
              <w:jc w:val="center"/>
              <w:rPr>
                <w:sz w:val="12"/>
                <w:szCs w:val="12"/>
              </w:rPr>
            </w:pPr>
            <w:r w:rsidRPr="00C75904">
              <w:rPr>
                <w:sz w:val="12"/>
                <w:szCs w:val="12"/>
              </w:rPr>
              <w:t>-</w:t>
            </w:r>
          </w:p>
        </w:tc>
        <w:tc>
          <w:tcPr>
            <w:tcW w:w="1946" w:type="dxa"/>
          </w:tcPr>
          <w:p w14:paraId="5E436066" w14:textId="77777777" w:rsidR="00C75904" w:rsidRPr="00C75904" w:rsidRDefault="00C75904" w:rsidP="00C75904">
            <w:pPr>
              <w:jc w:val="center"/>
              <w:rPr>
                <w:sz w:val="12"/>
                <w:szCs w:val="12"/>
              </w:rPr>
            </w:pPr>
            <w:r w:rsidRPr="00C75904">
              <w:rPr>
                <w:sz w:val="12"/>
                <w:szCs w:val="12"/>
              </w:rPr>
              <w:t>NA</w:t>
            </w:r>
          </w:p>
        </w:tc>
        <w:tc>
          <w:tcPr>
            <w:tcW w:w="1559" w:type="dxa"/>
          </w:tcPr>
          <w:p w14:paraId="59D61B78" w14:textId="77777777" w:rsidR="00C75904" w:rsidRPr="00C75904" w:rsidRDefault="00C75904" w:rsidP="00C75904">
            <w:pPr>
              <w:jc w:val="center"/>
              <w:rPr>
                <w:sz w:val="12"/>
                <w:szCs w:val="12"/>
              </w:rPr>
            </w:pPr>
            <w:r w:rsidRPr="00C75904">
              <w:rPr>
                <w:sz w:val="12"/>
                <w:szCs w:val="12"/>
              </w:rPr>
              <w:t>27/71 (38.0%)</w:t>
            </w:r>
          </w:p>
        </w:tc>
      </w:tr>
      <w:tr w:rsidR="00C75904" w:rsidRPr="00C75904" w14:paraId="0EF8A3F9" w14:textId="77777777" w:rsidTr="00AD6C3F">
        <w:trPr>
          <w:trHeight w:val="323"/>
        </w:trPr>
        <w:tc>
          <w:tcPr>
            <w:tcW w:w="872" w:type="dxa"/>
            <w:vMerge/>
          </w:tcPr>
          <w:p w14:paraId="4B128FD0" w14:textId="77777777" w:rsidR="00C75904" w:rsidRPr="00C75904" w:rsidRDefault="00C75904" w:rsidP="00C75904">
            <w:pPr>
              <w:rPr>
                <w:sz w:val="12"/>
                <w:szCs w:val="12"/>
              </w:rPr>
            </w:pPr>
          </w:p>
        </w:tc>
        <w:tc>
          <w:tcPr>
            <w:tcW w:w="1430" w:type="dxa"/>
          </w:tcPr>
          <w:p w14:paraId="2223F495" w14:textId="77777777" w:rsidR="00C75904" w:rsidRPr="00C75904" w:rsidRDefault="00C75904" w:rsidP="00C75904">
            <w:pPr>
              <w:rPr>
                <w:sz w:val="12"/>
                <w:szCs w:val="12"/>
              </w:rPr>
            </w:pPr>
            <w:r w:rsidRPr="00C75904">
              <w:rPr>
                <w:sz w:val="12"/>
                <w:szCs w:val="12"/>
              </w:rPr>
              <w:t>Disease course: static or progressive</w:t>
            </w:r>
          </w:p>
        </w:tc>
        <w:tc>
          <w:tcPr>
            <w:tcW w:w="1682" w:type="dxa"/>
          </w:tcPr>
          <w:p w14:paraId="586ABFAF" w14:textId="77777777" w:rsidR="00C75904" w:rsidRPr="00C75904" w:rsidRDefault="00C75904" w:rsidP="00C75904">
            <w:pPr>
              <w:jc w:val="center"/>
              <w:rPr>
                <w:sz w:val="12"/>
                <w:szCs w:val="12"/>
              </w:rPr>
            </w:pPr>
            <w:r w:rsidRPr="00C75904">
              <w:rPr>
                <w:sz w:val="12"/>
                <w:szCs w:val="12"/>
              </w:rPr>
              <w:t>Progressive and static</w:t>
            </w:r>
          </w:p>
        </w:tc>
        <w:tc>
          <w:tcPr>
            <w:tcW w:w="1867" w:type="dxa"/>
          </w:tcPr>
          <w:p w14:paraId="12488853" w14:textId="6DBB4F2C" w:rsidR="00C75904" w:rsidRPr="00C75904" w:rsidRDefault="00AD6C3F" w:rsidP="00C75904">
            <w:pPr>
              <w:jc w:val="center"/>
              <w:rPr>
                <w:sz w:val="12"/>
                <w:szCs w:val="12"/>
              </w:rPr>
            </w:pPr>
            <w:r>
              <w:rPr>
                <w:sz w:val="12"/>
                <w:szCs w:val="12"/>
              </w:rPr>
              <w:t>P</w:t>
            </w:r>
            <w:r w:rsidR="00C75904" w:rsidRPr="00C75904">
              <w:rPr>
                <w:sz w:val="12"/>
                <w:szCs w:val="12"/>
              </w:rPr>
              <w:t>rogressive</w:t>
            </w:r>
          </w:p>
        </w:tc>
        <w:tc>
          <w:tcPr>
            <w:tcW w:w="3505" w:type="dxa"/>
            <w:gridSpan w:val="2"/>
          </w:tcPr>
          <w:p w14:paraId="03A29346" w14:textId="77777777" w:rsidR="00C75904" w:rsidRPr="00C75904" w:rsidRDefault="00C75904" w:rsidP="00C75904">
            <w:pPr>
              <w:jc w:val="center"/>
              <w:rPr>
                <w:sz w:val="12"/>
                <w:szCs w:val="12"/>
              </w:rPr>
            </w:pPr>
            <w:r w:rsidRPr="00C75904">
              <w:rPr>
                <w:sz w:val="12"/>
                <w:szCs w:val="12"/>
              </w:rPr>
              <w:t>Initially static with regression at the mean age of 27.2 ±5.7</w:t>
            </w:r>
          </w:p>
        </w:tc>
      </w:tr>
      <w:tr w:rsidR="00C75904" w:rsidRPr="00C75904" w14:paraId="05DF7E94" w14:textId="77777777" w:rsidTr="00AD6C3F">
        <w:trPr>
          <w:trHeight w:val="157"/>
        </w:trPr>
        <w:tc>
          <w:tcPr>
            <w:tcW w:w="872" w:type="dxa"/>
            <w:vMerge/>
          </w:tcPr>
          <w:p w14:paraId="73B73C21" w14:textId="77777777" w:rsidR="00C75904" w:rsidRPr="00C75904" w:rsidRDefault="00C75904" w:rsidP="00C75904">
            <w:pPr>
              <w:rPr>
                <w:sz w:val="12"/>
                <w:szCs w:val="12"/>
              </w:rPr>
            </w:pPr>
          </w:p>
        </w:tc>
        <w:tc>
          <w:tcPr>
            <w:tcW w:w="1430" w:type="dxa"/>
          </w:tcPr>
          <w:p w14:paraId="578AB26D" w14:textId="77777777" w:rsidR="00C75904" w:rsidRPr="00C75904" w:rsidRDefault="00C75904" w:rsidP="00C75904">
            <w:pPr>
              <w:rPr>
                <w:sz w:val="12"/>
                <w:szCs w:val="12"/>
              </w:rPr>
            </w:pPr>
            <w:r w:rsidRPr="00C75904">
              <w:rPr>
                <w:sz w:val="12"/>
                <w:szCs w:val="12"/>
              </w:rPr>
              <w:t>Autistic features</w:t>
            </w:r>
          </w:p>
        </w:tc>
        <w:tc>
          <w:tcPr>
            <w:tcW w:w="1682" w:type="dxa"/>
          </w:tcPr>
          <w:p w14:paraId="7EEBE3EC" w14:textId="6A842256" w:rsidR="00C75904" w:rsidRPr="00C75904" w:rsidRDefault="00C75904" w:rsidP="00C75904">
            <w:pPr>
              <w:jc w:val="center"/>
              <w:rPr>
                <w:sz w:val="12"/>
                <w:szCs w:val="12"/>
              </w:rPr>
            </w:pPr>
            <w:r w:rsidRPr="00C75904">
              <w:rPr>
                <w:sz w:val="12"/>
                <w:szCs w:val="12"/>
              </w:rPr>
              <w:t>1/6 (17%)</w:t>
            </w:r>
          </w:p>
        </w:tc>
        <w:tc>
          <w:tcPr>
            <w:tcW w:w="1867" w:type="dxa"/>
          </w:tcPr>
          <w:p w14:paraId="3A93DD41" w14:textId="77777777" w:rsidR="00C75904" w:rsidRPr="00C75904" w:rsidRDefault="00C75904" w:rsidP="00C75904">
            <w:pPr>
              <w:jc w:val="center"/>
              <w:rPr>
                <w:sz w:val="12"/>
                <w:szCs w:val="12"/>
              </w:rPr>
            </w:pPr>
            <w:r w:rsidRPr="00C75904">
              <w:rPr>
                <w:sz w:val="12"/>
                <w:szCs w:val="12"/>
              </w:rPr>
              <w:t>-</w:t>
            </w:r>
          </w:p>
        </w:tc>
        <w:tc>
          <w:tcPr>
            <w:tcW w:w="1946" w:type="dxa"/>
          </w:tcPr>
          <w:p w14:paraId="559BDEA7" w14:textId="77777777" w:rsidR="00C75904" w:rsidRPr="00C75904" w:rsidRDefault="00C75904" w:rsidP="00C75904">
            <w:pPr>
              <w:jc w:val="center"/>
              <w:rPr>
                <w:sz w:val="12"/>
                <w:szCs w:val="12"/>
              </w:rPr>
            </w:pPr>
            <w:r w:rsidRPr="00C75904">
              <w:rPr>
                <w:sz w:val="12"/>
                <w:szCs w:val="12"/>
              </w:rPr>
              <w:t>NA</w:t>
            </w:r>
          </w:p>
        </w:tc>
        <w:tc>
          <w:tcPr>
            <w:tcW w:w="1559" w:type="dxa"/>
          </w:tcPr>
          <w:p w14:paraId="57B996EA" w14:textId="77777777" w:rsidR="00C75904" w:rsidRPr="00C75904" w:rsidRDefault="00C75904" w:rsidP="00C75904">
            <w:pPr>
              <w:jc w:val="center"/>
              <w:rPr>
                <w:sz w:val="12"/>
                <w:szCs w:val="12"/>
              </w:rPr>
            </w:pPr>
            <w:r w:rsidRPr="00C75904">
              <w:rPr>
                <w:sz w:val="12"/>
                <w:szCs w:val="12"/>
              </w:rPr>
              <w:t>1 (0.8%)</w:t>
            </w:r>
          </w:p>
        </w:tc>
      </w:tr>
      <w:tr w:rsidR="00C75904" w:rsidRPr="00C75904" w14:paraId="7BE0A1E7" w14:textId="77777777" w:rsidTr="00AD6C3F">
        <w:trPr>
          <w:trHeight w:val="165"/>
        </w:trPr>
        <w:tc>
          <w:tcPr>
            <w:tcW w:w="872" w:type="dxa"/>
            <w:vMerge/>
          </w:tcPr>
          <w:p w14:paraId="6A07B8FF" w14:textId="77777777" w:rsidR="00C75904" w:rsidRPr="00C75904" w:rsidRDefault="00C75904" w:rsidP="00C75904">
            <w:pPr>
              <w:rPr>
                <w:sz w:val="12"/>
                <w:szCs w:val="12"/>
              </w:rPr>
            </w:pPr>
          </w:p>
        </w:tc>
        <w:tc>
          <w:tcPr>
            <w:tcW w:w="1430" w:type="dxa"/>
          </w:tcPr>
          <w:p w14:paraId="4551088C" w14:textId="77777777" w:rsidR="00C75904" w:rsidRPr="00C75904" w:rsidRDefault="00C75904" w:rsidP="00C75904">
            <w:pPr>
              <w:rPr>
                <w:sz w:val="12"/>
                <w:szCs w:val="12"/>
              </w:rPr>
            </w:pPr>
            <w:r w:rsidRPr="00C75904">
              <w:rPr>
                <w:sz w:val="12"/>
                <w:szCs w:val="12"/>
              </w:rPr>
              <w:t>Rett-like features</w:t>
            </w:r>
          </w:p>
        </w:tc>
        <w:tc>
          <w:tcPr>
            <w:tcW w:w="1682" w:type="dxa"/>
          </w:tcPr>
          <w:p w14:paraId="50C1AAA4" w14:textId="6A262311" w:rsidR="00C75904" w:rsidRPr="00C75904" w:rsidRDefault="00C75904" w:rsidP="00C75904">
            <w:pPr>
              <w:jc w:val="center"/>
              <w:rPr>
                <w:sz w:val="12"/>
                <w:szCs w:val="12"/>
              </w:rPr>
            </w:pPr>
            <w:r w:rsidRPr="00C75904">
              <w:rPr>
                <w:sz w:val="12"/>
                <w:szCs w:val="12"/>
              </w:rPr>
              <w:t>-</w:t>
            </w:r>
          </w:p>
        </w:tc>
        <w:tc>
          <w:tcPr>
            <w:tcW w:w="1867" w:type="dxa"/>
          </w:tcPr>
          <w:p w14:paraId="30BC2FDE" w14:textId="77777777" w:rsidR="00C75904" w:rsidRPr="00C75904" w:rsidRDefault="00C75904" w:rsidP="00C75904">
            <w:pPr>
              <w:jc w:val="center"/>
              <w:rPr>
                <w:sz w:val="12"/>
                <w:szCs w:val="12"/>
              </w:rPr>
            </w:pPr>
            <w:r w:rsidRPr="00C75904">
              <w:rPr>
                <w:sz w:val="12"/>
                <w:szCs w:val="12"/>
              </w:rPr>
              <w:t>-</w:t>
            </w:r>
          </w:p>
        </w:tc>
        <w:tc>
          <w:tcPr>
            <w:tcW w:w="1946" w:type="dxa"/>
          </w:tcPr>
          <w:p w14:paraId="3E852CC4" w14:textId="77777777" w:rsidR="00C75904" w:rsidRPr="00C75904" w:rsidRDefault="00C75904" w:rsidP="00C75904">
            <w:pPr>
              <w:jc w:val="center"/>
              <w:rPr>
                <w:sz w:val="12"/>
                <w:szCs w:val="12"/>
              </w:rPr>
            </w:pPr>
            <w:r w:rsidRPr="00C75904">
              <w:rPr>
                <w:sz w:val="12"/>
                <w:szCs w:val="12"/>
              </w:rPr>
              <w:t>14/50 (28%)</w:t>
            </w:r>
          </w:p>
        </w:tc>
        <w:tc>
          <w:tcPr>
            <w:tcW w:w="1559" w:type="dxa"/>
          </w:tcPr>
          <w:p w14:paraId="1613423B" w14:textId="77777777" w:rsidR="00C75904" w:rsidRPr="00C75904" w:rsidRDefault="00C75904" w:rsidP="00C75904">
            <w:pPr>
              <w:jc w:val="center"/>
              <w:rPr>
                <w:sz w:val="12"/>
                <w:szCs w:val="12"/>
              </w:rPr>
            </w:pPr>
            <w:r w:rsidRPr="00C75904">
              <w:rPr>
                <w:sz w:val="12"/>
                <w:szCs w:val="12"/>
              </w:rPr>
              <w:t>NA</w:t>
            </w:r>
          </w:p>
        </w:tc>
      </w:tr>
      <w:tr w:rsidR="00C75904" w:rsidRPr="00C75904" w14:paraId="3894C3AC" w14:textId="77777777" w:rsidTr="00AD6C3F">
        <w:trPr>
          <w:trHeight w:val="157"/>
        </w:trPr>
        <w:tc>
          <w:tcPr>
            <w:tcW w:w="872" w:type="dxa"/>
            <w:vMerge w:val="restart"/>
            <w:textDirection w:val="btLr"/>
          </w:tcPr>
          <w:p w14:paraId="73B01E44" w14:textId="77777777" w:rsidR="00C75904" w:rsidRPr="00C75904" w:rsidRDefault="00C75904" w:rsidP="00C75904">
            <w:pPr>
              <w:ind w:left="113" w:right="113"/>
              <w:rPr>
                <w:b/>
                <w:sz w:val="12"/>
                <w:szCs w:val="12"/>
              </w:rPr>
            </w:pPr>
          </w:p>
          <w:p w14:paraId="46860094" w14:textId="77777777" w:rsidR="00C75904" w:rsidRPr="00C75904" w:rsidRDefault="00C75904" w:rsidP="00C75904">
            <w:pPr>
              <w:ind w:left="113" w:right="113"/>
              <w:jc w:val="center"/>
              <w:rPr>
                <w:b/>
                <w:sz w:val="12"/>
                <w:szCs w:val="12"/>
              </w:rPr>
            </w:pPr>
            <w:r w:rsidRPr="00C75904">
              <w:rPr>
                <w:b/>
                <w:sz w:val="12"/>
                <w:szCs w:val="12"/>
              </w:rPr>
              <w:t>Imaging findings</w:t>
            </w:r>
          </w:p>
        </w:tc>
        <w:tc>
          <w:tcPr>
            <w:tcW w:w="1430" w:type="dxa"/>
          </w:tcPr>
          <w:p w14:paraId="1DD0FA92" w14:textId="77777777" w:rsidR="00C75904" w:rsidRPr="00C75904" w:rsidRDefault="00C75904" w:rsidP="00C75904">
            <w:pPr>
              <w:rPr>
                <w:sz w:val="12"/>
                <w:szCs w:val="12"/>
              </w:rPr>
            </w:pPr>
            <w:r w:rsidRPr="00C75904">
              <w:rPr>
                <w:sz w:val="12"/>
                <w:szCs w:val="12"/>
              </w:rPr>
              <w:t>Iron deposition</w:t>
            </w:r>
          </w:p>
        </w:tc>
        <w:tc>
          <w:tcPr>
            <w:tcW w:w="1682" w:type="dxa"/>
          </w:tcPr>
          <w:p w14:paraId="75296D7B" w14:textId="541C3D9C" w:rsidR="00C75904" w:rsidRPr="00C75904" w:rsidRDefault="00C75904" w:rsidP="00C75904">
            <w:pPr>
              <w:jc w:val="center"/>
              <w:rPr>
                <w:sz w:val="12"/>
                <w:szCs w:val="12"/>
              </w:rPr>
            </w:pPr>
            <w:r w:rsidRPr="00C75904">
              <w:rPr>
                <w:sz w:val="12"/>
                <w:szCs w:val="12"/>
              </w:rPr>
              <w:t>-</w:t>
            </w:r>
          </w:p>
        </w:tc>
        <w:tc>
          <w:tcPr>
            <w:tcW w:w="1867" w:type="dxa"/>
          </w:tcPr>
          <w:p w14:paraId="5159FB99" w14:textId="77777777" w:rsidR="00C75904" w:rsidRPr="00C75904" w:rsidRDefault="00C75904" w:rsidP="00C75904">
            <w:pPr>
              <w:jc w:val="center"/>
              <w:rPr>
                <w:sz w:val="12"/>
                <w:szCs w:val="12"/>
              </w:rPr>
            </w:pPr>
            <w:r w:rsidRPr="00C75904">
              <w:rPr>
                <w:sz w:val="12"/>
                <w:szCs w:val="12"/>
              </w:rPr>
              <w:t>-</w:t>
            </w:r>
          </w:p>
        </w:tc>
        <w:tc>
          <w:tcPr>
            <w:tcW w:w="1946" w:type="dxa"/>
          </w:tcPr>
          <w:p w14:paraId="0415F66D" w14:textId="77777777" w:rsidR="00C75904" w:rsidRPr="00C75904" w:rsidRDefault="00C75904" w:rsidP="00C75904">
            <w:pPr>
              <w:jc w:val="center"/>
              <w:rPr>
                <w:sz w:val="12"/>
                <w:szCs w:val="12"/>
              </w:rPr>
            </w:pPr>
            <w:r w:rsidRPr="00C75904">
              <w:rPr>
                <w:sz w:val="12"/>
                <w:szCs w:val="12"/>
              </w:rPr>
              <w:t>55/61 (90.2%)</w:t>
            </w:r>
          </w:p>
        </w:tc>
        <w:tc>
          <w:tcPr>
            <w:tcW w:w="1559" w:type="dxa"/>
          </w:tcPr>
          <w:p w14:paraId="599B5EE8" w14:textId="77777777" w:rsidR="00C75904" w:rsidRPr="00C75904" w:rsidRDefault="00C75904" w:rsidP="00C75904">
            <w:pPr>
              <w:jc w:val="center"/>
              <w:rPr>
                <w:sz w:val="12"/>
                <w:szCs w:val="12"/>
              </w:rPr>
            </w:pPr>
            <w:r w:rsidRPr="00C75904">
              <w:rPr>
                <w:sz w:val="12"/>
                <w:szCs w:val="12"/>
              </w:rPr>
              <w:t>82/159 (51.6%)</w:t>
            </w:r>
          </w:p>
        </w:tc>
      </w:tr>
      <w:tr w:rsidR="00C75904" w:rsidRPr="00C75904" w14:paraId="31647647" w14:textId="77777777" w:rsidTr="00AD6C3F">
        <w:trPr>
          <w:trHeight w:val="165"/>
        </w:trPr>
        <w:tc>
          <w:tcPr>
            <w:tcW w:w="872" w:type="dxa"/>
            <w:vMerge/>
          </w:tcPr>
          <w:p w14:paraId="3E236BB6" w14:textId="77777777" w:rsidR="00C75904" w:rsidRPr="00C75904" w:rsidRDefault="00C75904" w:rsidP="00C75904">
            <w:pPr>
              <w:rPr>
                <w:sz w:val="12"/>
                <w:szCs w:val="12"/>
              </w:rPr>
            </w:pPr>
          </w:p>
        </w:tc>
        <w:tc>
          <w:tcPr>
            <w:tcW w:w="1430" w:type="dxa"/>
          </w:tcPr>
          <w:p w14:paraId="6FE7F0DE" w14:textId="77777777" w:rsidR="00C75904" w:rsidRPr="00C75904" w:rsidRDefault="00C75904" w:rsidP="00C75904">
            <w:pPr>
              <w:rPr>
                <w:sz w:val="12"/>
                <w:szCs w:val="12"/>
              </w:rPr>
            </w:pPr>
            <w:r w:rsidRPr="00C75904">
              <w:rPr>
                <w:sz w:val="12"/>
                <w:szCs w:val="12"/>
              </w:rPr>
              <w:t>Cerebral atrophy</w:t>
            </w:r>
          </w:p>
        </w:tc>
        <w:tc>
          <w:tcPr>
            <w:tcW w:w="1682" w:type="dxa"/>
          </w:tcPr>
          <w:p w14:paraId="301066FE" w14:textId="5A745BDE" w:rsidR="00C75904" w:rsidRPr="00C75904" w:rsidRDefault="00C75904" w:rsidP="00C75904">
            <w:pPr>
              <w:jc w:val="center"/>
              <w:rPr>
                <w:sz w:val="12"/>
                <w:szCs w:val="12"/>
              </w:rPr>
            </w:pPr>
            <w:r w:rsidRPr="00C75904">
              <w:rPr>
                <w:sz w:val="12"/>
                <w:szCs w:val="12"/>
              </w:rPr>
              <w:t>-</w:t>
            </w:r>
          </w:p>
        </w:tc>
        <w:tc>
          <w:tcPr>
            <w:tcW w:w="1867" w:type="dxa"/>
          </w:tcPr>
          <w:p w14:paraId="004BD8F2" w14:textId="77777777" w:rsidR="00C75904" w:rsidRPr="00C75904" w:rsidRDefault="00C75904" w:rsidP="00C75904">
            <w:pPr>
              <w:jc w:val="center"/>
              <w:rPr>
                <w:sz w:val="12"/>
                <w:szCs w:val="12"/>
              </w:rPr>
            </w:pPr>
            <w:r w:rsidRPr="00C75904">
              <w:rPr>
                <w:sz w:val="12"/>
                <w:szCs w:val="12"/>
              </w:rPr>
              <w:t>5/5 (100%)</w:t>
            </w:r>
          </w:p>
        </w:tc>
        <w:tc>
          <w:tcPr>
            <w:tcW w:w="1946" w:type="dxa"/>
          </w:tcPr>
          <w:p w14:paraId="78CE7801" w14:textId="77777777" w:rsidR="00C75904" w:rsidRPr="00C75904" w:rsidRDefault="00C75904" w:rsidP="00C75904">
            <w:pPr>
              <w:jc w:val="center"/>
              <w:rPr>
                <w:sz w:val="12"/>
                <w:szCs w:val="12"/>
              </w:rPr>
            </w:pPr>
            <w:r w:rsidRPr="00C75904">
              <w:rPr>
                <w:sz w:val="12"/>
                <w:szCs w:val="12"/>
              </w:rPr>
              <w:t>44/63 (69.8%)</w:t>
            </w:r>
          </w:p>
        </w:tc>
        <w:tc>
          <w:tcPr>
            <w:tcW w:w="1559" w:type="dxa"/>
          </w:tcPr>
          <w:p w14:paraId="23DEB222" w14:textId="77777777" w:rsidR="00C75904" w:rsidRPr="00C75904" w:rsidRDefault="00C75904" w:rsidP="00C75904">
            <w:pPr>
              <w:jc w:val="center"/>
              <w:rPr>
                <w:sz w:val="12"/>
                <w:szCs w:val="12"/>
              </w:rPr>
            </w:pPr>
            <w:r w:rsidRPr="00C75904">
              <w:rPr>
                <w:sz w:val="12"/>
                <w:szCs w:val="12"/>
              </w:rPr>
              <w:t>104/159 (65.4%)</w:t>
            </w:r>
          </w:p>
        </w:tc>
      </w:tr>
      <w:tr w:rsidR="00C75904" w:rsidRPr="00C75904" w14:paraId="458C3BD1" w14:textId="77777777" w:rsidTr="00AD6C3F">
        <w:trPr>
          <w:trHeight w:val="314"/>
        </w:trPr>
        <w:tc>
          <w:tcPr>
            <w:tcW w:w="872" w:type="dxa"/>
            <w:vMerge/>
          </w:tcPr>
          <w:p w14:paraId="761A56E9" w14:textId="77777777" w:rsidR="00C75904" w:rsidRPr="00C75904" w:rsidRDefault="00C75904" w:rsidP="00C75904">
            <w:pPr>
              <w:rPr>
                <w:sz w:val="12"/>
                <w:szCs w:val="12"/>
              </w:rPr>
            </w:pPr>
          </w:p>
        </w:tc>
        <w:tc>
          <w:tcPr>
            <w:tcW w:w="1430" w:type="dxa"/>
          </w:tcPr>
          <w:p w14:paraId="6B850FAB" w14:textId="77777777" w:rsidR="00C75904" w:rsidRPr="00C75904" w:rsidRDefault="00C75904" w:rsidP="00C75904">
            <w:pPr>
              <w:rPr>
                <w:sz w:val="12"/>
                <w:szCs w:val="12"/>
              </w:rPr>
            </w:pPr>
            <w:r w:rsidRPr="00C75904">
              <w:rPr>
                <w:sz w:val="12"/>
                <w:szCs w:val="12"/>
              </w:rPr>
              <w:t>Cerebellar atrophy</w:t>
            </w:r>
          </w:p>
        </w:tc>
        <w:tc>
          <w:tcPr>
            <w:tcW w:w="1682" w:type="dxa"/>
          </w:tcPr>
          <w:p w14:paraId="6AB70A08" w14:textId="3652CA43" w:rsidR="00C75904" w:rsidRPr="00C75904" w:rsidRDefault="00C75904" w:rsidP="00C75904">
            <w:pPr>
              <w:jc w:val="center"/>
              <w:rPr>
                <w:sz w:val="12"/>
                <w:szCs w:val="12"/>
              </w:rPr>
            </w:pPr>
            <w:r w:rsidRPr="00C75904">
              <w:rPr>
                <w:sz w:val="12"/>
                <w:szCs w:val="12"/>
              </w:rPr>
              <w:t>ICV Hypoplasia</w:t>
            </w:r>
          </w:p>
          <w:p w14:paraId="0B08B8F0" w14:textId="79CA569E" w:rsidR="00C75904" w:rsidRPr="00C75904" w:rsidRDefault="00C75904" w:rsidP="00C75904">
            <w:pPr>
              <w:jc w:val="center"/>
              <w:rPr>
                <w:sz w:val="12"/>
                <w:szCs w:val="12"/>
              </w:rPr>
            </w:pPr>
            <w:r w:rsidRPr="00C75904">
              <w:rPr>
                <w:sz w:val="12"/>
                <w:szCs w:val="12"/>
              </w:rPr>
              <w:t>5/5 (100%)</w:t>
            </w:r>
          </w:p>
        </w:tc>
        <w:tc>
          <w:tcPr>
            <w:tcW w:w="1867" w:type="dxa"/>
          </w:tcPr>
          <w:p w14:paraId="68AB9578" w14:textId="77777777" w:rsidR="00C75904" w:rsidRPr="00C75904" w:rsidRDefault="00C75904" w:rsidP="00C75904">
            <w:pPr>
              <w:jc w:val="center"/>
              <w:rPr>
                <w:sz w:val="12"/>
                <w:szCs w:val="12"/>
              </w:rPr>
            </w:pPr>
            <w:r w:rsidRPr="00C75904">
              <w:rPr>
                <w:sz w:val="12"/>
                <w:szCs w:val="12"/>
              </w:rPr>
              <w:t>-</w:t>
            </w:r>
          </w:p>
        </w:tc>
        <w:tc>
          <w:tcPr>
            <w:tcW w:w="1946" w:type="dxa"/>
          </w:tcPr>
          <w:p w14:paraId="199204F9" w14:textId="77777777" w:rsidR="00C75904" w:rsidRPr="00C75904" w:rsidRDefault="00C75904" w:rsidP="00C75904">
            <w:pPr>
              <w:jc w:val="center"/>
              <w:rPr>
                <w:sz w:val="12"/>
                <w:szCs w:val="12"/>
              </w:rPr>
            </w:pPr>
            <w:r w:rsidRPr="00C75904">
              <w:rPr>
                <w:sz w:val="12"/>
                <w:szCs w:val="12"/>
              </w:rPr>
              <w:t>17/63 (27%)</w:t>
            </w:r>
          </w:p>
        </w:tc>
        <w:tc>
          <w:tcPr>
            <w:tcW w:w="1559" w:type="dxa"/>
          </w:tcPr>
          <w:p w14:paraId="11D578E9" w14:textId="77777777" w:rsidR="00C75904" w:rsidRPr="00C75904" w:rsidRDefault="00C75904" w:rsidP="00C75904">
            <w:pPr>
              <w:jc w:val="center"/>
              <w:rPr>
                <w:sz w:val="12"/>
                <w:szCs w:val="12"/>
              </w:rPr>
            </w:pPr>
            <w:r w:rsidRPr="00C75904">
              <w:rPr>
                <w:sz w:val="12"/>
                <w:szCs w:val="12"/>
              </w:rPr>
              <w:t>37/159 (23.3%)</w:t>
            </w:r>
          </w:p>
        </w:tc>
      </w:tr>
      <w:tr w:rsidR="00C75904" w:rsidRPr="00C75904" w14:paraId="224B851B" w14:textId="77777777" w:rsidTr="00AD6C3F">
        <w:trPr>
          <w:trHeight w:val="165"/>
        </w:trPr>
        <w:tc>
          <w:tcPr>
            <w:tcW w:w="872" w:type="dxa"/>
            <w:vMerge/>
          </w:tcPr>
          <w:p w14:paraId="2FDF8B1B" w14:textId="77777777" w:rsidR="00C75904" w:rsidRPr="00C75904" w:rsidRDefault="00C75904" w:rsidP="00C75904">
            <w:pPr>
              <w:rPr>
                <w:sz w:val="12"/>
                <w:szCs w:val="12"/>
              </w:rPr>
            </w:pPr>
          </w:p>
        </w:tc>
        <w:tc>
          <w:tcPr>
            <w:tcW w:w="1430" w:type="dxa"/>
          </w:tcPr>
          <w:p w14:paraId="2DE85DE8" w14:textId="77777777" w:rsidR="00C75904" w:rsidRPr="00C75904" w:rsidRDefault="00C75904" w:rsidP="00C75904">
            <w:pPr>
              <w:rPr>
                <w:sz w:val="12"/>
                <w:szCs w:val="12"/>
              </w:rPr>
            </w:pPr>
            <w:r w:rsidRPr="00C75904">
              <w:rPr>
                <w:sz w:val="12"/>
                <w:szCs w:val="12"/>
              </w:rPr>
              <w:t>Abnormal myelination</w:t>
            </w:r>
          </w:p>
        </w:tc>
        <w:tc>
          <w:tcPr>
            <w:tcW w:w="1682" w:type="dxa"/>
          </w:tcPr>
          <w:p w14:paraId="4667519E" w14:textId="60C2907A" w:rsidR="00C75904" w:rsidRPr="00C75904" w:rsidRDefault="00C75904" w:rsidP="00C75904">
            <w:pPr>
              <w:jc w:val="center"/>
              <w:rPr>
                <w:sz w:val="12"/>
                <w:szCs w:val="12"/>
              </w:rPr>
            </w:pPr>
            <w:r w:rsidRPr="00C75904">
              <w:rPr>
                <w:sz w:val="12"/>
                <w:szCs w:val="12"/>
              </w:rPr>
              <w:t>-</w:t>
            </w:r>
          </w:p>
        </w:tc>
        <w:tc>
          <w:tcPr>
            <w:tcW w:w="1867" w:type="dxa"/>
          </w:tcPr>
          <w:p w14:paraId="04B2E70E" w14:textId="77777777" w:rsidR="00C75904" w:rsidRPr="00C75904" w:rsidRDefault="00C75904" w:rsidP="00C75904">
            <w:pPr>
              <w:jc w:val="center"/>
              <w:rPr>
                <w:sz w:val="12"/>
                <w:szCs w:val="12"/>
              </w:rPr>
            </w:pPr>
            <w:r w:rsidRPr="00C75904">
              <w:rPr>
                <w:sz w:val="12"/>
                <w:szCs w:val="12"/>
              </w:rPr>
              <w:t>-</w:t>
            </w:r>
          </w:p>
        </w:tc>
        <w:tc>
          <w:tcPr>
            <w:tcW w:w="1946" w:type="dxa"/>
          </w:tcPr>
          <w:p w14:paraId="5E56B098" w14:textId="77777777" w:rsidR="00C75904" w:rsidRPr="00C75904" w:rsidRDefault="00C75904" w:rsidP="00C75904">
            <w:pPr>
              <w:jc w:val="center"/>
              <w:rPr>
                <w:sz w:val="12"/>
                <w:szCs w:val="12"/>
              </w:rPr>
            </w:pPr>
            <w:r w:rsidRPr="00C75904">
              <w:rPr>
                <w:sz w:val="12"/>
                <w:szCs w:val="12"/>
              </w:rPr>
              <w:t>6/63 (9.5%)</w:t>
            </w:r>
          </w:p>
        </w:tc>
        <w:tc>
          <w:tcPr>
            <w:tcW w:w="1559" w:type="dxa"/>
          </w:tcPr>
          <w:p w14:paraId="3EC18D03" w14:textId="77777777" w:rsidR="00C75904" w:rsidRPr="00C75904" w:rsidRDefault="00C75904" w:rsidP="00C75904">
            <w:pPr>
              <w:jc w:val="center"/>
              <w:rPr>
                <w:sz w:val="12"/>
                <w:szCs w:val="12"/>
              </w:rPr>
            </w:pPr>
            <w:r w:rsidRPr="00C75904">
              <w:rPr>
                <w:sz w:val="12"/>
                <w:szCs w:val="12"/>
              </w:rPr>
              <w:t>45/159 (28.3%)</w:t>
            </w:r>
          </w:p>
        </w:tc>
      </w:tr>
      <w:tr w:rsidR="00C75904" w:rsidRPr="00C75904" w14:paraId="53CA2DED" w14:textId="77777777" w:rsidTr="00AD6C3F">
        <w:trPr>
          <w:trHeight w:val="314"/>
        </w:trPr>
        <w:tc>
          <w:tcPr>
            <w:tcW w:w="872" w:type="dxa"/>
            <w:vMerge/>
          </w:tcPr>
          <w:p w14:paraId="463E2E8E" w14:textId="77777777" w:rsidR="00C75904" w:rsidRPr="00C75904" w:rsidRDefault="00C75904" w:rsidP="00C75904">
            <w:pPr>
              <w:rPr>
                <w:sz w:val="12"/>
                <w:szCs w:val="12"/>
              </w:rPr>
            </w:pPr>
          </w:p>
        </w:tc>
        <w:tc>
          <w:tcPr>
            <w:tcW w:w="1430" w:type="dxa"/>
          </w:tcPr>
          <w:p w14:paraId="5A8CDDF1" w14:textId="77777777" w:rsidR="00C75904" w:rsidRPr="00C75904" w:rsidRDefault="00C75904" w:rsidP="00C75904">
            <w:pPr>
              <w:rPr>
                <w:sz w:val="12"/>
                <w:szCs w:val="12"/>
              </w:rPr>
            </w:pPr>
            <w:r w:rsidRPr="00C75904">
              <w:rPr>
                <w:sz w:val="12"/>
                <w:szCs w:val="12"/>
              </w:rPr>
              <w:t>Reduced white matter volume</w:t>
            </w:r>
          </w:p>
        </w:tc>
        <w:tc>
          <w:tcPr>
            <w:tcW w:w="1682" w:type="dxa"/>
          </w:tcPr>
          <w:p w14:paraId="692B5704" w14:textId="6269F3C4" w:rsidR="00C75904" w:rsidRPr="00C75904" w:rsidRDefault="00C75904" w:rsidP="00C75904">
            <w:pPr>
              <w:jc w:val="center"/>
              <w:rPr>
                <w:sz w:val="12"/>
                <w:szCs w:val="12"/>
              </w:rPr>
            </w:pPr>
            <w:r w:rsidRPr="00C75904">
              <w:rPr>
                <w:sz w:val="12"/>
                <w:szCs w:val="12"/>
              </w:rPr>
              <w:t>5/5 (100%)</w:t>
            </w:r>
          </w:p>
        </w:tc>
        <w:tc>
          <w:tcPr>
            <w:tcW w:w="1867" w:type="dxa"/>
          </w:tcPr>
          <w:p w14:paraId="3EB626F2" w14:textId="77777777" w:rsidR="00C75904" w:rsidRPr="00C75904" w:rsidRDefault="00C75904" w:rsidP="00C75904">
            <w:pPr>
              <w:jc w:val="center"/>
              <w:rPr>
                <w:sz w:val="12"/>
                <w:szCs w:val="12"/>
              </w:rPr>
            </w:pPr>
            <w:r w:rsidRPr="00C75904">
              <w:rPr>
                <w:sz w:val="12"/>
                <w:szCs w:val="12"/>
              </w:rPr>
              <w:t>5/5 (100%)</w:t>
            </w:r>
          </w:p>
        </w:tc>
        <w:tc>
          <w:tcPr>
            <w:tcW w:w="1946" w:type="dxa"/>
          </w:tcPr>
          <w:p w14:paraId="6D00DA5E" w14:textId="77777777" w:rsidR="00C75904" w:rsidRPr="00C75904" w:rsidRDefault="00C75904" w:rsidP="00C75904">
            <w:pPr>
              <w:jc w:val="center"/>
              <w:rPr>
                <w:sz w:val="12"/>
                <w:szCs w:val="12"/>
              </w:rPr>
            </w:pPr>
          </w:p>
        </w:tc>
        <w:tc>
          <w:tcPr>
            <w:tcW w:w="1559" w:type="dxa"/>
          </w:tcPr>
          <w:p w14:paraId="54C63ACA" w14:textId="77777777" w:rsidR="00C75904" w:rsidRPr="00C75904" w:rsidRDefault="00C75904" w:rsidP="00C75904">
            <w:pPr>
              <w:jc w:val="center"/>
              <w:rPr>
                <w:sz w:val="12"/>
                <w:szCs w:val="12"/>
              </w:rPr>
            </w:pPr>
          </w:p>
        </w:tc>
      </w:tr>
      <w:tr w:rsidR="00C75904" w:rsidRPr="00C75904" w14:paraId="75851576" w14:textId="77777777" w:rsidTr="00AD6C3F">
        <w:trPr>
          <w:trHeight w:val="165"/>
        </w:trPr>
        <w:tc>
          <w:tcPr>
            <w:tcW w:w="872" w:type="dxa"/>
            <w:vMerge/>
          </w:tcPr>
          <w:p w14:paraId="0E50AF13" w14:textId="77777777" w:rsidR="00C75904" w:rsidRPr="00C75904" w:rsidRDefault="00C75904" w:rsidP="00C75904">
            <w:pPr>
              <w:rPr>
                <w:sz w:val="12"/>
                <w:szCs w:val="12"/>
              </w:rPr>
            </w:pPr>
          </w:p>
        </w:tc>
        <w:tc>
          <w:tcPr>
            <w:tcW w:w="1430" w:type="dxa"/>
          </w:tcPr>
          <w:p w14:paraId="48591470" w14:textId="77777777" w:rsidR="00C75904" w:rsidRPr="00C75904" w:rsidRDefault="00C75904" w:rsidP="00C75904">
            <w:pPr>
              <w:rPr>
                <w:sz w:val="12"/>
                <w:szCs w:val="12"/>
              </w:rPr>
            </w:pPr>
            <w:r w:rsidRPr="00C75904">
              <w:rPr>
                <w:sz w:val="12"/>
                <w:szCs w:val="12"/>
              </w:rPr>
              <w:t>Abnormal corpus callosum</w:t>
            </w:r>
          </w:p>
        </w:tc>
        <w:tc>
          <w:tcPr>
            <w:tcW w:w="1682" w:type="dxa"/>
          </w:tcPr>
          <w:p w14:paraId="1C71F0CB" w14:textId="15B99686" w:rsidR="00C75904" w:rsidRPr="00C75904" w:rsidRDefault="00C75904" w:rsidP="00C75904">
            <w:pPr>
              <w:jc w:val="center"/>
              <w:rPr>
                <w:sz w:val="12"/>
                <w:szCs w:val="12"/>
              </w:rPr>
            </w:pPr>
            <w:r w:rsidRPr="00C75904">
              <w:rPr>
                <w:sz w:val="12"/>
                <w:szCs w:val="12"/>
              </w:rPr>
              <w:t>5/5 (100%)</w:t>
            </w:r>
          </w:p>
        </w:tc>
        <w:tc>
          <w:tcPr>
            <w:tcW w:w="1867" w:type="dxa"/>
          </w:tcPr>
          <w:p w14:paraId="5A2F68FF" w14:textId="77777777" w:rsidR="00C75904" w:rsidRPr="00C75904" w:rsidRDefault="00C75904" w:rsidP="00C75904">
            <w:pPr>
              <w:jc w:val="center"/>
              <w:rPr>
                <w:sz w:val="12"/>
                <w:szCs w:val="12"/>
              </w:rPr>
            </w:pPr>
            <w:r w:rsidRPr="00C75904">
              <w:rPr>
                <w:sz w:val="12"/>
                <w:szCs w:val="12"/>
              </w:rPr>
              <w:t>-</w:t>
            </w:r>
          </w:p>
        </w:tc>
        <w:tc>
          <w:tcPr>
            <w:tcW w:w="1946" w:type="dxa"/>
          </w:tcPr>
          <w:p w14:paraId="67DBE2E3" w14:textId="77777777" w:rsidR="00C75904" w:rsidRPr="00C75904" w:rsidRDefault="00C75904" w:rsidP="00C75904">
            <w:pPr>
              <w:jc w:val="center"/>
              <w:rPr>
                <w:sz w:val="12"/>
                <w:szCs w:val="12"/>
              </w:rPr>
            </w:pPr>
            <w:r w:rsidRPr="00C75904">
              <w:rPr>
                <w:sz w:val="12"/>
                <w:szCs w:val="12"/>
              </w:rPr>
              <w:t>2/63 (3.2%)</w:t>
            </w:r>
          </w:p>
        </w:tc>
        <w:tc>
          <w:tcPr>
            <w:tcW w:w="1559" w:type="dxa"/>
          </w:tcPr>
          <w:p w14:paraId="799C2003" w14:textId="77777777" w:rsidR="00C75904" w:rsidRPr="00C75904" w:rsidRDefault="00C75904" w:rsidP="00C75904">
            <w:pPr>
              <w:jc w:val="center"/>
              <w:rPr>
                <w:sz w:val="12"/>
                <w:szCs w:val="12"/>
              </w:rPr>
            </w:pPr>
            <w:r w:rsidRPr="00C75904">
              <w:rPr>
                <w:sz w:val="12"/>
                <w:szCs w:val="12"/>
              </w:rPr>
              <w:t>60/159 (37.7%)</w:t>
            </w:r>
          </w:p>
        </w:tc>
      </w:tr>
      <w:tr w:rsidR="00C75904" w:rsidRPr="00C75904" w14:paraId="007BC13D" w14:textId="77777777" w:rsidTr="00AD6C3F">
        <w:trPr>
          <w:trHeight w:val="376"/>
        </w:trPr>
        <w:tc>
          <w:tcPr>
            <w:tcW w:w="872" w:type="dxa"/>
            <w:vMerge/>
          </w:tcPr>
          <w:p w14:paraId="0D95522C" w14:textId="77777777" w:rsidR="00C75904" w:rsidRPr="00C75904" w:rsidRDefault="00C75904" w:rsidP="00C75904">
            <w:pPr>
              <w:rPr>
                <w:sz w:val="12"/>
                <w:szCs w:val="12"/>
              </w:rPr>
            </w:pPr>
          </w:p>
        </w:tc>
        <w:tc>
          <w:tcPr>
            <w:tcW w:w="1430" w:type="dxa"/>
          </w:tcPr>
          <w:p w14:paraId="347E10AA" w14:textId="77777777" w:rsidR="00C75904" w:rsidRPr="00C75904" w:rsidRDefault="00C75904" w:rsidP="00C75904">
            <w:pPr>
              <w:rPr>
                <w:sz w:val="12"/>
                <w:szCs w:val="12"/>
              </w:rPr>
            </w:pPr>
            <w:r w:rsidRPr="00C75904">
              <w:rPr>
                <w:sz w:val="12"/>
                <w:szCs w:val="12"/>
              </w:rPr>
              <w:t>Dilated ventricles</w:t>
            </w:r>
          </w:p>
        </w:tc>
        <w:tc>
          <w:tcPr>
            <w:tcW w:w="1682" w:type="dxa"/>
          </w:tcPr>
          <w:p w14:paraId="635229D0" w14:textId="0BD050E0" w:rsidR="00C75904" w:rsidRPr="00C75904" w:rsidRDefault="00C75904" w:rsidP="00C75904">
            <w:pPr>
              <w:jc w:val="center"/>
              <w:rPr>
                <w:sz w:val="12"/>
                <w:szCs w:val="12"/>
              </w:rPr>
            </w:pPr>
            <w:r w:rsidRPr="00C75904">
              <w:rPr>
                <w:sz w:val="12"/>
                <w:szCs w:val="12"/>
              </w:rPr>
              <w:t>5/5 (100%)</w:t>
            </w:r>
          </w:p>
        </w:tc>
        <w:tc>
          <w:tcPr>
            <w:tcW w:w="1867" w:type="dxa"/>
          </w:tcPr>
          <w:p w14:paraId="621B0B85" w14:textId="77777777" w:rsidR="00C75904" w:rsidRPr="00C75904" w:rsidRDefault="00C75904" w:rsidP="00C75904">
            <w:pPr>
              <w:jc w:val="center"/>
              <w:rPr>
                <w:sz w:val="12"/>
                <w:szCs w:val="12"/>
              </w:rPr>
            </w:pPr>
            <w:r w:rsidRPr="00C75904">
              <w:rPr>
                <w:sz w:val="12"/>
                <w:szCs w:val="12"/>
              </w:rPr>
              <w:t>5/5 (100%)</w:t>
            </w:r>
          </w:p>
        </w:tc>
        <w:tc>
          <w:tcPr>
            <w:tcW w:w="1946" w:type="dxa"/>
          </w:tcPr>
          <w:p w14:paraId="4295C9EE" w14:textId="77777777" w:rsidR="00C75904" w:rsidRPr="00C75904" w:rsidRDefault="00C75904" w:rsidP="00C75904">
            <w:pPr>
              <w:jc w:val="center"/>
              <w:rPr>
                <w:sz w:val="12"/>
                <w:szCs w:val="12"/>
              </w:rPr>
            </w:pPr>
            <w:r w:rsidRPr="00C75904">
              <w:rPr>
                <w:sz w:val="12"/>
                <w:szCs w:val="12"/>
              </w:rPr>
              <w:t>2/63 (3.2%)</w:t>
            </w:r>
          </w:p>
        </w:tc>
        <w:tc>
          <w:tcPr>
            <w:tcW w:w="1559" w:type="dxa"/>
          </w:tcPr>
          <w:p w14:paraId="0770766C" w14:textId="77777777" w:rsidR="00C75904" w:rsidRPr="00C75904" w:rsidRDefault="00C75904" w:rsidP="00C75904">
            <w:pPr>
              <w:jc w:val="center"/>
              <w:rPr>
                <w:sz w:val="12"/>
                <w:szCs w:val="12"/>
              </w:rPr>
            </w:pPr>
            <w:r w:rsidRPr="00C75904">
              <w:rPr>
                <w:sz w:val="12"/>
                <w:szCs w:val="12"/>
              </w:rPr>
              <w:t>NA</w:t>
            </w:r>
          </w:p>
        </w:tc>
      </w:tr>
    </w:tbl>
    <w:p w14:paraId="086E48F5" w14:textId="6DE95CD5" w:rsidR="00E21DCF" w:rsidRPr="00C75904" w:rsidRDefault="00EA0183" w:rsidP="00E21DCF">
      <w:pPr>
        <w:spacing w:line="480" w:lineRule="auto"/>
        <w:rPr>
          <w:rFonts w:ascii="Times New Roman" w:hAnsi="Times New Roman" w:cs="Times New Roman"/>
          <w:b/>
          <w:bCs/>
          <w:lang w:val="en-US"/>
        </w:rPr>
      </w:pPr>
      <w:r w:rsidRPr="00EA0183">
        <w:rPr>
          <w:rFonts w:ascii="Times New Roman" w:hAnsi="Times New Roman" w:cs="Times New Roman"/>
          <w:sz w:val="18"/>
          <w:szCs w:val="18"/>
          <w:lang w:val="en-US"/>
        </w:rPr>
        <w:t xml:space="preserve">Abbreviations: </w:t>
      </w:r>
      <w:r w:rsidR="00B8707E">
        <w:rPr>
          <w:rFonts w:ascii="Times New Roman" w:hAnsi="Times New Roman" w:cs="Times New Roman"/>
          <w:sz w:val="18"/>
          <w:szCs w:val="18"/>
          <w:lang w:val="en-US"/>
        </w:rPr>
        <w:t>DD= developmental delay; ID=</w:t>
      </w:r>
      <w:r w:rsidR="00C75904" w:rsidRPr="00C75904">
        <w:rPr>
          <w:rFonts w:ascii="Times New Roman" w:hAnsi="Times New Roman" w:cs="Times New Roman"/>
          <w:sz w:val="18"/>
          <w:szCs w:val="18"/>
          <w:lang w:val="en-US"/>
        </w:rPr>
        <w:t xml:space="preserve"> intellectual disability; ICV=inferior cerebellar vermis</w:t>
      </w:r>
      <w:r w:rsidR="00AD6C3F">
        <w:rPr>
          <w:rFonts w:ascii="Times New Roman" w:hAnsi="Times New Roman" w:cs="Times New Roman"/>
          <w:sz w:val="18"/>
          <w:szCs w:val="18"/>
          <w:lang w:val="en-US"/>
        </w:rPr>
        <w:t>; NA= not available</w:t>
      </w:r>
    </w:p>
    <w:p w14:paraId="3EA11A29" w14:textId="45757E98" w:rsidR="00C75904" w:rsidRPr="00C75904" w:rsidRDefault="00C75904" w:rsidP="00E21DCF">
      <w:pPr>
        <w:spacing w:line="480" w:lineRule="auto"/>
        <w:rPr>
          <w:rFonts w:ascii="Times New Roman" w:hAnsi="Times New Roman" w:cs="Times New Roman"/>
          <w:b/>
          <w:bCs/>
          <w:lang w:val="en-US"/>
        </w:rPr>
      </w:pPr>
    </w:p>
    <w:p w14:paraId="4786760B" w14:textId="49104810" w:rsidR="00C75904" w:rsidRDefault="00C75904" w:rsidP="00E21DCF">
      <w:pPr>
        <w:spacing w:line="480" w:lineRule="auto"/>
        <w:rPr>
          <w:rFonts w:ascii="Times New Roman" w:hAnsi="Times New Roman" w:cs="Times New Roman"/>
          <w:b/>
          <w:bCs/>
          <w:lang w:val="en-US"/>
        </w:rPr>
      </w:pPr>
    </w:p>
    <w:p w14:paraId="5052410B" w14:textId="60957649" w:rsidR="006419BF" w:rsidRPr="00C75904" w:rsidRDefault="006419BF" w:rsidP="006419BF">
      <w:pPr>
        <w:pStyle w:val="NoSpacing"/>
        <w:tabs>
          <w:tab w:val="right" w:pos="9632"/>
        </w:tabs>
        <w:rPr>
          <w:rFonts w:ascii="Times New Roman" w:hAnsi="Times New Roman" w:cs="Times New Roman"/>
          <w:b/>
          <w:bCs/>
          <w:lang w:val="en-US"/>
        </w:rPr>
      </w:pPr>
      <w:r>
        <w:rPr>
          <w:rFonts w:ascii="Times New Roman" w:hAnsi="Times New Roman" w:cs="Times New Roman"/>
          <w:b/>
          <w:bCs/>
          <w:lang w:val="en-US"/>
        </w:rPr>
        <w:lastRenderedPageBreak/>
        <w:t>Supplementary Table 2</w:t>
      </w:r>
      <w:r w:rsidRPr="00C75904">
        <w:rPr>
          <w:rFonts w:ascii="Times New Roman" w:hAnsi="Times New Roman" w:cs="Times New Roman"/>
          <w:b/>
          <w:bCs/>
          <w:lang w:val="en-US"/>
        </w:rPr>
        <w:t xml:space="preserve">. Facial </w:t>
      </w:r>
      <w:proofErr w:type="spellStart"/>
      <w:r w:rsidRPr="00C75904">
        <w:rPr>
          <w:rFonts w:ascii="Times New Roman" w:hAnsi="Times New Roman" w:cs="Times New Roman"/>
          <w:b/>
          <w:bCs/>
          <w:lang w:val="en-US"/>
        </w:rPr>
        <w:t>dysmorphism</w:t>
      </w:r>
      <w:proofErr w:type="spellEnd"/>
      <w:r w:rsidRPr="00C75904">
        <w:rPr>
          <w:rFonts w:ascii="Times New Roman" w:hAnsi="Times New Roman" w:cs="Times New Roman"/>
          <w:b/>
          <w:bCs/>
          <w:lang w:val="en-US"/>
        </w:rPr>
        <w:t xml:space="preserve"> and musculoskeletal findings in </w:t>
      </w:r>
      <w:r w:rsidRPr="00C75904">
        <w:rPr>
          <w:rFonts w:ascii="Times New Roman" w:hAnsi="Times New Roman" w:cs="Times New Roman"/>
          <w:b/>
          <w:bCs/>
          <w:i/>
          <w:iCs/>
          <w:lang w:val="en-US"/>
        </w:rPr>
        <w:t>WIPI2</w:t>
      </w:r>
      <w:r w:rsidRPr="00C75904">
        <w:rPr>
          <w:rFonts w:ascii="Times New Roman" w:hAnsi="Times New Roman" w:cs="Times New Roman"/>
          <w:b/>
          <w:bCs/>
          <w:lang w:val="en-US"/>
        </w:rPr>
        <w:t xml:space="preserve"> patients.</w:t>
      </w:r>
      <w:r w:rsidRPr="00C75904">
        <w:rPr>
          <w:rFonts w:ascii="Times New Roman" w:hAnsi="Times New Roman" w:cs="Times New Roman"/>
          <w:b/>
          <w:bCs/>
          <w:lang w:val="en-US"/>
        </w:rPr>
        <w:tab/>
      </w:r>
    </w:p>
    <w:p w14:paraId="7E961617" w14:textId="77777777" w:rsidR="006419BF" w:rsidRPr="00C75904" w:rsidRDefault="006419BF" w:rsidP="006419BF">
      <w:pPr>
        <w:pStyle w:val="NoSpacing"/>
        <w:tabs>
          <w:tab w:val="right" w:pos="9632"/>
        </w:tabs>
        <w:rPr>
          <w:rFonts w:ascii="Times New Roman" w:hAnsi="Times New Roman" w:cs="Times New Roman"/>
          <w:lang w:val="en-US"/>
        </w:rPr>
      </w:pPr>
    </w:p>
    <w:tbl>
      <w:tblPr>
        <w:tblStyle w:val="TableGrid"/>
        <w:tblW w:w="0" w:type="auto"/>
        <w:tblInd w:w="-426" w:type="dxa"/>
        <w:tblLook w:val="04A0" w:firstRow="1" w:lastRow="0" w:firstColumn="1" w:lastColumn="0" w:noHBand="0" w:noVBand="1"/>
      </w:tblPr>
      <w:tblGrid>
        <w:gridCol w:w="1475"/>
        <w:gridCol w:w="1361"/>
        <w:gridCol w:w="1418"/>
        <w:gridCol w:w="1417"/>
        <w:gridCol w:w="1559"/>
        <w:gridCol w:w="1418"/>
        <w:gridCol w:w="1405"/>
      </w:tblGrid>
      <w:tr w:rsidR="006419BF" w:rsidRPr="00C75904" w14:paraId="1FB03C5A" w14:textId="77777777" w:rsidTr="008910E5">
        <w:tc>
          <w:tcPr>
            <w:tcW w:w="1475" w:type="dxa"/>
            <w:vMerge w:val="restart"/>
            <w:tcBorders>
              <w:top w:val="nil"/>
              <w:left w:val="nil"/>
            </w:tcBorders>
          </w:tcPr>
          <w:p w14:paraId="5EDA5B0D" w14:textId="77777777" w:rsidR="006419BF" w:rsidRPr="00C75904" w:rsidRDefault="006419BF" w:rsidP="008910E5">
            <w:pPr>
              <w:spacing w:line="276" w:lineRule="auto"/>
              <w:rPr>
                <w:rFonts w:ascii="Times New Roman" w:hAnsi="Times New Roman" w:cs="Times New Roman"/>
                <w:b/>
                <w:bCs/>
                <w:sz w:val="13"/>
                <w:szCs w:val="13"/>
                <w:lang w:val="en-US"/>
              </w:rPr>
            </w:pPr>
          </w:p>
        </w:tc>
        <w:tc>
          <w:tcPr>
            <w:tcW w:w="5755" w:type="dxa"/>
            <w:gridSpan w:val="4"/>
            <w:shd w:val="clear" w:color="auto" w:fill="F2F2F2" w:themeFill="background1" w:themeFillShade="F2"/>
            <w:vAlign w:val="center"/>
          </w:tcPr>
          <w:p w14:paraId="79E3F4BC"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This study</w:t>
            </w:r>
          </w:p>
        </w:tc>
        <w:tc>
          <w:tcPr>
            <w:tcW w:w="2823" w:type="dxa"/>
            <w:gridSpan w:val="2"/>
            <w:shd w:val="clear" w:color="auto" w:fill="F2F2F2" w:themeFill="background1" w:themeFillShade="F2"/>
            <w:vAlign w:val="center"/>
          </w:tcPr>
          <w:p w14:paraId="3930C988" w14:textId="77777777" w:rsidR="006419BF" w:rsidRPr="00C75904" w:rsidRDefault="006419BF" w:rsidP="008910E5">
            <w:pPr>
              <w:spacing w:line="276" w:lineRule="auto"/>
              <w:jc w:val="center"/>
              <w:rPr>
                <w:rFonts w:ascii="Times New Roman" w:hAnsi="Times New Roman" w:cs="Times New Roman"/>
                <w:b/>
                <w:bCs/>
                <w:sz w:val="13"/>
                <w:szCs w:val="13"/>
              </w:rPr>
            </w:pPr>
            <w:r w:rsidRPr="00C75904">
              <w:rPr>
                <w:rFonts w:ascii="Times New Roman" w:hAnsi="Times New Roman" w:cs="Times New Roman"/>
                <w:b/>
                <w:bCs/>
                <w:sz w:val="13"/>
                <w:szCs w:val="13"/>
              </w:rPr>
              <w:t>Jelani et al., 2019</w:t>
            </w:r>
          </w:p>
        </w:tc>
      </w:tr>
      <w:tr w:rsidR="006419BF" w:rsidRPr="00C75904" w14:paraId="1620A690" w14:textId="77777777" w:rsidTr="008910E5">
        <w:trPr>
          <w:trHeight w:val="54"/>
        </w:trPr>
        <w:tc>
          <w:tcPr>
            <w:tcW w:w="1475" w:type="dxa"/>
            <w:vMerge/>
            <w:tcBorders>
              <w:top w:val="nil"/>
              <w:left w:val="nil"/>
            </w:tcBorders>
          </w:tcPr>
          <w:p w14:paraId="47080949" w14:textId="77777777" w:rsidR="006419BF" w:rsidRPr="00C75904" w:rsidRDefault="006419BF" w:rsidP="008910E5">
            <w:pPr>
              <w:spacing w:line="276" w:lineRule="auto"/>
              <w:rPr>
                <w:rFonts w:ascii="Times New Roman" w:hAnsi="Times New Roman" w:cs="Times New Roman"/>
                <w:b/>
                <w:bCs/>
                <w:sz w:val="13"/>
                <w:szCs w:val="13"/>
                <w:lang w:val="en-US"/>
              </w:rPr>
            </w:pPr>
          </w:p>
        </w:tc>
        <w:tc>
          <w:tcPr>
            <w:tcW w:w="1361" w:type="dxa"/>
            <w:shd w:val="clear" w:color="auto" w:fill="F2F2F2" w:themeFill="background1" w:themeFillShade="F2"/>
            <w:vAlign w:val="center"/>
          </w:tcPr>
          <w:p w14:paraId="1A58FF07" w14:textId="77777777" w:rsidR="006419BF" w:rsidRPr="00C75904" w:rsidRDefault="006419BF" w:rsidP="008910E5">
            <w:pPr>
              <w:spacing w:line="276" w:lineRule="auto"/>
              <w:jc w:val="center"/>
              <w:rPr>
                <w:rFonts w:ascii="Times New Roman" w:hAnsi="Times New Roman" w:cs="Times New Roman"/>
                <w:b/>
                <w:bCs/>
                <w:sz w:val="13"/>
                <w:szCs w:val="13"/>
                <w:lang w:val="en-US"/>
              </w:rPr>
            </w:pPr>
            <w:r>
              <w:rPr>
                <w:rFonts w:ascii="Times New Roman" w:hAnsi="Times New Roman" w:cs="Times New Roman"/>
                <w:b/>
                <w:bCs/>
                <w:sz w:val="13"/>
                <w:szCs w:val="13"/>
                <w:lang w:val="en-US"/>
              </w:rPr>
              <w:t>F1-IV:1</w:t>
            </w:r>
          </w:p>
        </w:tc>
        <w:tc>
          <w:tcPr>
            <w:tcW w:w="1418" w:type="dxa"/>
            <w:shd w:val="clear" w:color="auto" w:fill="F2F2F2" w:themeFill="background1" w:themeFillShade="F2"/>
            <w:vAlign w:val="center"/>
          </w:tcPr>
          <w:p w14:paraId="633C6A49"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903CA5">
              <w:rPr>
                <w:rFonts w:ascii="Times New Roman" w:hAnsi="Times New Roman" w:cs="Times New Roman"/>
                <w:b/>
                <w:bCs/>
                <w:sz w:val="13"/>
                <w:szCs w:val="13"/>
                <w:lang w:val="en-US"/>
              </w:rPr>
              <w:t>F1-IV:3</w:t>
            </w:r>
          </w:p>
        </w:tc>
        <w:tc>
          <w:tcPr>
            <w:tcW w:w="1417" w:type="dxa"/>
            <w:shd w:val="clear" w:color="auto" w:fill="F2F2F2" w:themeFill="background1" w:themeFillShade="F2"/>
            <w:vAlign w:val="center"/>
          </w:tcPr>
          <w:p w14:paraId="1FC65BF2" w14:textId="77777777" w:rsidR="006419BF" w:rsidRPr="00C75904" w:rsidRDefault="006419BF" w:rsidP="008910E5">
            <w:pPr>
              <w:spacing w:line="276" w:lineRule="auto"/>
              <w:jc w:val="center"/>
              <w:rPr>
                <w:rFonts w:ascii="Times New Roman" w:hAnsi="Times New Roman" w:cs="Times New Roman"/>
                <w:b/>
                <w:bCs/>
                <w:sz w:val="13"/>
                <w:szCs w:val="13"/>
                <w:lang w:val="en-US"/>
              </w:rPr>
            </w:pPr>
            <w:r>
              <w:rPr>
                <w:rFonts w:ascii="Times New Roman" w:hAnsi="Times New Roman" w:cs="Times New Roman"/>
                <w:b/>
                <w:bCs/>
                <w:sz w:val="13"/>
                <w:szCs w:val="13"/>
                <w:lang w:val="en-US"/>
              </w:rPr>
              <w:t>F1-IV:4</w:t>
            </w:r>
          </w:p>
        </w:tc>
        <w:tc>
          <w:tcPr>
            <w:tcW w:w="1559" w:type="dxa"/>
            <w:shd w:val="clear" w:color="auto" w:fill="F2F2F2" w:themeFill="background1" w:themeFillShade="F2"/>
          </w:tcPr>
          <w:p w14:paraId="17C21C32" w14:textId="77777777" w:rsidR="006419BF" w:rsidRPr="00C75904" w:rsidRDefault="006419BF" w:rsidP="008910E5">
            <w:pPr>
              <w:spacing w:line="276" w:lineRule="auto"/>
              <w:jc w:val="center"/>
              <w:rPr>
                <w:rFonts w:ascii="Times New Roman" w:hAnsi="Times New Roman" w:cs="Times New Roman"/>
                <w:b/>
                <w:bCs/>
                <w:sz w:val="13"/>
                <w:szCs w:val="13"/>
              </w:rPr>
            </w:pPr>
            <w:r w:rsidRPr="00903CA5">
              <w:rPr>
                <w:rFonts w:ascii="Times New Roman" w:hAnsi="Times New Roman" w:cs="Times New Roman"/>
                <w:b/>
                <w:bCs/>
                <w:sz w:val="13"/>
                <w:szCs w:val="13"/>
              </w:rPr>
              <w:t>F2-IV:3</w:t>
            </w:r>
          </w:p>
        </w:tc>
        <w:tc>
          <w:tcPr>
            <w:tcW w:w="1418" w:type="dxa"/>
            <w:shd w:val="clear" w:color="auto" w:fill="F2F2F2" w:themeFill="background1" w:themeFillShade="F2"/>
            <w:vAlign w:val="center"/>
          </w:tcPr>
          <w:p w14:paraId="0CC0765F" w14:textId="77777777" w:rsidR="006419BF" w:rsidRPr="00C75904" w:rsidRDefault="006419BF" w:rsidP="008910E5">
            <w:pPr>
              <w:spacing w:line="276" w:lineRule="auto"/>
              <w:jc w:val="center"/>
              <w:rPr>
                <w:rFonts w:ascii="Times New Roman" w:hAnsi="Times New Roman" w:cs="Times New Roman"/>
                <w:b/>
                <w:bCs/>
                <w:sz w:val="13"/>
                <w:szCs w:val="13"/>
              </w:rPr>
            </w:pPr>
            <w:r w:rsidRPr="00C75904">
              <w:rPr>
                <w:rFonts w:ascii="Times New Roman" w:hAnsi="Times New Roman" w:cs="Times New Roman"/>
                <w:b/>
                <w:bCs/>
                <w:sz w:val="13"/>
                <w:szCs w:val="13"/>
              </w:rPr>
              <w:t>NA</w:t>
            </w:r>
            <w:r>
              <w:t xml:space="preserve"> </w:t>
            </w:r>
            <w:r>
              <w:rPr>
                <w:rFonts w:ascii="Times New Roman" w:hAnsi="Times New Roman" w:cs="Times New Roman"/>
                <w:b/>
                <w:bCs/>
                <w:sz w:val="13"/>
                <w:szCs w:val="13"/>
              </w:rPr>
              <w:t>(IV-4</w:t>
            </w:r>
            <w:r w:rsidRPr="00127A08">
              <w:rPr>
                <w:rFonts w:ascii="Times New Roman" w:hAnsi="Times New Roman" w:cs="Times New Roman"/>
                <w:b/>
                <w:bCs/>
                <w:sz w:val="13"/>
                <w:szCs w:val="13"/>
              </w:rPr>
              <w:t>)</w:t>
            </w:r>
          </w:p>
        </w:tc>
        <w:tc>
          <w:tcPr>
            <w:tcW w:w="1405" w:type="dxa"/>
            <w:shd w:val="clear" w:color="auto" w:fill="F2F2F2" w:themeFill="background1" w:themeFillShade="F2"/>
            <w:vAlign w:val="center"/>
          </w:tcPr>
          <w:p w14:paraId="4E89C392" w14:textId="77777777" w:rsidR="006419BF" w:rsidRPr="00C75904" w:rsidRDefault="006419BF" w:rsidP="008910E5">
            <w:pPr>
              <w:spacing w:line="276" w:lineRule="auto"/>
              <w:jc w:val="center"/>
              <w:rPr>
                <w:rFonts w:ascii="Times New Roman" w:hAnsi="Times New Roman" w:cs="Times New Roman"/>
                <w:b/>
                <w:bCs/>
                <w:sz w:val="13"/>
                <w:szCs w:val="13"/>
              </w:rPr>
            </w:pPr>
            <w:r w:rsidRPr="00127A08">
              <w:rPr>
                <w:rFonts w:ascii="Times New Roman" w:hAnsi="Times New Roman" w:cs="Times New Roman"/>
                <w:b/>
                <w:bCs/>
                <w:sz w:val="13"/>
                <w:szCs w:val="13"/>
              </w:rPr>
              <w:t>AA (V-3)</w:t>
            </w:r>
          </w:p>
        </w:tc>
      </w:tr>
      <w:tr w:rsidR="006419BF" w:rsidRPr="00C75904" w14:paraId="35A8001B" w14:textId="77777777" w:rsidTr="008910E5">
        <w:tc>
          <w:tcPr>
            <w:tcW w:w="1475" w:type="dxa"/>
            <w:shd w:val="clear" w:color="auto" w:fill="F2F2F2" w:themeFill="background1" w:themeFillShade="F2"/>
            <w:vAlign w:val="center"/>
          </w:tcPr>
          <w:p w14:paraId="7DA292B6" w14:textId="77777777" w:rsidR="006419BF" w:rsidRPr="00C75904" w:rsidRDefault="006419BF" w:rsidP="008910E5">
            <w:pPr>
              <w:spacing w:line="276" w:lineRule="auto"/>
              <w:jc w:val="center"/>
              <w:rPr>
                <w:rFonts w:ascii="Times New Roman" w:hAnsi="Times New Roman" w:cs="Times New Roman"/>
                <w:b/>
                <w:bCs/>
                <w:sz w:val="13"/>
                <w:szCs w:val="13"/>
              </w:rPr>
            </w:pPr>
            <w:r w:rsidRPr="00C75904">
              <w:rPr>
                <w:rFonts w:ascii="Times New Roman" w:hAnsi="Times New Roman" w:cs="Times New Roman"/>
                <w:b/>
                <w:bCs/>
                <w:sz w:val="13"/>
                <w:szCs w:val="13"/>
              </w:rPr>
              <w:t>Facial dysmorphism</w:t>
            </w:r>
          </w:p>
        </w:tc>
        <w:tc>
          <w:tcPr>
            <w:tcW w:w="8578" w:type="dxa"/>
            <w:gridSpan w:val="6"/>
            <w:shd w:val="clear" w:color="auto" w:fill="FFFFFF" w:themeFill="background1"/>
          </w:tcPr>
          <w:p w14:paraId="60E35D5B" w14:textId="77777777" w:rsidR="006419BF" w:rsidRPr="00C75904" w:rsidRDefault="006419BF" w:rsidP="008910E5">
            <w:pPr>
              <w:spacing w:line="276" w:lineRule="auto"/>
              <w:jc w:val="center"/>
              <w:rPr>
                <w:rFonts w:ascii="Times New Roman" w:hAnsi="Times New Roman" w:cs="Times New Roman"/>
                <w:sz w:val="13"/>
                <w:szCs w:val="13"/>
                <w:lang w:val="en-US"/>
              </w:rPr>
            </w:pPr>
          </w:p>
          <w:p w14:paraId="0D815509" w14:textId="77777777" w:rsidR="006419BF" w:rsidRPr="00C75904" w:rsidRDefault="006419BF" w:rsidP="008910E5">
            <w:pPr>
              <w:spacing w:line="276" w:lineRule="auto"/>
              <w:jc w:val="center"/>
              <w:rPr>
                <w:rFonts w:ascii="Times New Roman" w:hAnsi="Times New Roman" w:cs="Times New Roman"/>
                <w:sz w:val="13"/>
                <w:szCs w:val="13"/>
                <w:lang w:val="en-US"/>
              </w:rPr>
            </w:pPr>
          </w:p>
        </w:tc>
      </w:tr>
      <w:tr w:rsidR="006419BF" w:rsidRPr="00C75904" w14:paraId="768F5E03" w14:textId="77777777" w:rsidTr="008910E5">
        <w:tc>
          <w:tcPr>
            <w:tcW w:w="1475" w:type="dxa"/>
            <w:vAlign w:val="center"/>
          </w:tcPr>
          <w:p w14:paraId="0918CA61"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Rough brittle hair</w:t>
            </w:r>
          </w:p>
        </w:tc>
        <w:tc>
          <w:tcPr>
            <w:tcW w:w="1361" w:type="dxa"/>
            <w:vAlign w:val="center"/>
          </w:tcPr>
          <w:p w14:paraId="1718920E"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418" w:type="dxa"/>
            <w:vAlign w:val="center"/>
          </w:tcPr>
          <w:p w14:paraId="24A7DA03"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417" w:type="dxa"/>
            <w:vAlign w:val="center"/>
          </w:tcPr>
          <w:p w14:paraId="56635E09"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559" w:type="dxa"/>
          </w:tcPr>
          <w:p w14:paraId="3D1B5AE8" w14:textId="77777777" w:rsidR="006419BF" w:rsidRPr="00C75904" w:rsidRDefault="006419BF" w:rsidP="008910E5">
            <w:pPr>
              <w:jc w:val="center"/>
            </w:pPr>
            <w:r w:rsidRPr="00C75904">
              <w:rPr>
                <w:rFonts w:ascii="Times New Roman" w:hAnsi="Times New Roman" w:cs="Times New Roman"/>
                <w:sz w:val="13"/>
                <w:szCs w:val="13"/>
                <w:lang w:val="en-US"/>
              </w:rPr>
              <w:t>-</w:t>
            </w:r>
          </w:p>
        </w:tc>
        <w:tc>
          <w:tcPr>
            <w:tcW w:w="1418" w:type="dxa"/>
            <w:vAlign w:val="center"/>
          </w:tcPr>
          <w:p w14:paraId="5D7B55BD" w14:textId="77777777" w:rsidR="006419BF" w:rsidRPr="00C75904" w:rsidRDefault="006419BF" w:rsidP="008910E5">
            <w:pPr>
              <w:spacing w:line="276" w:lineRule="auto"/>
              <w:jc w:val="center"/>
              <w:rPr>
                <w:rFonts w:ascii="Times New Roman" w:hAnsi="Times New Roman" w:cs="Times New Roman"/>
                <w:sz w:val="13"/>
                <w:szCs w:val="13"/>
                <w:lang w:val="en-US"/>
              </w:rPr>
            </w:pPr>
            <w:r w:rsidRPr="00C75904">
              <w:rPr>
                <w:rFonts w:ascii="Times New Roman" w:hAnsi="Times New Roman" w:cs="Times New Roman"/>
                <w:sz w:val="13"/>
                <w:szCs w:val="13"/>
                <w:lang w:val="en-US"/>
              </w:rPr>
              <w:t>+</w:t>
            </w:r>
          </w:p>
        </w:tc>
        <w:tc>
          <w:tcPr>
            <w:tcW w:w="1405" w:type="dxa"/>
            <w:vAlign w:val="center"/>
          </w:tcPr>
          <w:p w14:paraId="5F951D3C" w14:textId="77777777" w:rsidR="006419BF" w:rsidRPr="00C75904" w:rsidRDefault="006419BF" w:rsidP="008910E5">
            <w:pPr>
              <w:spacing w:line="276" w:lineRule="auto"/>
              <w:jc w:val="center"/>
              <w:rPr>
                <w:rFonts w:ascii="Times New Roman" w:hAnsi="Times New Roman" w:cs="Times New Roman"/>
                <w:sz w:val="13"/>
                <w:szCs w:val="13"/>
                <w:lang w:val="en-US"/>
              </w:rPr>
            </w:pPr>
            <w:r w:rsidRPr="00C75904">
              <w:rPr>
                <w:rFonts w:ascii="Times New Roman" w:hAnsi="Times New Roman" w:cs="Times New Roman"/>
                <w:sz w:val="13"/>
                <w:szCs w:val="13"/>
                <w:lang w:val="en-US"/>
              </w:rPr>
              <w:t>N/A</w:t>
            </w:r>
          </w:p>
        </w:tc>
      </w:tr>
      <w:tr w:rsidR="006419BF" w:rsidRPr="00C75904" w14:paraId="2AE8CBCA" w14:textId="77777777" w:rsidTr="008910E5">
        <w:tc>
          <w:tcPr>
            <w:tcW w:w="1475" w:type="dxa"/>
            <w:vAlign w:val="center"/>
          </w:tcPr>
          <w:p w14:paraId="75168369"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Long face</w:t>
            </w:r>
          </w:p>
        </w:tc>
        <w:tc>
          <w:tcPr>
            <w:tcW w:w="1361" w:type="dxa"/>
            <w:vAlign w:val="center"/>
          </w:tcPr>
          <w:p w14:paraId="7BBC49C1"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418" w:type="dxa"/>
            <w:vAlign w:val="center"/>
          </w:tcPr>
          <w:p w14:paraId="01665FA3"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417" w:type="dxa"/>
            <w:vAlign w:val="center"/>
          </w:tcPr>
          <w:p w14:paraId="4F6FA0B1"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559" w:type="dxa"/>
          </w:tcPr>
          <w:p w14:paraId="08749427" w14:textId="77777777" w:rsidR="006419BF" w:rsidRPr="00C75904" w:rsidRDefault="006419BF" w:rsidP="008910E5">
            <w:pPr>
              <w:jc w:val="center"/>
            </w:pPr>
            <w:r w:rsidRPr="00C75904">
              <w:rPr>
                <w:rFonts w:ascii="Times New Roman" w:hAnsi="Times New Roman" w:cs="Times New Roman"/>
                <w:sz w:val="13"/>
                <w:szCs w:val="13"/>
                <w:lang w:val="en-US"/>
              </w:rPr>
              <w:t>-</w:t>
            </w:r>
          </w:p>
        </w:tc>
        <w:tc>
          <w:tcPr>
            <w:tcW w:w="1418" w:type="dxa"/>
            <w:vAlign w:val="center"/>
          </w:tcPr>
          <w:p w14:paraId="7B643FAE" w14:textId="77777777" w:rsidR="006419BF" w:rsidRPr="00C75904" w:rsidRDefault="006419BF" w:rsidP="008910E5">
            <w:pPr>
              <w:spacing w:line="276" w:lineRule="auto"/>
              <w:jc w:val="center"/>
              <w:rPr>
                <w:rFonts w:ascii="Times New Roman" w:hAnsi="Times New Roman" w:cs="Times New Roman"/>
                <w:sz w:val="13"/>
                <w:szCs w:val="13"/>
                <w:lang w:val="en-US"/>
              </w:rPr>
            </w:pPr>
            <w:r w:rsidRPr="00C75904">
              <w:rPr>
                <w:rFonts w:ascii="Times New Roman" w:hAnsi="Times New Roman" w:cs="Times New Roman"/>
                <w:sz w:val="13"/>
                <w:szCs w:val="13"/>
                <w:lang w:val="en-US"/>
              </w:rPr>
              <w:t>-</w:t>
            </w:r>
          </w:p>
        </w:tc>
        <w:tc>
          <w:tcPr>
            <w:tcW w:w="1405" w:type="dxa"/>
            <w:vAlign w:val="center"/>
          </w:tcPr>
          <w:p w14:paraId="4FEBFA29" w14:textId="77777777" w:rsidR="006419BF" w:rsidRPr="00C75904" w:rsidRDefault="006419BF" w:rsidP="008910E5">
            <w:pPr>
              <w:spacing w:line="276" w:lineRule="auto"/>
              <w:jc w:val="center"/>
              <w:rPr>
                <w:rFonts w:ascii="Times New Roman" w:hAnsi="Times New Roman" w:cs="Times New Roman"/>
                <w:sz w:val="13"/>
                <w:szCs w:val="13"/>
                <w:lang w:val="en-US"/>
              </w:rPr>
            </w:pPr>
            <w:r w:rsidRPr="00C75904">
              <w:rPr>
                <w:rFonts w:ascii="Times New Roman" w:hAnsi="Times New Roman" w:cs="Times New Roman"/>
                <w:sz w:val="13"/>
                <w:szCs w:val="13"/>
                <w:lang w:val="en-US"/>
              </w:rPr>
              <w:t>-</w:t>
            </w:r>
          </w:p>
        </w:tc>
      </w:tr>
      <w:tr w:rsidR="006419BF" w:rsidRPr="00C75904" w14:paraId="67FD7780" w14:textId="77777777" w:rsidTr="008910E5">
        <w:tc>
          <w:tcPr>
            <w:tcW w:w="1475" w:type="dxa"/>
            <w:vAlign w:val="center"/>
          </w:tcPr>
          <w:p w14:paraId="3FDED681"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Thick eyebrows</w:t>
            </w:r>
          </w:p>
        </w:tc>
        <w:tc>
          <w:tcPr>
            <w:tcW w:w="1361" w:type="dxa"/>
            <w:vAlign w:val="center"/>
          </w:tcPr>
          <w:p w14:paraId="62D7EFB3"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418" w:type="dxa"/>
            <w:vAlign w:val="center"/>
          </w:tcPr>
          <w:p w14:paraId="111381E5"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417" w:type="dxa"/>
            <w:vAlign w:val="center"/>
          </w:tcPr>
          <w:p w14:paraId="346AD5D4"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559" w:type="dxa"/>
          </w:tcPr>
          <w:p w14:paraId="019A033B" w14:textId="77777777" w:rsidR="006419BF" w:rsidRPr="00C75904" w:rsidRDefault="006419BF" w:rsidP="008910E5">
            <w:pPr>
              <w:jc w:val="center"/>
            </w:pPr>
            <w:r w:rsidRPr="00C75904">
              <w:rPr>
                <w:rFonts w:ascii="Times New Roman" w:hAnsi="Times New Roman" w:cs="Times New Roman"/>
                <w:sz w:val="13"/>
                <w:szCs w:val="13"/>
                <w:lang w:val="en-US"/>
              </w:rPr>
              <w:t>-</w:t>
            </w:r>
          </w:p>
        </w:tc>
        <w:tc>
          <w:tcPr>
            <w:tcW w:w="1418" w:type="dxa"/>
            <w:vAlign w:val="center"/>
          </w:tcPr>
          <w:p w14:paraId="0C7AA06A" w14:textId="77777777" w:rsidR="006419BF" w:rsidRPr="00C75904" w:rsidRDefault="006419BF" w:rsidP="008910E5">
            <w:pPr>
              <w:spacing w:line="276" w:lineRule="auto"/>
              <w:jc w:val="center"/>
              <w:rPr>
                <w:rFonts w:ascii="Times New Roman" w:hAnsi="Times New Roman" w:cs="Times New Roman"/>
                <w:sz w:val="13"/>
                <w:szCs w:val="13"/>
                <w:lang w:val="en-US"/>
              </w:rPr>
            </w:pPr>
            <w:r w:rsidRPr="00C75904">
              <w:rPr>
                <w:rFonts w:ascii="Times New Roman" w:hAnsi="Times New Roman" w:cs="Times New Roman"/>
                <w:sz w:val="13"/>
                <w:szCs w:val="13"/>
                <w:lang w:val="en-US"/>
              </w:rPr>
              <w:t>+</w:t>
            </w:r>
          </w:p>
        </w:tc>
        <w:tc>
          <w:tcPr>
            <w:tcW w:w="1405" w:type="dxa"/>
            <w:vAlign w:val="center"/>
          </w:tcPr>
          <w:p w14:paraId="5768BBE7" w14:textId="77777777" w:rsidR="006419BF" w:rsidRPr="00C75904" w:rsidRDefault="006419BF" w:rsidP="008910E5">
            <w:pPr>
              <w:spacing w:line="276" w:lineRule="auto"/>
              <w:jc w:val="center"/>
              <w:rPr>
                <w:rFonts w:ascii="Times New Roman" w:hAnsi="Times New Roman" w:cs="Times New Roman"/>
                <w:sz w:val="13"/>
                <w:szCs w:val="13"/>
                <w:lang w:val="en-US"/>
              </w:rPr>
            </w:pPr>
            <w:r w:rsidRPr="00C75904">
              <w:rPr>
                <w:rFonts w:ascii="Times New Roman" w:hAnsi="Times New Roman" w:cs="Times New Roman"/>
                <w:sz w:val="13"/>
                <w:szCs w:val="13"/>
                <w:lang w:val="en-US"/>
              </w:rPr>
              <w:t>+</w:t>
            </w:r>
          </w:p>
        </w:tc>
      </w:tr>
      <w:tr w:rsidR="006419BF" w:rsidRPr="00C75904" w14:paraId="66593AE1" w14:textId="77777777" w:rsidTr="008910E5">
        <w:tc>
          <w:tcPr>
            <w:tcW w:w="1475" w:type="dxa"/>
            <w:vAlign w:val="center"/>
          </w:tcPr>
          <w:p w14:paraId="01DE6549"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Large ears</w:t>
            </w:r>
          </w:p>
        </w:tc>
        <w:tc>
          <w:tcPr>
            <w:tcW w:w="1361" w:type="dxa"/>
            <w:vAlign w:val="center"/>
          </w:tcPr>
          <w:p w14:paraId="4BE057B1"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418" w:type="dxa"/>
            <w:vAlign w:val="center"/>
          </w:tcPr>
          <w:p w14:paraId="789107A7"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417" w:type="dxa"/>
            <w:vAlign w:val="center"/>
          </w:tcPr>
          <w:p w14:paraId="6EDF8727"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559" w:type="dxa"/>
          </w:tcPr>
          <w:p w14:paraId="1050DC2E" w14:textId="77777777" w:rsidR="006419BF" w:rsidRPr="00C75904" w:rsidRDefault="006419BF" w:rsidP="008910E5">
            <w:pPr>
              <w:jc w:val="center"/>
            </w:pPr>
            <w:r w:rsidRPr="00C75904">
              <w:rPr>
                <w:rFonts w:ascii="Times New Roman" w:hAnsi="Times New Roman" w:cs="Times New Roman"/>
                <w:sz w:val="13"/>
                <w:szCs w:val="13"/>
                <w:lang w:val="en-US"/>
              </w:rPr>
              <w:t>-</w:t>
            </w:r>
          </w:p>
        </w:tc>
        <w:tc>
          <w:tcPr>
            <w:tcW w:w="1418" w:type="dxa"/>
            <w:vAlign w:val="center"/>
          </w:tcPr>
          <w:p w14:paraId="091B91AD" w14:textId="77777777" w:rsidR="006419BF" w:rsidRPr="00C75904" w:rsidRDefault="006419BF" w:rsidP="008910E5">
            <w:pPr>
              <w:spacing w:line="276" w:lineRule="auto"/>
              <w:jc w:val="center"/>
              <w:rPr>
                <w:rFonts w:ascii="Times New Roman" w:hAnsi="Times New Roman" w:cs="Times New Roman"/>
                <w:sz w:val="13"/>
                <w:szCs w:val="13"/>
                <w:lang w:val="en-US"/>
              </w:rPr>
            </w:pPr>
            <w:r w:rsidRPr="00C75904">
              <w:rPr>
                <w:rFonts w:ascii="Times New Roman" w:hAnsi="Times New Roman" w:cs="Times New Roman"/>
                <w:sz w:val="13"/>
                <w:szCs w:val="13"/>
                <w:lang w:val="en-US"/>
              </w:rPr>
              <w:t>N/A</w:t>
            </w:r>
          </w:p>
        </w:tc>
        <w:tc>
          <w:tcPr>
            <w:tcW w:w="1405" w:type="dxa"/>
            <w:vAlign w:val="center"/>
          </w:tcPr>
          <w:p w14:paraId="01B05FD6" w14:textId="77777777" w:rsidR="006419BF" w:rsidRPr="00C75904" w:rsidRDefault="006419BF" w:rsidP="008910E5">
            <w:pPr>
              <w:spacing w:line="276" w:lineRule="auto"/>
              <w:jc w:val="center"/>
              <w:rPr>
                <w:rFonts w:ascii="Times New Roman" w:hAnsi="Times New Roman" w:cs="Times New Roman"/>
                <w:sz w:val="13"/>
                <w:szCs w:val="13"/>
                <w:lang w:val="en-US"/>
              </w:rPr>
            </w:pPr>
            <w:r w:rsidRPr="00C75904">
              <w:rPr>
                <w:rFonts w:ascii="Times New Roman" w:hAnsi="Times New Roman" w:cs="Times New Roman"/>
                <w:sz w:val="13"/>
                <w:szCs w:val="13"/>
                <w:lang w:val="en-US"/>
              </w:rPr>
              <w:t>N/A</w:t>
            </w:r>
          </w:p>
        </w:tc>
      </w:tr>
      <w:tr w:rsidR="006419BF" w:rsidRPr="00C75904" w14:paraId="2DE3170D" w14:textId="77777777" w:rsidTr="008910E5">
        <w:tc>
          <w:tcPr>
            <w:tcW w:w="1475" w:type="dxa"/>
            <w:vAlign w:val="center"/>
          </w:tcPr>
          <w:p w14:paraId="0834B50B"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Low-set ears</w:t>
            </w:r>
          </w:p>
        </w:tc>
        <w:tc>
          <w:tcPr>
            <w:tcW w:w="1361" w:type="dxa"/>
            <w:vAlign w:val="center"/>
          </w:tcPr>
          <w:p w14:paraId="69120F4E"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418" w:type="dxa"/>
            <w:vAlign w:val="center"/>
          </w:tcPr>
          <w:p w14:paraId="74E218E5"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417" w:type="dxa"/>
            <w:vAlign w:val="center"/>
          </w:tcPr>
          <w:p w14:paraId="20E2092C"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559" w:type="dxa"/>
          </w:tcPr>
          <w:p w14:paraId="1A8699C1" w14:textId="77777777" w:rsidR="006419BF" w:rsidRPr="00C75904" w:rsidRDefault="006419BF" w:rsidP="008910E5">
            <w:pPr>
              <w:jc w:val="center"/>
            </w:pPr>
            <w:r w:rsidRPr="00C75904">
              <w:rPr>
                <w:rFonts w:ascii="Times New Roman" w:hAnsi="Times New Roman" w:cs="Times New Roman"/>
                <w:sz w:val="13"/>
                <w:szCs w:val="13"/>
                <w:lang w:val="en-US"/>
              </w:rPr>
              <w:t>-</w:t>
            </w:r>
          </w:p>
        </w:tc>
        <w:tc>
          <w:tcPr>
            <w:tcW w:w="1418" w:type="dxa"/>
            <w:vAlign w:val="center"/>
          </w:tcPr>
          <w:p w14:paraId="38C54081" w14:textId="77777777" w:rsidR="006419BF" w:rsidRPr="00C75904" w:rsidRDefault="006419BF" w:rsidP="008910E5">
            <w:pPr>
              <w:spacing w:line="276" w:lineRule="auto"/>
              <w:jc w:val="center"/>
              <w:rPr>
                <w:rFonts w:ascii="Times New Roman" w:hAnsi="Times New Roman" w:cs="Times New Roman"/>
                <w:sz w:val="13"/>
                <w:szCs w:val="13"/>
                <w:lang w:val="en-US"/>
              </w:rPr>
            </w:pPr>
            <w:r w:rsidRPr="00C75904">
              <w:rPr>
                <w:rFonts w:ascii="Times New Roman" w:hAnsi="Times New Roman" w:cs="Times New Roman"/>
                <w:sz w:val="13"/>
                <w:szCs w:val="13"/>
                <w:lang w:val="en-US"/>
              </w:rPr>
              <w:t>N/A</w:t>
            </w:r>
          </w:p>
        </w:tc>
        <w:tc>
          <w:tcPr>
            <w:tcW w:w="1405" w:type="dxa"/>
            <w:vAlign w:val="center"/>
          </w:tcPr>
          <w:p w14:paraId="024861F8" w14:textId="77777777" w:rsidR="006419BF" w:rsidRPr="00C75904" w:rsidRDefault="006419BF" w:rsidP="008910E5">
            <w:pPr>
              <w:spacing w:line="276" w:lineRule="auto"/>
              <w:jc w:val="center"/>
              <w:rPr>
                <w:rFonts w:ascii="Times New Roman" w:hAnsi="Times New Roman" w:cs="Times New Roman"/>
                <w:sz w:val="13"/>
                <w:szCs w:val="13"/>
                <w:lang w:val="en-US"/>
              </w:rPr>
            </w:pPr>
            <w:r w:rsidRPr="00C75904">
              <w:rPr>
                <w:rFonts w:ascii="Times New Roman" w:hAnsi="Times New Roman" w:cs="Times New Roman"/>
                <w:sz w:val="13"/>
                <w:szCs w:val="13"/>
                <w:lang w:val="en-US"/>
              </w:rPr>
              <w:t>N/A</w:t>
            </w:r>
          </w:p>
        </w:tc>
      </w:tr>
      <w:tr w:rsidR="006419BF" w:rsidRPr="00C75904" w14:paraId="42E70371" w14:textId="77777777" w:rsidTr="008910E5">
        <w:tc>
          <w:tcPr>
            <w:tcW w:w="1475" w:type="dxa"/>
            <w:vAlign w:val="center"/>
          </w:tcPr>
          <w:p w14:paraId="7BF80ACA"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Prominent nose</w:t>
            </w:r>
          </w:p>
        </w:tc>
        <w:tc>
          <w:tcPr>
            <w:tcW w:w="1361" w:type="dxa"/>
            <w:vAlign w:val="center"/>
          </w:tcPr>
          <w:p w14:paraId="75C2D9A5"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418" w:type="dxa"/>
            <w:vAlign w:val="center"/>
          </w:tcPr>
          <w:p w14:paraId="4F248F4B"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417" w:type="dxa"/>
            <w:vAlign w:val="center"/>
          </w:tcPr>
          <w:p w14:paraId="489A0FEE"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559" w:type="dxa"/>
          </w:tcPr>
          <w:p w14:paraId="5961F593" w14:textId="77777777" w:rsidR="006419BF" w:rsidRPr="00C75904" w:rsidRDefault="006419BF" w:rsidP="008910E5">
            <w:pPr>
              <w:jc w:val="center"/>
            </w:pPr>
            <w:r w:rsidRPr="00C75904">
              <w:rPr>
                <w:rFonts w:ascii="Times New Roman" w:hAnsi="Times New Roman" w:cs="Times New Roman"/>
                <w:sz w:val="13"/>
                <w:szCs w:val="13"/>
                <w:lang w:val="en-US"/>
              </w:rPr>
              <w:t>-</w:t>
            </w:r>
          </w:p>
        </w:tc>
        <w:tc>
          <w:tcPr>
            <w:tcW w:w="1418" w:type="dxa"/>
            <w:vAlign w:val="center"/>
          </w:tcPr>
          <w:p w14:paraId="1E16F99F" w14:textId="77777777" w:rsidR="006419BF" w:rsidRPr="00C75904" w:rsidRDefault="006419BF" w:rsidP="008910E5">
            <w:pPr>
              <w:spacing w:line="276" w:lineRule="auto"/>
              <w:jc w:val="center"/>
              <w:rPr>
                <w:rFonts w:ascii="Times New Roman" w:hAnsi="Times New Roman" w:cs="Times New Roman"/>
                <w:sz w:val="13"/>
                <w:szCs w:val="13"/>
                <w:lang w:val="en-US"/>
              </w:rPr>
            </w:pPr>
            <w:r w:rsidRPr="00C75904">
              <w:rPr>
                <w:rFonts w:ascii="Times New Roman" w:hAnsi="Times New Roman" w:cs="Times New Roman"/>
                <w:sz w:val="13"/>
                <w:szCs w:val="13"/>
                <w:lang w:val="en-US"/>
              </w:rPr>
              <w:t>+</w:t>
            </w:r>
          </w:p>
        </w:tc>
        <w:tc>
          <w:tcPr>
            <w:tcW w:w="1405" w:type="dxa"/>
            <w:vAlign w:val="center"/>
          </w:tcPr>
          <w:p w14:paraId="72730DD8" w14:textId="77777777" w:rsidR="006419BF" w:rsidRPr="00C75904" w:rsidRDefault="006419BF" w:rsidP="008910E5">
            <w:pPr>
              <w:spacing w:line="276" w:lineRule="auto"/>
              <w:jc w:val="center"/>
              <w:rPr>
                <w:rFonts w:ascii="Times New Roman" w:hAnsi="Times New Roman" w:cs="Times New Roman"/>
                <w:sz w:val="13"/>
                <w:szCs w:val="13"/>
                <w:lang w:val="en-US"/>
              </w:rPr>
            </w:pPr>
            <w:r w:rsidRPr="00C75904">
              <w:rPr>
                <w:rFonts w:ascii="Times New Roman" w:hAnsi="Times New Roman" w:cs="Times New Roman"/>
                <w:sz w:val="13"/>
                <w:szCs w:val="13"/>
                <w:lang w:val="en-US"/>
              </w:rPr>
              <w:t>+</w:t>
            </w:r>
          </w:p>
        </w:tc>
      </w:tr>
      <w:tr w:rsidR="006419BF" w:rsidRPr="00C75904" w14:paraId="253B171C" w14:textId="77777777" w:rsidTr="008910E5">
        <w:tc>
          <w:tcPr>
            <w:tcW w:w="1475" w:type="dxa"/>
            <w:vAlign w:val="center"/>
          </w:tcPr>
          <w:p w14:paraId="337BD626"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Palate deformity</w:t>
            </w:r>
          </w:p>
        </w:tc>
        <w:tc>
          <w:tcPr>
            <w:tcW w:w="1361" w:type="dxa"/>
            <w:vAlign w:val="center"/>
          </w:tcPr>
          <w:p w14:paraId="30D35050"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lang w:val="en-US"/>
              </w:rPr>
              <w:t>Thick alveolar ridge</w:t>
            </w:r>
          </w:p>
        </w:tc>
        <w:tc>
          <w:tcPr>
            <w:tcW w:w="1418" w:type="dxa"/>
            <w:vAlign w:val="center"/>
          </w:tcPr>
          <w:p w14:paraId="35BCE51B"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lang w:val="en-US"/>
              </w:rPr>
              <w:t>Thick alveolar ridge</w:t>
            </w:r>
          </w:p>
        </w:tc>
        <w:tc>
          <w:tcPr>
            <w:tcW w:w="1417" w:type="dxa"/>
            <w:vAlign w:val="center"/>
          </w:tcPr>
          <w:p w14:paraId="2AAE00B2"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lang w:val="en-US"/>
              </w:rPr>
              <w:t>Thick alveolar ridge</w:t>
            </w:r>
          </w:p>
        </w:tc>
        <w:tc>
          <w:tcPr>
            <w:tcW w:w="1559" w:type="dxa"/>
          </w:tcPr>
          <w:p w14:paraId="705D75DE" w14:textId="77777777" w:rsidR="006419BF" w:rsidRPr="00C75904" w:rsidRDefault="006419BF" w:rsidP="008910E5">
            <w:pPr>
              <w:jc w:val="center"/>
            </w:pPr>
            <w:r w:rsidRPr="00C75904">
              <w:rPr>
                <w:rFonts w:ascii="Times New Roman" w:hAnsi="Times New Roman" w:cs="Times New Roman"/>
                <w:sz w:val="13"/>
                <w:szCs w:val="13"/>
                <w:lang w:val="en-US"/>
              </w:rPr>
              <w:t>-</w:t>
            </w:r>
          </w:p>
        </w:tc>
        <w:tc>
          <w:tcPr>
            <w:tcW w:w="1418" w:type="dxa"/>
            <w:vAlign w:val="center"/>
          </w:tcPr>
          <w:p w14:paraId="4C7FB13F" w14:textId="77777777" w:rsidR="006419BF" w:rsidRPr="00C75904" w:rsidRDefault="006419BF" w:rsidP="008910E5">
            <w:pPr>
              <w:spacing w:line="276" w:lineRule="auto"/>
              <w:jc w:val="center"/>
              <w:rPr>
                <w:rFonts w:ascii="Times New Roman" w:hAnsi="Times New Roman" w:cs="Times New Roman"/>
                <w:sz w:val="13"/>
                <w:szCs w:val="13"/>
                <w:lang w:val="en-US"/>
              </w:rPr>
            </w:pPr>
            <w:r w:rsidRPr="00C75904">
              <w:rPr>
                <w:rFonts w:ascii="Times New Roman" w:hAnsi="Times New Roman" w:cs="Times New Roman"/>
                <w:sz w:val="13"/>
                <w:szCs w:val="13"/>
                <w:lang w:val="en-US"/>
              </w:rPr>
              <w:t>-</w:t>
            </w:r>
          </w:p>
        </w:tc>
        <w:tc>
          <w:tcPr>
            <w:tcW w:w="1405" w:type="dxa"/>
            <w:vAlign w:val="center"/>
          </w:tcPr>
          <w:p w14:paraId="59BF916E" w14:textId="77777777" w:rsidR="006419BF" w:rsidRPr="00C75904" w:rsidRDefault="006419BF" w:rsidP="008910E5">
            <w:pPr>
              <w:spacing w:line="276" w:lineRule="auto"/>
              <w:jc w:val="center"/>
              <w:rPr>
                <w:rFonts w:ascii="Times New Roman" w:hAnsi="Times New Roman" w:cs="Times New Roman"/>
                <w:sz w:val="13"/>
                <w:szCs w:val="13"/>
                <w:lang w:val="en-US"/>
              </w:rPr>
            </w:pPr>
            <w:r w:rsidRPr="00C75904">
              <w:rPr>
                <w:rFonts w:ascii="Times New Roman" w:hAnsi="Times New Roman" w:cs="Times New Roman"/>
                <w:sz w:val="13"/>
                <w:szCs w:val="13"/>
                <w:lang w:val="en-US"/>
              </w:rPr>
              <w:t>-</w:t>
            </w:r>
          </w:p>
        </w:tc>
      </w:tr>
      <w:tr w:rsidR="006419BF" w:rsidRPr="00C75904" w14:paraId="3FC199EE" w14:textId="77777777" w:rsidTr="008910E5">
        <w:tc>
          <w:tcPr>
            <w:tcW w:w="1475" w:type="dxa"/>
            <w:vAlign w:val="center"/>
          </w:tcPr>
          <w:p w14:paraId="66F24118"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Gingival hypertrophy</w:t>
            </w:r>
          </w:p>
        </w:tc>
        <w:tc>
          <w:tcPr>
            <w:tcW w:w="1361" w:type="dxa"/>
            <w:vAlign w:val="center"/>
          </w:tcPr>
          <w:p w14:paraId="76B83133"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418" w:type="dxa"/>
            <w:vAlign w:val="center"/>
          </w:tcPr>
          <w:p w14:paraId="1344588F"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417" w:type="dxa"/>
            <w:vAlign w:val="center"/>
          </w:tcPr>
          <w:p w14:paraId="40061022"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559" w:type="dxa"/>
          </w:tcPr>
          <w:p w14:paraId="43A5CC4E" w14:textId="77777777" w:rsidR="006419BF" w:rsidRPr="00C75904" w:rsidRDefault="006419BF" w:rsidP="008910E5">
            <w:pPr>
              <w:jc w:val="center"/>
            </w:pPr>
            <w:r w:rsidRPr="00C75904">
              <w:rPr>
                <w:rFonts w:ascii="Times New Roman" w:hAnsi="Times New Roman" w:cs="Times New Roman"/>
                <w:sz w:val="13"/>
                <w:szCs w:val="13"/>
                <w:lang w:val="en-US"/>
              </w:rPr>
              <w:t>-</w:t>
            </w:r>
          </w:p>
        </w:tc>
        <w:tc>
          <w:tcPr>
            <w:tcW w:w="1418" w:type="dxa"/>
            <w:vAlign w:val="center"/>
          </w:tcPr>
          <w:p w14:paraId="4A9BB203" w14:textId="77777777" w:rsidR="006419BF" w:rsidRPr="00C75904" w:rsidRDefault="006419BF" w:rsidP="008910E5">
            <w:pPr>
              <w:spacing w:line="276" w:lineRule="auto"/>
              <w:jc w:val="center"/>
              <w:rPr>
                <w:rFonts w:ascii="Times New Roman" w:hAnsi="Times New Roman" w:cs="Times New Roman"/>
                <w:sz w:val="13"/>
                <w:szCs w:val="13"/>
                <w:lang w:val="en-US"/>
              </w:rPr>
            </w:pPr>
            <w:r w:rsidRPr="00C75904">
              <w:rPr>
                <w:rFonts w:ascii="Times New Roman" w:hAnsi="Times New Roman" w:cs="Times New Roman"/>
                <w:sz w:val="13"/>
                <w:szCs w:val="13"/>
                <w:lang w:val="en-US"/>
              </w:rPr>
              <w:t>-</w:t>
            </w:r>
          </w:p>
        </w:tc>
        <w:tc>
          <w:tcPr>
            <w:tcW w:w="1405" w:type="dxa"/>
            <w:vAlign w:val="center"/>
          </w:tcPr>
          <w:p w14:paraId="52090996" w14:textId="77777777" w:rsidR="006419BF" w:rsidRPr="00C75904" w:rsidRDefault="006419BF" w:rsidP="008910E5">
            <w:pPr>
              <w:spacing w:line="276" w:lineRule="auto"/>
              <w:jc w:val="center"/>
              <w:rPr>
                <w:rFonts w:ascii="Times New Roman" w:hAnsi="Times New Roman" w:cs="Times New Roman"/>
                <w:sz w:val="13"/>
                <w:szCs w:val="13"/>
                <w:lang w:val="en-US"/>
              </w:rPr>
            </w:pPr>
            <w:r w:rsidRPr="00C75904">
              <w:rPr>
                <w:rFonts w:ascii="Times New Roman" w:hAnsi="Times New Roman" w:cs="Times New Roman"/>
                <w:sz w:val="13"/>
                <w:szCs w:val="13"/>
                <w:lang w:val="en-US"/>
              </w:rPr>
              <w:t>+</w:t>
            </w:r>
          </w:p>
        </w:tc>
      </w:tr>
      <w:tr w:rsidR="006419BF" w:rsidRPr="00C75904" w14:paraId="32C0D0B9" w14:textId="77777777" w:rsidTr="008910E5">
        <w:tc>
          <w:tcPr>
            <w:tcW w:w="1475" w:type="dxa"/>
            <w:vAlign w:val="center"/>
          </w:tcPr>
          <w:p w14:paraId="013B2285"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Teeth deformities</w:t>
            </w:r>
          </w:p>
        </w:tc>
        <w:tc>
          <w:tcPr>
            <w:tcW w:w="1361" w:type="dxa"/>
            <w:vAlign w:val="center"/>
          </w:tcPr>
          <w:p w14:paraId="54A800BD"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418" w:type="dxa"/>
            <w:vAlign w:val="center"/>
          </w:tcPr>
          <w:p w14:paraId="4C3123E2"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 (double row of teeth)</w:t>
            </w:r>
          </w:p>
        </w:tc>
        <w:tc>
          <w:tcPr>
            <w:tcW w:w="1417" w:type="dxa"/>
            <w:vAlign w:val="center"/>
          </w:tcPr>
          <w:p w14:paraId="143A7683"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559" w:type="dxa"/>
          </w:tcPr>
          <w:p w14:paraId="21E1382A" w14:textId="77777777" w:rsidR="006419BF" w:rsidRPr="00C75904" w:rsidRDefault="006419BF" w:rsidP="008910E5">
            <w:pPr>
              <w:jc w:val="center"/>
            </w:pPr>
            <w:r w:rsidRPr="00C75904">
              <w:rPr>
                <w:rFonts w:ascii="Times New Roman" w:hAnsi="Times New Roman" w:cs="Times New Roman"/>
                <w:sz w:val="13"/>
                <w:szCs w:val="13"/>
                <w:lang w:val="en-US"/>
              </w:rPr>
              <w:t>-</w:t>
            </w:r>
          </w:p>
        </w:tc>
        <w:tc>
          <w:tcPr>
            <w:tcW w:w="1418" w:type="dxa"/>
            <w:vAlign w:val="center"/>
          </w:tcPr>
          <w:p w14:paraId="58345C0D" w14:textId="77777777" w:rsidR="006419BF" w:rsidRPr="00C75904" w:rsidRDefault="006419BF" w:rsidP="008910E5">
            <w:pPr>
              <w:spacing w:line="276" w:lineRule="auto"/>
              <w:jc w:val="center"/>
              <w:rPr>
                <w:rFonts w:ascii="Times New Roman" w:hAnsi="Times New Roman" w:cs="Times New Roman"/>
                <w:sz w:val="13"/>
                <w:szCs w:val="13"/>
                <w:lang w:val="en-US"/>
              </w:rPr>
            </w:pPr>
            <w:r w:rsidRPr="00C75904">
              <w:rPr>
                <w:rFonts w:ascii="Times New Roman" w:hAnsi="Times New Roman" w:cs="Times New Roman"/>
                <w:sz w:val="13"/>
                <w:szCs w:val="13"/>
                <w:lang w:val="en-US"/>
              </w:rPr>
              <w:t>+</w:t>
            </w:r>
          </w:p>
        </w:tc>
        <w:tc>
          <w:tcPr>
            <w:tcW w:w="1405" w:type="dxa"/>
            <w:vAlign w:val="center"/>
          </w:tcPr>
          <w:p w14:paraId="6BBC52C9" w14:textId="77777777" w:rsidR="006419BF" w:rsidRPr="00C75904" w:rsidRDefault="006419BF" w:rsidP="008910E5">
            <w:pPr>
              <w:spacing w:line="276" w:lineRule="auto"/>
              <w:jc w:val="center"/>
              <w:rPr>
                <w:rFonts w:ascii="Times New Roman" w:hAnsi="Times New Roman" w:cs="Times New Roman"/>
                <w:sz w:val="13"/>
                <w:szCs w:val="13"/>
                <w:lang w:val="en-US"/>
              </w:rPr>
            </w:pPr>
            <w:r w:rsidRPr="00C75904">
              <w:rPr>
                <w:rFonts w:ascii="Times New Roman" w:hAnsi="Times New Roman" w:cs="Times New Roman"/>
                <w:sz w:val="13"/>
                <w:szCs w:val="13"/>
                <w:lang w:val="en-US"/>
              </w:rPr>
              <w:t>+</w:t>
            </w:r>
          </w:p>
        </w:tc>
      </w:tr>
      <w:tr w:rsidR="006419BF" w:rsidRPr="00C75904" w14:paraId="7B4D0161" w14:textId="77777777" w:rsidTr="008910E5">
        <w:tc>
          <w:tcPr>
            <w:tcW w:w="1475" w:type="dxa"/>
            <w:vAlign w:val="center"/>
          </w:tcPr>
          <w:p w14:paraId="2A140BAC"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Enamel defect</w:t>
            </w:r>
          </w:p>
        </w:tc>
        <w:tc>
          <w:tcPr>
            <w:tcW w:w="1361" w:type="dxa"/>
            <w:vAlign w:val="center"/>
          </w:tcPr>
          <w:p w14:paraId="5E107D61"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418" w:type="dxa"/>
            <w:vAlign w:val="center"/>
          </w:tcPr>
          <w:p w14:paraId="39A6DF69"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417" w:type="dxa"/>
            <w:vAlign w:val="center"/>
          </w:tcPr>
          <w:p w14:paraId="51D58B92"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559" w:type="dxa"/>
          </w:tcPr>
          <w:p w14:paraId="0858445F" w14:textId="77777777" w:rsidR="006419BF" w:rsidRPr="00C75904" w:rsidRDefault="006419BF" w:rsidP="008910E5">
            <w:pPr>
              <w:jc w:val="center"/>
            </w:pPr>
            <w:r w:rsidRPr="00C75904">
              <w:rPr>
                <w:rFonts w:ascii="Times New Roman" w:hAnsi="Times New Roman" w:cs="Times New Roman"/>
                <w:sz w:val="13"/>
                <w:szCs w:val="13"/>
                <w:lang w:val="en-US"/>
              </w:rPr>
              <w:t>-</w:t>
            </w:r>
          </w:p>
        </w:tc>
        <w:tc>
          <w:tcPr>
            <w:tcW w:w="1418" w:type="dxa"/>
            <w:vAlign w:val="center"/>
          </w:tcPr>
          <w:p w14:paraId="3D43AC4E" w14:textId="77777777" w:rsidR="006419BF" w:rsidRPr="00C75904" w:rsidRDefault="006419BF" w:rsidP="008910E5">
            <w:pPr>
              <w:spacing w:line="276" w:lineRule="auto"/>
              <w:jc w:val="center"/>
              <w:rPr>
                <w:rFonts w:ascii="Times New Roman" w:hAnsi="Times New Roman" w:cs="Times New Roman"/>
                <w:sz w:val="13"/>
                <w:szCs w:val="13"/>
                <w:lang w:val="en-US"/>
              </w:rPr>
            </w:pPr>
            <w:r w:rsidRPr="00C75904">
              <w:rPr>
                <w:rFonts w:ascii="Times New Roman" w:hAnsi="Times New Roman" w:cs="Times New Roman"/>
                <w:sz w:val="13"/>
                <w:szCs w:val="13"/>
                <w:lang w:val="en-US"/>
              </w:rPr>
              <w:t>+</w:t>
            </w:r>
          </w:p>
        </w:tc>
        <w:tc>
          <w:tcPr>
            <w:tcW w:w="1405" w:type="dxa"/>
            <w:vAlign w:val="center"/>
          </w:tcPr>
          <w:p w14:paraId="6836043A" w14:textId="77777777" w:rsidR="006419BF" w:rsidRPr="00C75904" w:rsidRDefault="006419BF" w:rsidP="008910E5">
            <w:pPr>
              <w:spacing w:line="276" w:lineRule="auto"/>
              <w:jc w:val="center"/>
              <w:rPr>
                <w:rFonts w:ascii="Times New Roman" w:hAnsi="Times New Roman" w:cs="Times New Roman"/>
                <w:sz w:val="13"/>
                <w:szCs w:val="13"/>
                <w:lang w:val="en-US"/>
              </w:rPr>
            </w:pPr>
            <w:r w:rsidRPr="00C75904">
              <w:rPr>
                <w:rFonts w:ascii="Times New Roman" w:hAnsi="Times New Roman" w:cs="Times New Roman"/>
                <w:sz w:val="13"/>
                <w:szCs w:val="13"/>
                <w:lang w:val="en-US"/>
              </w:rPr>
              <w:t>+</w:t>
            </w:r>
          </w:p>
        </w:tc>
      </w:tr>
      <w:tr w:rsidR="006419BF" w:rsidRPr="00C75904" w14:paraId="72DCBB2D" w14:textId="77777777" w:rsidTr="008910E5">
        <w:tc>
          <w:tcPr>
            <w:tcW w:w="1475" w:type="dxa"/>
            <w:vAlign w:val="center"/>
          </w:tcPr>
          <w:p w14:paraId="543ADE0C"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Prominent chin</w:t>
            </w:r>
          </w:p>
        </w:tc>
        <w:tc>
          <w:tcPr>
            <w:tcW w:w="1361" w:type="dxa"/>
            <w:vAlign w:val="center"/>
          </w:tcPr>
          <w:p w14:paraId="71655D48"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418" w:type="dxa"/>
            <w:vAlign w:val="center"/>
          </w:tcPr>
          <w:p w14:paraId="58B874B6"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417" w:type="dxa"/>
            <w:vAlign w:val="center"/>
          </w:tcPr>
          <w:p w14:paraId="37625724"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559" w:type="dxa"/>
          </w:tcPr>
          <w:p w14:paraId="52B5BE91" w14:textId="77777777" w:rsidR="006419BF" w:rsidRPr="00C75904" w:rsidRDefault="006419BF" w:rsidP="008910E5">
            <w:pPr>
              <w:jc w:val="center"/>
            </w:pPr>
            <w:r w:rsidRPr="00C75904">
              <w:rPr>
                <w:rFonts w:ascii="Times New Roman" w:hAnsi="Times New Roman" w:cs="Times New Roman"/>
                <w:sz w:val="13"/>
                <w:szCs w:val="13"/>
                <w:lang w:val="en-US"/>
              </w:rPr>
              <w:t>-</w:t>
            </w:r>
          </w:p>
        </w:tc>
        <w:tc>
          <w:tcPr>
            <w:tcW w:w="1418" w:type="dxa"/>
            <w:vAlign w:val="center"/>
          </w:tcPr>
          <w:p w14:paraId="215CAD40" w14:textId="77777777" w:rsidR="006419BF" w:rsidRPr="00C75904" w:rsidRDefault="006419BF" w:rsidP="008910E5">
            <w:pPr>
              <w:spacing w:line="276" w:lineRule="auto"/>
              <w:jc w:val="center"/>
              <w:rPr>
                <w:rFonts w:ascii="Times New Roman" w:hAnsi="Times New Roman" w:cs="Times New Roman"/>
                <w:sz w:val="13"/>
                <w:szCs w:val="13"/>
                <w:lang w:val="en-US"/>
              </w:rPr>
            </w:pPr>
            <w:r w:rsidRPr="00C75904">
              <w:rPr>
                <w:rFonts w:ascii="Times New Roman" w:hAnsi="Times New Roman" w:cs="Times New Roman"/>
                <w:sz w:val="13"/>
                <w:szCs w:val="13"/>
                <w:lang w:val="en-US"/>
              </w:rPr>
              <w:t>+</w:t>
            </w:r>
          </w:p>
        </w:tc>
        <w:tc>
          <w:tcPr>
            <w:tcW w:w="1405" w:type="dxa"/>
            <w:vAlign w:val="center"/>
          </w:tcPr>
          <w:p w14:paraId="7B6F2B4A" w14:textId="77777777" w:rsidR="006419BF" w:rsidRPr="00C75904" w:rsidRDefault="006419BF" w:rsidP="008910E5">
            <w:pPr>
              <w:spacing w:line="276" w:lineRule="auto"/>
              <w:jc w:val="center"/>
              <w:rPr>
                <w:rFonts w:ascii="Times New Roman" w:hAnsi="Times New Roman" w:cs="Times New Roman"/>
                <w:sz w:val="13"/>
                <w:szCs w:val="13"/>
                <w:lang w:val="en-US"/>
              </w:rPr>
            </w:pPr>
            <w:r w:rsidRPr="00C75904">
              <w:rPr>
                <w:rFonts w:ascii="Times New Roman" w:hAnsi="Times New Roman" w:cs="Times New Roman"/>
                <w:sz w:val="13"/>
                <w:szCs w:val="13"/>
                <w:lang w:val="en-US"/>
              </w:rPr>
              <w:t>N/A</w:t>
            </w:r>
          </w:p>
        </w:tc>
      </w:tr>
      <w:tr w:rsidR="006419BF" w:rsidRPr="00C75904" w14:paraId="1E3F9FCC" w14:textId="77777777" w:rsidTr="008910E5">
        <w:tc>
          <w:tcPr>
            <w:tcW w:w="1475" w:type="dxa"/>
            <w:vAlign w:val="center"/>
          </w:tcPr>
          <w:p w14:paraId="1905B2F3"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Progeroid features</w:t>
            </w:r>
          </w:p>
        </w:tc>
        <w:tc>
          <w:tcPr>
            <w:tcW w:w="1361" w:type="dxa"/>
            <w:vAlign w:val="center"/>
          </w:tcPr>
          <w:p w14:paraId="0AAEC2A9"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418" w:type="dxa"/>
            <w:vAlign w:val="center"/>
          </w:tcPr>
          <w:p w14:paraId="6D6E9194"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417" w:type="dxa"/>
            <w:vAlign w:val="center"/>
          </w:tcPr>
          <w:p w14:paraId="45D3BFD8" w14:textId="77777777" w:rsidR="006419BF" w:rsidRPr="00C75904" w:rsidRDefault="006419BF" w:rsidP="008910E5">
            <w:pPr>
              <w:spacing w:line="276" w:lineRule="auto"/>
              <w:jc w:val="center"/>
              <w:rPr>
                <w:rFonts w:ascii="Times New Roman" w:hAnsi="Times New Roman" w:cs="Times New Roman"/>
                <w:sz w:val="13"/>
                <w:szCs w:val="13"/>
              </w:rPr>
            </w:pPr>
            <w:r w:rsidRPr="00C75904">
              <w:rPr>
                <w:rFonts w:ascii="Times New Roman" w:hAnsi="Times New Roman" w:cs="Times New Roman"/>
                <w:sz w:val="13"/>
                <w:szCs w:val="13"/>
              </w:rPr>
              <w:t>-</w:t>
            </w:r>
          </w:p>
        </w:tc>
        <w:tc>
          <w:tcPr>
            <w:tcW w:w="1559" w:type="dxa"/>
          </w:tcPr>
          <w:p w14:paraId="67739CA8" w14:textId="77777777" w:rsidR="006419BF" w:rsidRPr="00C75904" w:rsidRDefault="006419BF" w:rsidP="008910E5">
            <w:pPr>
              <w:jc w:val="center"/>
            </w:pPr>
            <w:r w:rsidRPr="00C75904">
              <w:rPr>
                <w:rFonts w:ascii="Times New Roman" w:hAnsi="Times New Roman" w:cs="Times New Roman"/>
                <w:sz w:val="13"/>
                <w:szCs w:val="13"/>
                <w:lang w:val="en-US"/>
              </w:rPr>
              <w:t>-</w:t>
            </w:r>
          </w:p>
        </w:tc>
        <w:tc>
          <w:tcPr>
            <w:tcW w:w="1418" w:type="dxa"/>
            <w:vAlign w:val="center"/>
          </w:tcPr>
          <w:p w14:paraId="594DB50B" w14:textId="77777777" w:rsidR="006419BF" w:rsidRPr="00C75904" w:rsidRDefault="006419BF" w:rsidP="008910E5">
            <w:pPr>
              <w:spacing w:line="276" w:lineRule="auto"/>
              <w:jc w:val="center"/>
              <w:rPr>
                <w:rFonts w:ascii="Times New Roman" w:hAnsi="Times New Roman" w:cs="Times New Roman"/>
                <w:sz w:val="13"/>
                <w:szCs w:val="13"/>
                <w:lang w:val="en-US"/>
              </w:rPr>
            </w:pPr>
            <w:r w:rsidRPr="00C75904">
              <w:rPr>
                <w:rFonts w:ascii="Times New Roman" w:hAnsi="Times New Roman" w:cs="Times New Roman"/>
                <w:sz w:val="13"/>
                <w:szCs w:val="13"/>
                <w:lang w:val="en-US"/>
              </w:rPr>
              <w:t>+</w:t>
            </w:r>
          </w:p>
        </w:tc>
        <w:tc>
          <w:tcPr>
            <w:tcW w:w="1405" w:type="dxa"/>
            <w:vAlign w:val="center"/>
          </w:tcPr>
          <w:p w14:paraId="152742F0" w14:textId="77777777" w:rsidR="006419BF" w:rsidRPr="00C75904" w:rsidRDefault="006419BF" w:rsidP="008910E5">
            <w:pPr>
              <w:spacing w:line="276" w:lineRule="auto"/>
              <w:jc w:val="center"/>
              <w:rPr>
                <w:rFonts w:ascii="Times New Roman" w:hAnsi="Times New Roman" w:cs="Times New Roman"/>
                <w:sz w:val="13"/>
                <w:szCs w:val="13"/>
                <w:lang w:val="en-US"/>
              </w:rPr>
            </w:pPr>
            <w:r w:rsidRPr="00C75904">
              <w:rPr>
                <w:rFonts w:ascii="Times New Roman" w:hAnsi="Times New Roman" w:cs="Times New Roman"/>
                <w:sz w:val="13"/>
                <w:szCs w:val="13"/>
                <w:lang w:val="en-US"/>
              </w:rPr>
              <w:t>+</w:t>
            </w:r>
          </w:p>
        </w:tc>
      </w:tr>
      <w:tr w:rsidR="006419BF" w:rsidRPr="00C75904" w14:paraId="4EC9419E" w14:textId="77777777" w:rsidTr="008910E5">
        <w:tc>
          <w:tcPr>
            <w:tcW w:w="1475" w:type="dxa"/>
            <w:shd w:val="clear" w:color="auto" w:fill="F2F2F2" w:themeFill="background1" w:themeFillShade="F2"/>
            <w:vAlign w:val="center"/>
          </w:tcPr>
          <w:p w14:paraId="09E207D7"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Musculoskeletal abnormalities</w:t>
            </w:r>
          </w:p>
        </w:tc>
        <w:tc>
          <w:tcPr>
            <w:tcW w:w="8578" w:type="dxa"/>
            <w:gridSpan w:val="6"/>
          </w:tcPr>
          <w:p w14:paraId="3F537575" w14:textId="77777777" w:rsidR="006419BF" w:rsidRPr="00C75904" w:rsidRDefault="006419BF" w:rsidP="008910E5">
            <w:pPr>
              <w:spacing w:line="276" w:lineRule="auto"/>
              <w:jc w:val="center"/>
              <w:rPr>
                <w:rFonts w:ascii="Times New Roman" w:hAnsi="Times New Roman" w:cs="Times New Roman"/>
                <w:b/>
                <w:bCs/>
                <w:sz w:val="13"/>
                <w:szCs w:val="13"/>
                <w:lang w:val="en-US"/>
              </w:rPr>
            </w:pPr>
          </w:p>
          <w:p w14:paraId="7FCDE5BD" w14:textId="77777777" w:rsidR="006419BF" w:rsidRPr="00C75904" w:rsidRDefault="006419BF" w:rsidP="008910E5">
            <w:pPr>
              <w:spacing w:line="276" w:lineRule="auto"/>
              <w:jc w:val="center"/>
              <w:rPr>
                <w:rFonts w:ascii="Times New Roman" w:hAnsi="Times New Roman" w:cs="Times New Roman"/>
                <w:b/>
                <w:bCs/>
                <w:sz w:val="13"/>
                <w:szCs w:val="13"/>
                <w:lang w:val="en-US"/>
              </w:rPr>
            </w:pPr>
          </w:p>
          <w:p w14:paraId="18F37481" w14:textId="77777777" w:rsidR="006419BF" w:rsidRPr="00C75904" w:rsidRDefault="006419BF" w:rsidP="008910E5">
            <w:pPr>
              <w:spacing w:line="276" w:lineRule="auto"/>
              <w:jc w:val="center"/>
              <w:rPr>
                <w:rFonts w:ascii="Times New Roman" w:hAnsi="Times New Roman" w:cs="Times New Roman"/>
                <w:b/>
                <w:bCs/>
                <w:sz w:val="13"/>
                <w:szCs w:val="13"/>
                <w:lang w:val="en-US"/>
              </w:rPr>
            </w:pPr>
          </w:p>
        </w:tc>
      </w:tr>
      <w:tr w:rsidR="006419BF" w:rsidRPr="00C75904" w14:paraId="3246FDB9" w14:textId="77777777" w:rsidTr="008910E5">
        <w:trPr>
          <w:trHeight w:val="138"/>
        </w:trPr>
        <w:tc>
          <w:tcPr>
            <w:tcW w:w="1475" w:type="dxa"/>
            <w:vAlign w:val="center"/>
          </w:tcPr>
          <w:p w14:paraId="19E7328D" w14:textId="77777777" w:rsidR="006419BF" w:rsidRPr="00C75904" w:rsidRDefault="006419BF" w:rsidP="008910E5">
            <w:pPr>
              <w:spacing w:line="276" w:lineRule="auto"/>
              <w:jc w:val="center"/>
              <w:rPr>
                <w:rFonts w:ascii="Times New Roman" w:hAnsi="Times New Roman" w:cs="Times New Roman"/>
                <w:sz w:val="13"/>
                <w:szCs w:val="13"/>
                <w:lang w:val="en-US"/>
              </w:rPr>
            </w:pPr>
            <w:r w:rsidRPr="00C75904">
              <w:rPr>
                <w:rFonts w:ascii="Times New Roman" w:hAnsi="Times New Roman" w:cs="Times New Roman"/>
                <w:sz w:val="13"/>
                <w:szCs w:val="13"/>
                <w:lang w:val="en-US"/>
              </w:rPr>
              <w:t>Kyphosis</w:t>
            </w:r>
          </w:p>
        </w:tc>
        <w:tc>
          <w:tcPr>
            <w:tcW w:w="1361" w:type="dxa"/>
            <w:vAlign w:val="center"/>
          </w:tcPr>
          <w:p w14:paraId="558B1121"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w:t>
            </w:r>
          </w:p>
        </w:tc>
        <w:tc>
          <w:tcPr>
            <w:tcW w:w="1418" w:type="dxa"/>
            <w:vAlign w:val="center"/>
          </w:tcPr>
          <w:p w14:paraId="531D0AE2"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w:t>
            </w:r>
          </w:p>
        </w:tc>
        <w:tc>
          <w:tcPr>
            <w:tcW w:w="1417" w:type="dxa"/>
            <w:vAlign w:val="center"/>
          </w:tcPr>
          <w:p w14:paraId="1C376F86"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w:t>
            </w:r>
          </w:p>
        </w:tc>
        <w:tc>
          <w:tcPr>
            <w:tcW w:w="1559" w:type="dxa"/>
          </w:tcPr>
          <w:p w14:paraId="15BE1EFB" w14:textId="77777777" w:rsidR="006419BF" w:rsidRPr="00C75904" w:rsidRDefault="006419BF" w:rsidP="008910E5">
            <w:pPr>
              <w:jc w:val="center"/>
            </w:pPr>
            <w:r w:rsidRPr="00C75904">
              <w:rPr>
                <w:rFonts w:ascii="Times New Roman" w:hAnsi="Times New Roman" w:cs="Times New Roman"/>
                <w:sz w:val="13"/>
                <w:szCs w:val="13"/>
                <w:lang w:val="en-US"/>
              </w:rPr>
              <w:t>-</w:t>
            </w:r>
          </w:p>
        </w:tc>
        <w:tc>
          <w:tcPr>
            <w:tcW w:w="1418" w:type="dxa"/>
            <w:vAlign w:val="center"/>
          </w:tcPr>
          <w:p w14:paraId="39B7389C"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w:t>
            </w:r>
          </w:p>
        </w:tc>
        <w:tc>
          <w:tcPr>
            <w:tcW w:w="1405" w:type="dxa"/>
            <w:vAlign w:val="center"/>
          </w:tcPr>
          <w:p w14:paraId="45037FB4"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w:t>
            </w:r>
          </w:p>
        </w:tc>
      </w:tr>
      <w:tr w:rsidR="006419BF" w:rsidRPr="00C75904" w14:paraId="303A2B50" w14:textId="77777777" w:rsidTr="008910E5">
        <w:trPr>
          <w:trHeight w:val="138"/>
        </w:trPr>
        <w:tc>
          <w:tcPr>
            <w:tcW w:w="1475" w:type="dxa"/>
            <w:vAlign w:val="center"/>
          </w:tcPr>
          <w:p w14:paraId="68807A2C" w14:textId="77777777" w:rsidR="006419BF" w:rsidRPr="00C75904" w:rsidRDefault="006419BF" w:rsidP="008910E5">
            <w:pPr>
              <w:spacing w:line="276" w:lineRule="auto"/>
              <w:jc w:val="center"/>
              <w:rPr>
                <w:rFonts w:ascii="Times New Roman" w:hAnsi="Times New Roman" w:cs="Times New Roman"/>
                <w:sz w:val="13"/>
                <w:szCs w:val="13"/>
                <w:lang w:val="en-US"/>
              </w:rPr>
            </w:pPr>
            <w:r w:rsidRPr="00C75904">
              <w:rPr>
                <w:rFonts w:ascii="Times New Roman" w:hAnsi="Times New Roman" w:cs="Times New Roman"/>
                <w:sz w:val="13"/>
                <w:szCs w:val="13"/>
                <w:lang w:val="en-US"/>
              </w:rPr>
              <w:t>Scoliosis</w:t>
            </w:r>
          </w:p>
        </w:tc>
        <w:tc>
          <w:tcPr>
            <w:tcW w:w="1361" w:type="dxa"/>
            <w:vAlign w:val="center"/>
          </w:tcPr>
          <w:p w14:paraId="23DBCD44"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w:t>
            </w:r>
          </w:p>
        </w:tc>
        <w:tc>
          <w:tcPr>
            <w:tcW w:w="1418" w:type="dxa"/>
            <w:vAlign w:val="center"/>
          </w:tcPr>
          <w:p w14:paraId="425E7708"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w:t>
            </w:r>
          </w:p>
        </w:tc>
        <w:tc>
          <w:tcPr>
            <w:tcW w:w="1417" w:type="dxa"/>
            <w:vAlign w:val="center"/>
          </w:tcPr>
          <w:p w14:paraId="3D0932C4"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w:t>
            </w:r>
          </w:p>
        </w:tc>
        <w:tc>
          <w:tcPr>
            <w:tcW w:w="1559" w:type="dxa"/>
          </w:tcPr>
          <w:p w14:paraId="24ED6046" w14:textId="77777777" w:rsidR="006419BF" w:rsidRPr="00C75904" w:rsidRDefault="006419BF" w:rsidP="008910E5">
            <w:pPr>
              <w:jc w:val="center"/>
            </w:pPr>
            <w:r w:rsidRPr="00C75904">
              <w:rPr>
                <w:rFonts w:ascii="Times New Roman" w:hAnsi="Times New Roman" w:cs="Times New Roman"/>
                <w:sz w:val="13"/>
                <w:szCs w:val="13"/>
                <w:lang w:val="en-US"/>
              </w:rPr>
              <w:t>-</w:t>
            </w:r>
          </w:p>
        </w:tc>
        <w:tc>
          <w:tcPr>
            <w:tcW w:w="1418" w:type="dxa"/>
            <w:vAlign w:val="center"/>
          </w:tcPr>
          <w:p w14:paraId="41931374"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w:t>
            </w:r>
          </w:p>
        </w:tc>
        <w:tc>
          <w:tcPr>
            <w:tcW w:w="1405" w:type="dxa"/>
            <w:vAlign w:val="center"/>
          </w:tcPr>
          <w:p w14:paraId="425E218E"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w:t>
            </w:r>
          </w:p>
        </w:tc>
      </w:tr>
      <w:tr w:rsidR="006419BF" w:rsidRPr="00C75904" w14:paraId="71934433" w14:textId="77777777" w:rsidTr="008910E5">
        <w:trPr>
          <w:trHeight w:val="138"/>
        </w:trPr>
        <w:tc>
          <w:tcPr>
            <w:tcW w:w="1475" w:type="dxa"/>
            <w:vAlign w:val="center"/>
          </w:tcPr>
          <w:p w14:paraId="429C7707" w14:textId="77777777" w:rsidR="006419BF" w:rsidRPr="00C75904" w:rsidRDefault="006419BF" w:rsidP="008910E5">
            <w:pPr>
              <w:spacing w:line="276" w:lineRule="auto"/>
              <w:jc w:val="center"/>
              <w:rPr>
                <w:rFonts w:ascii="Times New Roman" w:hAnsi="Times New Roman" w:cs="Times New Roman"/>
                <w:sz w:val="13"/>
                <w:szCs w:val="13"/>
                <w:lang w:val="en-US"/>
              </w:rPr>
            </w:pPr>
            <w:proofErr w:type="spellStart"/>
            <w:r w:rsidRPr="00C75904">
              <w:rPr>
                <w:rFonts w:ascii="Times New Roman" w:hAnsi="Times New Roman" w:cs="Times New Roman"/>
                <w:sz w:val="13"/>
                <w:szCs w:val="13"/>
                <w:lang w:val="en-US"/>
              </w:rPr>
              <w:t>Clinodactyly</w:t>
            </w:r>
            <w:proofErr w:type="spellEnd"/>
          </w:p>
        </w:tc>
        <w:tc>
          <w:tcPr>
            <w:tcW w:w="1361" w:type="dxa"/>
            <w:vAlign w:val="center"/>
          </w:tcPr>
          <w:p w14:paraId="078F0EA7"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w:t>
            </w:r>
          </w:p>
        </w:tc>
        <w:tc>
          <w:tcPr>
            <w:tcW w:w="1418" w:type="dxa"/>
            <w:vAlign w:val="center"/>
          </w:tcPr>
          <w:p w14:paraId="1631DE9C"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w:t>
            </w:r>
          </w:p>
        </w:tc>
        <w:tc>
          <w:tcPr>
            <w:tcW w:w="1417" w:type="dxa"/>
            <w:vAlign w:val="center"/>
          </w:tcPr>
          <w:p w14:paraId="1235B428"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w:t>
            </w:r>
          </w:p>
        </w:tc>
        <w:tc>
          <w:tcPr>
            <w:tcW w:w="1559" w:type="dxa"/>
          </w:tcPr>
          <w:p w14:paraId="314D1FD3" w14:textId="77777777" w:rsidR="006419BF" w:rsidRPr="00C75904" w:rsidRDefault="006419BF" w:rsidP="008910E5">
            <w:pPr>
              <w:jc w:val="center"/>
            </w:pPr>
            <w:r w:rsidRPr="00C75904">
              <w:rPr>
                <w:rFonts w:ascii="Times New Roman" w:hAnsi="Times New Roman" w:cs="Times New Roman"/>
                <w:sz w:val="13"/>
                <w:szCs w:val="13"/>
                <w:lang w:val="en-US"/>
              </w:rPr>
              <w:t>+</w:t>
            </w:r>
          </w:p>
        </w:tc>
        <w:tc>
          <w:tcPr>
            <w:tcW w:w="1418" w:type="dxa"/>
            <w:vAlign w:val="center"/>
          </w:tcPr>
          <w:p w14:paraId="76CAAB74"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w:t>
            </w:r>
          </w:p>
        </w:tc>
        <w:tc>
          <w:tcPr>
            <w:tcW w:w="1405" w:type="dxa"/>
            <w:vAlign w:val="center"/>
          </w:tcPr>
          <w:p w14:paraId="58207E1F"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w:t>
            </w:r>
          </w:p>
        </w:tc>
      </w:tr>
      <w:tr w:rsidR="006419BF" w:rsidRPr="00C75904" w14:paraId="1BCFE483" w14:textId="77777777" w:rsidTr="008910E5">
        <w:trPr>
          <w:trHeight w:val="138"/>
        </w:trPr>
        <w:tc>
          <w:tcPr>
            <w:tcW w:w="1475" w:type="dxa"/>
            <w:vAlign w:val="center"/>
          </w:tcPr>
          <w:p w14:paraId="39AC49AB" w14:textId="77777777" w:rsidR="006419BF" w:rsidRPr="00C75904" w:rsidRDefault="006419BF" w:rsidP="008910E5">
            <w:pPr>
              <w:spacing w:line="276" w:lineRule="auto"/>
              <w:jc w:val="center"/>
              <w:rPr>
                <w:rFonts w:ascii="Times New Roman" w:hAnsi="Times New Roman" w:cs="Times New Roman"/>
                <w:sz w:val="13"/>
                <w:szCs w:val="13"/>
                <w:lang w:val="en-US"/>
              </w:rPr>
            </w:pPr>
            <w:r w:rsidRPr="00C75904">
              <w:rPr>
                <w:rFonts w:ascii="Times New Roman" w:hAnsi="Times New Roman" w:cs="Times New Roman"/>
                <w:sz w:val="13"/>
                <w:szCs w:val="13"/>
                <w:lang w:val="en-US"/>
              </w:rPr>
              <w:t>Long fingers</w:t>
            </w:r>
          </w:p>
        </w:tc>
        <w:tc>
          <w:tcPr>
            <w:tcW w:w="1361" w:type="dxa"/>
            <w:vAlign w:val="center"/>
          </w:tcPr>
          <w:p w14:paraId="219309C1"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w:t>
            </w:r>
          </w:p>
        </w:tc>
        <w:tc>
          <w:tcPr>
            <w:tcW w:w="1418" w:type="dxa"/>
            <w:vAlign w:val="center"/>
          </w:tcPr>
          <w:p w14:paraId="20E9E26B"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w:t>
            </w:r>
          </w:p>
        </w:tc>
        <w:tc>
          <w:tcPr>
            <w:tcW w:w="1417" w:type="dxa"/>
            <w:vAlign w:val="center"/>
          </w:tcPr>
          <w:p w14:paraId="479FEA47"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w:t>
            </w:r>
          </w:p>
        </w:tc>
        <w:tc>
          <w:tcPr>
            <w:tcW w:w="1559" w:type="dxa"/>
          </w:tcPr>
          <w:p w14:paraId="5CEB839A" w14:textId="77777777" w:rsidR="006419BF" w:rsidRPr="00C75904" w:rsidRDefault="006419BF" w:rsidP="008910E5">
            <w:pPr>
              <w:jc w:val="center"/>
            </w:pPr>
            <w:r w:rsidRPr="00C75904">
              <w:rPr>
                <w:rFonts w:ascii="Times New Roman" w:hAnsi="Times New Roman" w:cs="Times New Roman"/>
                <w:sz w:val="13"/>
                <w:szCs w:val="13"/>
                <w:lang w:val="en-US"/>
              </w:rPr>
              <w:t>-</w:t>
            </w:r>
          </w:p>
        </w:tc>
        <w:tc>
          <w:tcPr>
            <w:tcW w:w="1418" w:type="dxa"/>
            <w:vAlign w:val="center"/>
          </w:tcPr>
          <w:p w14:paraId="522494AB"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w:t>
            </w:r>
          </w:p>
        </w:tc>
        <w:tc>
          <w:tcPr>
            <w:tcW w:w="1405" w:type="dxa"/>
            <w:vAlign w:val="center"/>
          </w:tcPr>
          <w:p w14:paraId="60684946"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w:t>
            </w:r>
          </w:p>
        </w:tc>
      </w:tr>
      <w:tr w:rsidR="006419BF" w:rsidRPr="00C75904" w14:paraId="2618FBAD" w14:textId="77777777" w:rsidTr="008910E5">
        <w:trPr>
          <w:trHeight w:val="138"/>
        </w:trPr>
        <w:tc>
          <w:tcPr>
            <w:tcW w:w="1475" w:type="dxa"/>
            <w:vAlign w:val="center"/>
          </w:tcPr>
          <w:p w14:paraId="117E4684" w14:textId="77777777" w:rsidR="006419BF" w:rsidRPr="00C75904" w:rsidRDefault="006419BF" w:rsidP="008910E5">
            <w:pPr>
              <w:spacing w:line="276" w:lineRule="auto"/>
              <w:jc w:val="center"/>
              <w:rPr>
                <w:rFonts w:ascii="Times New Roman" w:hAnsi="Times New Roman" w:cs="Times New Roman"/>
                <w:sz w:val="13"/>
                <w:szCs w:val="13"/>
                <w:lang w:val="en-US"/>
              </w:rPr>
            </w:pPr>
            <w:r>
              <w:rPr>
                <w:rFonts w:ascii="Times New Roman" w:eastAsia="Times New Roman" w:hAnsi="Times New Roman" w:cs="Times New Roman"/>
                <w:noProof/>
                <w:sz w:val="13"/>
                <w:szCs w:val="13"/>
                <w:lang w:val="en-US"/>
              </w:rPr>
              <w:t>Thumb</w:t>
            </w:r>
            <w:r w:rsidRPr="00C75904">
              <w:rPr>
                <w:rFonts w:ascii="Times New Roman" w:eastAsia="Times New Roman" w:hAnsi="Times New Roman" w:cs="Times New Roman"/>
                <w:noProof/>
                <w:sz w:val="13"/>
                <w:szCs w:val="13"/>
                <w:lang w:val="en-US"/>
              </w:rPr>
              <w:t xml:space="preserve"> hypoplasia</w:t>
            </w:r>
          </w:p>
        </w:tc>
        <w:tc>
          <w:tcPr>
            <w:tcW w:w="1361" w:type="dxa"/>
            <w:vAlign w:val="center"/>
          </w:tcPr>
          <w:p w14:paraId="3463F006"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w:t>
            </w:r>
          </w:p>
        </w:tc>
        <w:tc>
          <w:tcPr>
            <w:tcW w:w="1418" w:type="dxa"/>
            <w:vAlign w:val="center"/>
          </w:tcPr>
          <w:p w14:paraId="78FBE740"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w:t>
            </w:r>
          </w:p>
        </w:tc>
        <w:tc>
          <w:tcPr>
            <w:tcW w:w="1417" w:type="dxa"/>
            <w:vAlign w:val="center"/>
          </w:tcPr>
          <w:p w14:paraId="72E3709E"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w:t>
            </w:r>
          </w:p>
        </w:tc>
        <w:tc>
          <w:tcPr>
            <w:tcW w:w="1559" w:type="dxa"/>
          </w:tcPr>
          <w:p w14:paraId="1A644CAB" w14:textId="77777777" w:rsidR="006419BF" w:rsidRPr="00C75904" w:rsidRDefault="006419BF" w:rsidP="008910E5">
            <w:pPr>
              <w:jc w:val="center"/>
            </w:pPr>
            <w:r w:rsidRPr="00C75904">
              <w:rPr>
                <w:rFonts w:ascii="Times New Roman" w:hAnsi="Times New Roman" w:cs="Times New Roman"/>
                <w:sz w:val="13"/>
                <w:szCs w:val="13"/>
                <w:lang w:val="en-US"/>
              </w:rPr>
              <w:t>-</w:t>
            </w:r>
          </w:p>
        </w:tc>
        <w:tc>
          <w:tcPr>
            <w:tcW w:w="1418" w:type="dxa"/>
            <w:vAlign w:val="center"/>
          </w:tcPr>
          <w:p w14:paraId="14DE0BEC"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w:t>
            </w:r>
          </w:p>
        </w:tc>
        <w:tc>
          <w:tcPr>
            <w:tcW w:w="1405" w:type="dxa"/>
            <w:vAlign w:val="center"/>
          </w:tcPr>
          <w:p w14:paraId="257C215F"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w:t>
            </w:r>
          </w:p>
        </w:tc>
      </w:tr>
      <w:tr w:rsidR="006419BF" w:rsidRPr="00C75904" w14:paraId="19C237EA" w14:textId="77777777" w:rsidTr="008910E5">
        <w:trPr>
          <w:trHeight w:val="138"/>
        </w:trPr>
        <w:tc>
          <w:tcPr>
            <w:tcW w:w="1475" w:type="dxa"/>
            <w:vAlign w:val="center"/>
          </w:tcPr>
          <w:p w14:paraId="277BDE3C" w14:textId="77777777" w:rsidR="006419BF" w:rsidRPr="00C75904" w:rsidRDefault="006419BF" w:rsidP="008910E5">
            <w:pPr>
              <w:spacing w:line="276" w:lineRule="auto"/>
              <w:jc w:val="center"/>
              <w:rPr>
                <w:rFonts w:ascii="Times New Roman" w:hAnsi="Times New Roman" w:cs="Times New Roman"/>
                <w:sz w:val="13"/>
                <w:szCs w:val="13"/>
                <w:lang w:val="en-US"/>
              </w:rPr>
            </w:pPr>
            <w:r>
              <w:rPr>
                <w:rFonts w:ascii="Times New Roman" w:hAnsi="Times New Roman" w:cs="Times New Roman"/>
                <w:sz w:val="13"/>
                <w:szCs w:val="13"/>
                <w:lang w:val="en-US"/>
              </w:rPr>
              <w:t>Hand</w:t>
            </w:r>
            <w:r w:rsidRPr="00C75904">
              <w:rPr>
                <w:rFonts w:ascii="Times New Roman" w:hAnsi="Times New Roman" w:cs="Times New Roman"/>
                <w:sz w:val="13"/>
                <w:szCs w:val="13"/>
                <w:lang w:val="en-US"/>
              </w:rPr>
              <w:t xml:space="preserve"> contractures</w:t>
            </w:r>
          </w:p>
        </w:tc>
        <w:tc>
          <w:tcPr>
            <w:tcW w:w="1361" w:type="dxa"/>
            <w:vAlign w:val="center"/>
          </w:tcPr>
          <w:p w14:paraId="56097B16"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w:t>
            </w:r>
          </w:p>
        </w:tc>
        <w:tc>
          <w:tcPr>
            <w:tcW w:w="1418" w:type="dxa"/>
            <w:vAlign w:val="center"/>
          </w:tcPr>
          <w:p w14:paraId="44C3EC49"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w:t>
            </w:r>
          </w:p>
        </w:tc>
        <w:tc>
          <w:tcPr>
            <w:tcW w:w="1417" w:type="dxa"/>
            <w:vAlign w:val="center"/>
          </w:tcPr>
          <w:p w14:paraId="2B4C7893"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w:t>
            </w:r>
          </w:p>
        </w:tc>
        <w:tc>
          <w:tcPr>
            <w:tcW w:w="1559" w:type="dxa"/>
          </w:tcPr>
          <w:p w14:paraId="2FBA60E4" w14:textId="77777777" w:rsidR="006419BF" w:rsidRPr="00C75904" w:rsidRDefault="006419BF" w:rsidP="008910E5">
            <w:pPr>
              <w:jc w:val="center"/>
            </w:pPr>
            <w:r w:rsidRPr="00C75904">
              <w:rPr>
                <w:rFonts w:ascii="Times New Roman" w:hAnsi="Times New Roman" w:cs="Times New Roman"/>
                <w:sz w:val="13"/>
                <w:szCs w:val="13"/>
                <w:lang w:val="en-US"/>
              </w:rPr>
              <w:t>-</w:t>
            </w:r>
          </w:p>
        </w:tc>
        <w:tc>
          <w:tcPr>
            <w:tcW w:w="1418" w:type="dxa"/>
            <w:vAlign w:val="center"/>
          </w:tcPr>
          <w:p w14:paraId="1C23DB3B"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w:t>
            </w:r>
          </w:p>
        </w:tc>
        <w:tc>
          <w:tcPr>
            <w:tcW w:w="1405" w:type="dxa"/>
            <w:vAlign w:val="center"/>
          </w:tcPr>
          <w:p w14:paraId="269E1617"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hAnsi="Times New Roman" w:cs="Times New Roman"/>
                <w:b/>
                <w:bCs/>
                <w:sz w:val="13"/>
                <w:szCs w:val="13"/>
                <w:lang w:val="en-US"/>
              </w:rPr>
              <w:t>-</w:t>
            </w:r>
          </w:p>
        </w:tc>
      </w:tr>
      <w:tr w:rsidR="006419BF" w:rsidRPr="00C75904" w14:paraId="33F8FE68" w14:textId="77777777" w:rsidTr="008910E5">
        <w:tc>
          <w:tcPr>
            <w:tcW w:w="1475" w:type="dxa"/>
            <w:vAlign w:val="center"/>
          </w:tcPr>
          <w:p w14:paraId="4AE7D164" w14:textId="77777777" w:rsidR="006419BF" w:rsidRPr="00C75904" w:rsidRDefault="006419BF" w:rsidP="008910E5">
            <w:pPr>
              <w:spacing w:line="276" w:lineRule="auto"/>
              <w:jc w:val="center"/>
              <w:rPr>
                <w:rFonts w:ascii="Times New Roman" w:eastAsia="Times New Roman" w:hAnsi="Times New Roman" w:cs="Times New Roman"/>
                <w:noProof/>
                <w:sz w:val="13"/>
                <w:szCs w:val="13"/>
                <w:lang w:val="en-US"/>
              </w:rPr>
            </w:pPr>
            <w:r w:rsidRPr="00C75904">
              <w:rPr>
                <w:rFonts w:ascii="Times New Roman" w:eastAsia="Times New Roman" w:hAnsi="Times New Roman" w:cs="Times New Roman"/>
                <w:noProof/>
                <w:sz w:val="13"/>
                <w:szCs w:val="13"/>
                <w:lang w:val="en-US"/>
              </w:rPr>
              <w:t>Pes planus</w:t>
            </w:r>
          </w:p>
        </w:tc>
        <w:tc>
          <w:tcPr>
            <w:tcW w:w="1361" w:type="dxa"/>
            <w:vAlign w:val="center"/>
          </w:tcPr>
          <w:p w14:paraId="3A58CACF" w14:textId="77777777" w:rsidR="006419BF" w:rsidRPr="00C75904" w:rsidRDefault="006419BF" w:rsidP="008910E5">
            <w:pPr>
              <w:spacing w:line="276" w:lineRule="auto"/>
              <w:jc w:val="center"/>
              <w:rPr>
                <w:rFonts w:ascii="Times New Roman" w:eastAsia="Times New Roman" w:hAnsi="Times New Roman" w:cs="Times New Roman"/>
                <w:noProof/>
                <w:sz w:val="13"/>
                <w:szCs w:val="13"/>
                <w:lang w:val="en-US"/>
              </w:rPr>
            </w:pPr>
            <w:r w:rsidRPr="00C75904">
              <w:rPr>
                <w:rFonts w:ascii="Times New Roman" w:eastAsia="Times New Roman" w:hAnsi="Times New Roman" w:cs="Times New Roman"/>
                <w:noProof/>
                <w:sz w:val="13"/>
                <w:szCs w:val="13"/>
                <w:lang w:val="en-US"/>
              </w:rPr>
              <w:t>+</w:t>
            </w:r>
          </w:p>
        </w:tc>
        <w:tc>
          <w:tcPr>
            <w:tcW w:w="1418" w:type="dxa"/>
            <w:vAlign w:val="center"/>
          </w:tcPr>
          <w:p w14:paraId="7B694D19" w14:textId="77777777" w:rsidR="006419BF" w:rsidRPr="00C75904" w:rsidRDefault="006419BF" w:rsidP="008910E5">
            <w:pPr>
              <w:spacing w:line="276" w:lineRule="auto"/>
              <w:jc w:val="center"/>
              <w:rPr>
                <w:rFonts w:ascii="Times New Roman" w:eastAsia="Times New Roman" w:hAnsi="Times New Roman" w:cs="Times New Roman"/>
                <w:noProof/>
                <w:sz w:val="13"/>
                <w:szCs w:val="13"/>
                <w:lang w:val="en-US"/>
              </w:rPr>
            </w:pPr>
            <w:r w:rsidRPr="00C75904">
              <w:rPr>
                <w:rFonts w:ascii="Times New Roman" w:eastAsia="Times New Roman" w:hAnsi="Times New Roman" w:cs="Times New Roman"/>
                <w:noProof/>
                <w:sz w:val="13"/>
                <w:szCs w:val="13"/>
                <w:lang w:val="en-US"/>
              </w:rPr>
              <w:t>-</w:t>
            </w:r>
          </w:p>
        </w:tc>
        <w:tc>
          <w:tcPr>
            <w:tcW w:w="1417" w:type="dxa"/>
            <w:vAlign w:val="center"/>
          </w:tcPr>
          <w:p w14:paraId="11BFB97D" w14:textId="77777777" w:rsidR="006419BF" w:rsidRPr="00C75904" w:rsidRDefault="006419BF" w:rsidP="008910E5">
            <w:pPr>
              <w:spacing w:line="276" w:lineRule="auto"/>
              <w:jc w:val="center"/>
              <w:rPr>
                <w:rFonts w:ascii="Times New Roman" w:eastAsia="Times New Roman" w:hAnsi="Times New Roman" w:cs="Times New Roman"/>
                <w:noProof/>
                <w:sz w:val="13"/>
                <w:szCs w:val="13"/>
                <w:lang w:val="en-US"/>
              </w:rPr>
            </w:pPr>
            <w:r w:rsidRPr="00C75904">
              <w:rPr>
                <w:rFonts w:ascii="Times New Roman" w:eastAsia="Times New Roman" w:hAnsi="Times New Roman" w:cs="Times New Roman"/>
                <w:noProof/>
                <w:sz w:val="13"/>
                <w:szCs w:val="13"/>
                <w:lang w:val="en-US"/>
              </w:rPr>
              <w:t>-</w:t>
            </w:r>
          </w:p>
        </w:tc>
        <w:tc>
          <w:tcPr>
            <w:tcW w:w="1559" w:type="dxa"/>
          </w:tcPr>
          <w:p w14:paraId="033B9833" w14:textId="77777777" w:rsidR="006419BF" w:rsidRPr="00C75904" w:rsidRDefault="006419BF" w:rsidP="008910E5">
            <w:pPr>
              <w:jc w:val="center"/>
            </w:pPr>
            <w:r w:rsidRPr="00C75904">
              <w:rPr>
                <w:rFonts w:ascii="Times New Roman" w:hAnsi="Times New Roman" w:cs="Times New Roman"/>
                <w:sz w:val="13"/>
                <w:szCs w:val="13"/>
                <w:lang w:val="en-US"/>
              </w:rPr>
              <w:t>-</w:t>
            </w:r>
          </w:p>
        </w:tc>
        <w:tc>
          <w:tcPr>
            <w:tcW w:w="1418" w:type="dxa"/>
            <w:vAlign w:val="center"/>
          </w:tcPr>
          <w:p w14:paraId="204AA150" w14:textId="77777777" w:rsidR="006419BF" w:rsidRPr="00C75904" w:rsidRDefault="006419BF" w:rsidP="008910E5">
            <w:pPr>
              <w:spacing w:line="276" w:lineRule="auto"/>
              <w:jc w:val="center"/>
              <w:rPr>
                <w:rFonts w:ascii="Times New Roman" w:eastAsia="Times New Roman" w:hAnsi="Times New Roman" w:cs="Times New Roman"/>
                <w:noProof/>
                <w:sz w:val="13"/>
                <w:szCs w:val="13"/>
                <w:lang w:val="en-US"/>
              </w:rPr>
            </w:pPr>
            <w:r w:rsidRPr="00C75904">
              <w:rPr>
                <w:rFonts w:ascii="Times New Roman" w:eastAsia="Times New Roman" w:hAnsi="Times New Roman" w:cs="Times New Roman"/>
                <w:noProof/>
                <w:sz w:val="13"/>
                <w:szCs w:val="13"/>
                <w:lang w:val="en-US"/>
              </w:rPr>
              <w:t>-</w:t>
            </w:r>
          </w:p>
        </w:tc>
        <w:tc>
          <w:tcPr>
            <w:tcW w:w="1405" w:type="dxa"/>
            <w:vAlign w:val="center"/>
          </w:tcPr>
          <w:p w14:paraId="6A1B4A29" w14:textId="77777777" w:rsidR="006419BF" w:rsidRPr="00C75904" w:rsidRDefault="006419BF" w:rsidP="008910E5">
            <w:pPr>
              <w:spacing w:line="276" w:lineRule="auto"/>
              <w:contextualSpacing/>
              <w:jc w:val="center"/>
              <w:rPr>
                <w:rFonts w:ascii="Times New Roman" w:eastAsia="Times New Roman" w:hAnsi="Times New Roman" w:cs="Times New Roman"/>
                <w:noProof/>
                <w:sz w:val="13"/>
                <w:szCs w:val="13"/>
                <w:lang w:val="en-US"/>
              </w:rPr>
            </w:pPr>
            <w:r w:rsidRPr="00C75904">
              <w:rPr>
                <w:rFonts w:ascii="Times New Roman" w:eastAsia="Times New Roman" w:hAnsi="Times New Roman" w:cs="Times New Roman"/>
                <w:noProof/>
                <w:sz w:val="13"/>
                <w:szCs w:val="13"/>
                <w:lang w:val="en-US"/>
              </w:rPr>
              <w:t>-</w:t>
            </w:r>
          </w:p>
        </w:tc>
      </w:tr>
      <w:tr w:rsidR="006419BF" w:rsidRPr="00C75904" w14:paraId="78A47594" w14:textId="77777777" w:rsidTr="008910E5">
        <w:tc>
          <w:tcPr>
            <w:tcW w:w="1475" w:type="dxa"/>
            <w:vAlign w:val="center"/>
          </w:tcPr>
          <w:p w14:paraId="7244AAC1" w14:textId="77777777" w:rsidR="006419BF" w:rsidRPr="00C75904" w:rsidRDefault="006419BF" w:rsidP="008910E5">
            <w:pPr>
              <w:spacing w:line="276" w:lineRule="auto"/>
              <w:jc w:val="center"/>
              <w:rPr>
                <w:rFonts w:ascii="Times New Roman" w:eastAsia="Times New Roman" w:hAnsi="Times New Roman" w:cs="Times New Roman"/>
                <w:noProof/>
                <w:sz w:val="13"/>
                <w:szCs w:val="13"/>
                <w:lang w:val="en-US"/>
              </w:rPr>
            </w:pPr>
            <w:r w:rsidRPr="00C75904">
              <w:rPr>
                <w:rFonts w:ascii="Times New Roman" w:eastAsia="Times New Roman" w:hAnsi="Times New Roman" w:cs="Times New Roman"/>
                <w:noProof/>
                <w:sz w:val="13"/>
                <w:szCs w:val="13"/>
                <w:lang w:val="en-US"/>
              </w:rPr>
              <w:t>Long toes</w:t>
            </w:r>
          </w:p>
        </w:tc>
        <w:tc>
          <w:tcPr>
            <w:tcW w:w="1361" w:type="dxa"/>
            <w:vAlign w:val="center"/>
          </w:tcPr>
          <w:p w14:paraId="4F57992F" w14:textId="77777777" w:rsidR="006419BF" w:rsidRPr="00C75904" w:rsidRDefault="006419BF" w:rsidP="008910E5">
            <w:pPr>
              <w:spacing w:line="276" w:lineRule="auto"/>
              <w:jc w:val="center"/>
              <w:rPr>
                <w:rFonts w:ascii="Times New Roman" w:eastAsia="Times New Roman" w:hAnsi="Times New Roman" w:cs="Times New Roman"/>
                <w:noProof/>
                <w:sz w:val="13"/>
                <w:szCs w:val="13"/>
                <w:lang w:val="en-US"/>
              </w:rPr>
            </w:pPr>
            <w:r w:rsidRPr="00C75904">
              <w:rPr>
                <w:rFonts w:ascii="Times New Roman" w:eastAsia="Times New Roman" w:hAnsi="Times New Roman" w:cs="Times New Roman"/>
                <w:noProof/>
                <w:sz w:val="13"/>
                <w:szCs w:val="13"/>
                <w:lang w:val="en-US"/>
              </w:rPr>
              <w:t>-</w:t>
            </w:r>
          </w:p>
        </w:tc>
        <w:tc>
          <w:tcPr>
            <w:tcW w:w="1418" w:type="dxa"/>
            <w:vAlign w:val="center"/>
          </w:tcPr>
          <w:p w14:paraId="6E9C8FA4" w14:textId="77777777" w:rsidR="006419BF" w:rsidRPr="00C75904" w:rsidRDefault="006419BF" w:rsidP="008910E5">
            <w:pPr>
              <w:spacing w:line="276" w:lineRule="auto"/>
              <w:jc w:val="center"/>
              <w:rPr>
                <w:rFonts w:ascii="Times New Roman" w:eastAsia="Times New Roman" w:hAnsi="Times New Roman" w:cs="Times New Roman"/>
                <w:noProof/>
                <w:sz w:val="13"/>
                <w:szCs w:val="13"/>
                <w:lang w:val="en-US"/>
              </w:rPr>
            </w:pPr>
            <w:r w:rsidRPr="00C75904">
              <w:rPr>
                <w:rFonts w:ascii="Times New Roman" w:eastAsia="Times New Roman" w:hAnsi="Times New Roman" w:cs="Times New Roman"/>
                <w:noProof/>
                <w:sz w:val="13"/>
                <w:szCs w:val="13"/>
                <w:lang w:val="en-US"/>
              </w:rPr>
              <w:t>+</w:t>
            </w:r>
          </w:p>
        </w:tc>
        <w:tc>
          <w:tcPr>
            <w:tcW w:w="1417" w:type="dxa"/>
            <w:vAlign w:val="center"/>
          </w:tcPr>
          <w:p w14:paraId="073F722E" w14:textId="77777777" w:rsidR="006419BF" w:rsidRPr="00C75904" w:rsidRDefault="006419BF" w:rsidP="008910E5">
            <w:pPr>
              <w:spacing w:line="276" w:lineRule="auto"/>
              <w:jc w:val="center"/>
              <w:rPr>
                <w:rFonts w:ascii="Times New Roman" w:eastAsia="Times New Roman" w:hAnsi="Times New Roman" w:cs="Times New Roman"/>
                <w:noProof/>
                <w:sz w:val="13"/>
                <w:szCs w:val="13"/>
                <w:lang w:val="en-US"/>
              </w:rPr>
            </w:pPr>
            <w:r w:rsidRPr="00C75904">
              <w:rPr>
                <w:rFonts w:ascii="Times New Roman" w:eastAsia="Times New Roman" w:hAnsi="Times New Roman" w:cs="Times New Roman"/>
                <w:noProof/>
                <w:sz w:val="13"/>
                <w:szCs w:val="13"/>
                <w:lang w:val="en-US"/>
              </w:rPr>
              <w:t>-</w:t>
            </w:r>
          </w:p>
        </w:tc>
        <w:tc>
          <w:tcPr>
            <w:tcW w:w="1559" w:type="dxa"/>
          </w:tcPr>
          <w:p w14:paraId="280BFBE5" w14:textId="77777777" w:rsidR="006419BF" w:rsidRPr="00C75904" w:rsidRDefault="006419BF" w:rsidP="008910E5">
            <w:pPr>
              <w:jc w:val="center"/>
            </w:pPr>
            <w:r w:rsidRPr="00C75904">
              <w:rPr>
                <w:rFonts w:ascii="Times New Roman" w:hAnsi="Times New Roman" w:cs="Times New Roman"/>
                <w:sz w:val="13"/>
                <w:szCs w:val="13"/>
                <w:lang w:val="en-US"/>
              </w:rPr>
              <w:t>-</w:t>
            </w:r>
          </w:p>
        </w:tc>
        <w:tc>
          <w:tcPr>
            <w:tcW w:w="1418" w:type="dxa"/>
            <w:vAlign w:val="center"/>
          </w:tcPr>
          <w:p w14:paraId="6ECB47F8" w14:textId="77777777" w:rsidR="006419BF" w:rsidRPr="00C75904" w:rsidRDefault="006419BF" w:rsidP="008910E5">
            <w:pPr>
              <w:spacing w:line="276" w:lineRule="auto"/>
              <w:jc w:val="center"/>
              <w:rPr>
                <w:rFonts w:ascii="Times New Roman" w:eastAsia="Times New Roman" w:hAnsi="Times New Roman" w:cs="Times New Roman"/>
                <w:noProof/>
                <w:sz w:val="13"/>
                <w:szCs w:val="13"/>
                <w:lang w:val="en-US"/>
              </w:rPr>
            </w:pPr>
            <w:r w:rsidRPr="00C75904">
              <w:rPr>
                <w:rFonts w:ascii="Times New Roman" w:eastAsia="Times New Roman" w:hAnsi="Times New Roman" w:cs="Times New Roman"/>
                <w:noProof/>
                <w:sz w:val="13"/>
                <w:szCs w:val="13"/>
                <w:lang w:val="en-US"/>
              </w:rPr>
              <w:t>-</w:t>
            </w:r>
          </w:p>
        </w:tc>
        <w:tc>
          <w:tcPr>
            <w:tcW w:w="1405" w:type="dxa"/>
            <w:vAlign w:val="center"/>
          </w:tcPr>
          <w:p w14:paraId="0794F5C0" w14:textId="77777777" w:rsidR="006419BF" w:rsidRPr="00C75904" w:rsidRDefault="006419BF" w:rsidP="008910E5">
            <w:pPr>
              <w:spacing w:line="276" w:lineRule="auto"/>
              <w:contextualSpacing/>
              <w:jc w:val="center"/>
              <w:rPr>
                <w:rFonts w:ascii="Times New Roman" w:eastAsia="Times New Roman" w:hAnsi="Times New Roman" w:cs="Times New Roman"/>
                <w:noProof/>
                <w:sz w:val="13"/>
                <w:szCs w:val="13"/>
                <w:lang w:val="en-US"/>
              </w:rPr>
            </w:pPr>
            <w:r w:rsidRPr="00C75904">
              <w:rPr>
                <w:rFonts w:ascii="Times New Roman" w:eastAsia="Times New Roman" w:hAnsi="Times New Roman" w:cs="Times New Roman"/>
                <w:noProof/>
                <w:sz w:val="13"/>
                <w:szCs w:val="13"/>
                <w:lang w:val="en-US"/>
              </w:rPr>
              <w:t>-</w:t>
            </w:r>
          </w:p>
        </w:tc>
      </w:tr>
      <w:tr w:rsidR="006419BF" w:rsidRPr="00C75904" w14:paraId="3246EB70" w14:textId="77777777" w:rsidTr="008910E5">
        <w:tc>
          <w:tcPr>
            <w:tcW w:w="1475" w:type="dxa"/>
            <w:vAlign w:val="center"/>
          </w:tcPr>
          <w:p w14:paraId="583F9CC2" w14:textId="77777777" w:rsidR="006419BF" w:rsidRPr="00C75904" w:rsidRDefault="006419BF" w:rsidP="008910E5">
            <w:pPr>
              <w:spacing w:line="276" w:lineRule="auto"/>
              <w:jc w:val="center"/>
              <w:rPr>
                <w:rFonts w:ascii="Times New Roman" w:hAnsi="Times New Roman" w:cs="Times New Roman"/>
                <w:b/>
                <w:bCs/>
                <w:sz w:val="13"/>
                <w:szCs w:val="13"/>
                <w:lang w:val="en-US"/>
              </w:rPr>
            </w:pPr>
            <w:r w:rsidRPr="00C75904">
              <w:rPr>
                <w:rFonts w:ascii="Times New Roman" w:eastAsia="Times New Roman" w:hAnsi="Times New Roman" w:cs="Times New Roman"/>
                <w:noProof/>
                <w:sz w:val="13"/>
                <w:szCs w:val="13"/>
                <w:lang w:val="en-US"/>
              </w:rPr>
              <w:t>Overlapping toes</w:t>
            </w:r>
          </w:p>
        </w:tc>
        <w:tc>
          <w:tcPr>
            <w:tcW w:w="1361" w:type="dxa"/>
            <w:vAlign w:val="center"/>
          </w:tcPr>
          <w:p w14:paraId="1B6DB132" w14:textId="77777777" w:rsidR="006419BF" w:rsidRPr="00C75904" w:rsidRDefault="006419BF" w:rsidP="008910E5">
            <w:pPr>
              <w:spacing w:line="276" w:lineRule="auto"/>
              <w:jc w:val="center"/>
              <w:rPr>
                <w:rFonts w:ascii="Times New Roman" w:eastAsia="Times New Roman" w:hAnsi="Times New Roman" w:cs="Times New Roman"/>
                <w:noProof/>
                <w:sz w:val="13"/>
                <w:szCs w:val="13"/>
                <w:lang w:val="en-US"/>
              </w:rPr>
            </w:pPr>
            <w:r w:rsidRPr="00C75904">
              <w:rPr>
                <w:rFonts w:ascii="Times New Roman" w:eastAsia="Times New Roman" w:hAnsi="Times New Roman" w:cs="Times New Roman"/>
                <w:noProof/>
                <w:sz w:val="13"/>
                <w:szCs w:val="13"/>
                <w:lang w:val="en-US"/>
              </w:rPr>
              <w:t>+</w:t>
            </w:r>
          </w:p>
        </w:tc>
        <w:tc>
          <w:tcPr>
            <w:tcW w:w="1418" w:type="dxa"/>
            <w:vAlign w:val="center"/>
          </w:tcPr>
          <w:p w14:paraId="5A338229" w14:textId="77777777" w:rsidR="006419BF" w:rsidRPr="00C75904" w:rsidRDefault="006419BF" w:rsidP="008910E5">
            <w:pPr>
              <w:spacing w:line="276" w:lineRule="auto"/>
              <w:jc w:val="center"/>
              <w:rPr>
                <w:rFonts w:ascii="Times New Roman" w:eastAsia="Times New Roman" w:hAnsi="Times New Roman" w:cs="Times New Roman"/>
                <w:noProof/>
                <w:sz w:val="13"/>
                <w:szCs w:val="13"/>
                <w:lang w:val="en-US"/>
              </w:rPr>
            </w:pPr>
            <w:r w:rsidRPr="00C75904">
              <w:rPr>
                <w:rFonts w:ascii="Times New Roman" w:eastAsia="Times New Roman" w:hAnsi="Times New Roman" w:cs="Times New Roman"/>
                <w:noProof/>
                <w:sz w:val="13"/>
                <w:szCs w:val="13"/>
                <w:lang w:val="en-US"/>
              </w:rPr>
              <w:t>+</w:t>
            </w:r>
          </w:p>
        </w:tc>
        <w:tc>
          <w:tcPr>
            <w:tcW w:w="1417" w:type="dxa"/>
            <w:vAlign w:val="center"/>
          </w:tcPr>
          <w:p w14:paraId="0515452D" w14:textId="77777777" w:rsidR="006419BF" w:rsidRPr="00C75904" w:rsidRDefault="006419BF" w:rsidP="008910E5">
            <w:pPr>
              <w:spacing w:line="276" w:lineRule="auto"/>
              <w:jc w:val="center"/>
              <w:rPr>
                <w:rFonts w:ascii="Times New Roman" w:eastAsia="Times New Roman" w:hAnsi="Times New Roman" w:cs="Times New Roman"/>
                <w:noProof/>
                <w:sz w:val="13"/>
                <w:szCs w:val="13"/>
                <w:lang w:val="en-US"/>
              </w:rPr>
            </w:pPr>
            <w:r w:rsidRPr="00C75904">
              <w:rPr>
                <w:rFonts w:ascii="Times New Roman" w:eastAsia="Times New Roman" w:hAnsi="Times New Roman" w:cs="Times New Roman"/>
                <w:noProof/>
                <w:sz w:val="13"/>
                <w:szCs w:val="13"/>
                <w:lang w:val="en-US"/>
              </w:rPr>
              <w:t>-</w:t>
            </w:r>
          </w:p>
        </w:tc>
        <w:tc>
          <w:tcPr>
            <w:tcW w:w="1559" w:type="dxa"/>
          </w:tcPr>
          <w:p w14:paraId="1C0B8081" w14:textId="77777777" w:rsidR="006419BF" w:rsidRPr="00C75904" w:rsidRDefault="006419BF" w:rsidP="008910E5">
            <w:pPr>
              <w:jc w:val="center"/>
            </w:pPr>
            <w:r w:rsidRPr="00C75904">
              <w:rPr>
                <w:rFonts w:ascii="Times New Roman" w:hAnsi="Times New Roman" w:cs="Times New Roman"/>
                <w:sz w:val="13"/>
                <w:szCs w:val="13"/>
                <w:lang w:val="en-US"/>
              </w:rPr>
              <w:t>-</w:t>
            </w:r>
          </w:p>
        </w:tc>
        <w:tc>
          <w:tcPr>
            <w:tcW w:w="1418" w:type="dxa"/>
            <w:vAlign w:val="center"/>
          </w:tcPr>
          <w:p w14:paraId="004D8E56" w14:textId="77777777" w:rsidR="006419BF" w:rsidRPr="00C75904" w:rsidRDefault="006419BF" w:rsidP="008910E5">
            <w:pPr>
              <w:spacing w:line="276" w:lineRule="auto"/>
              <w:jc w:val="center"/>
              <w:rPr>
                <w:rFonts w:ascii="Times New Roman" w:eastAsia="Times New Roman" w:hAnsi="Times New Roman" w:cs="Times New Roman"/>
                <w:noProof/>
                <w:sz w:val="13"/>
                <w:szCs w:val="13"/>
                <w:lang w:val="en-US"/>
              </w:rPr>
            </w:pPr>
            <w:r w:rsidRPr="00C75904">
              <w:rPr>
                <w:rFonts w:ascii="Times New Roman" w:eastAsia="Times New Roman" w:hAnsi="Times New Roman" w:cs="Times New Roman"/>
                <w:noProof/>
                <w:sz w:val="13"/>
                <w:szCs w:val="13"/>
                <w:lang w:val="en-US"/>
              </w:rPr>
              <w:t>+</w:t>
            </w:r>
          </w:p>
        </w:tc>
        <w:tc>
          <w:tcPr>
            <w:tcW w:w="1405" w:type="dxa"/>
            <w:vAlign w:val="center"/>
          </w:tcPr>
          <w:p w14:paraId="3A5A38EF" w14:textId="77777777" w:rsidR="006419BF" w:rsidRPr="00C75904" w:rsidRDefault="006419BF" w:rsidP="008910E5">
            <w:pPr>
              <w:spacing w:line="276" w:lineRule="auto"/>
              <w:contextualSpacing/>
              <w:jc w:val="center"/>
              <w:rPr>
                <w:rFonts w:ascii="Times New Roman" w:eastAsia="Times New Roman" w:hAnsi="Times New Roman" w:cs="Times New Roman"/>
                <w:noProof/>
                <w:sz w:val="13"/>
                <w:szCs w:val="13"/>
                <w:lang w:val="en-US"/>
              </w:rPr>
            </w:pPr>
            <w:r w:rsidRPr="00C75904">
              <w:rPr>
                <w:rFonts w:ascii="Times New Roman" w:eastAsia="Times New Roman" w:hAnsi="Times New Roman" w:cs="Times New Roman"/>
                <w:noProof/>
                <w:sz w:val="13"/>
                <w:szCs w:val="13"/>
                <w:lang w:val="en-US"/>
              </w:rPr>
              <w:t>-</w:t>
            </w:r>
          </w:p>
        </w:tc>
      </w:tr>
      <w:tr w:rsidR="006419BF" w:rsidRPr="00C75904" w14:paraId="45504D3F" w14:textId="77777777" w:rsidTr="008910E5">
        <w:tc>
          <w:tcPr>
            <w:tcW w:w="1475" w:type="dxa"/>
            <w:vAlign w:val="center"/>
          </w:tcPr>
          <w:p w14:paraId="65C2FBE8" w14:textId="77777777" w:rsidR="006419BF" w:rsidRPr="00C75904" w:rsidRDefault="006419BF" w:rsidP="008910E5">
            <w:pPr>
              <w:spacing w:line="276" w:lineRule="auto"/>
              <w:jc w:val="center"/>
              <w:rPr>
                <w:rFonts w:ascii="Times New Roman" w:hAnsi="Times New Roman" w:cs="Times New Roman"/>
                <w:sz w:val="13"/>
                <w:szCs w:val="13"/>
                <w:lang w:val="en-US"/>
              </w:rPr>
            </w:pPr>
            <w:r>
              <w:rPr>
                <w:rFonts w:ascii="Times New Roman" w:hAnsi="Times New Roman" w:cs="Times New Roman"/>
                <w:sz w:val="13"/>
                <w:szCs w:val="13"/>
                <w:lang w:val="en-US"/>
              </w:rPr>
              <w:t>Foo</w:t>
            </w:r>
            <w:r w:rsidRPr="00C75904">
              <w:rPr>
                <w:rFonts w:ascii="Times New Roman" w:hAnsi="Times New Roman" w:cs="Times New Roman"/>
                <w:sz w:val="13"/>
                <w:szCs w:val="13"/>
                <w:lang w:val="en-US"/>
              </w:rPr>
              <w:t>t contractures</w:t>
            </w:r>
          </w:p>
        </w:tc>
        <w:tc>
          <w:tcPr>
            <w:tcW w:w="1361" w:type="dxa"/>
            <w:vAlign w:val="center"/>
          </w:tcPr>
          <w:p w14:paraId="0446D36B" w14:textId="77777777" w:rsidR="006419BF" w:rsidRPr="00C75904" w:rsidRDefault="006419BF" w:rsidP="008910E5">
            <w:pPr>
              <w:spacing w:line="276" w:lineRule="auto"/>
              <w:jc w:val="center"/>
              <w:rPr>
                <w:rFonts w:ascii="Times New Roman" w:eastAsia="Times New Roman" w:hAnsi="Times New Roman" w:cs="Times New Roman"/>
                <w:noProof/>
                <w:sz w:val="13"/>
                <w:szCs w:val="13"/>
                <w:lang w:val="en-US"/>
              </w:rPr>
            </w:pPr>
            <w:r w:rsidRPr="00C75904">
              <w:rPr>
                <w:rFonts w:ascii="Times New Roman" w:eastAsia="Times New Roman" w:hAnsi="Times New Roman" w:cs="Times New Roman"/>
                <w:noProof/>
                <w:sz w:val="13"/>
                <w:szCs w:val="13"/>
                <w:lang w:val="en-US"/>
              </w:rPr>
              <w:t>+</w:t>
            </w:r>
          </w:p>
        </w:tc>
        <w:tc>
          <w:tcPr>
            <w:tcW w:w="1418" w:type="dxa"/>
            <w:vAlign w:val="center"/>
          </w:tcPr>
          <w:p w14:paraId="2C296512" w14:textId="77777777" w:rsidR="006419BF" w:rsidRPr="00C75904" w:rsidRDefault="006419BF" w:rsidP="008910E5">
            <w:pPr>
              <w:spacing w:line="276" w:lineRule="auto"/>
              <w:jc w:val="center"/>
              <w:rPr>
                <w:rFonts w:ascii="Times New Roman" w:eastAsia="Times New Roman" w:hAnsi="Times New Roman" w:cs="Times New Roman"/>
                <w:noProof/>
                <w:sz w:val="13"/>
                <w:szCs w:val="13"/>
                <w:lang w:val="en-US"/>
              </w:rPr>
            </w:pPr>
            <w:r w:rsidRPr="00C75904">
              <w:rPr>
                <w:rFonts w:ascii="Times New Roman" w:eastAsia="Times New Roman" w:hAnsi="Times New Roman" w:cs="Times New Roman"/>
                <w:noProof/>
                <w:sz w:val="13"/>
                <w:szCs w:val="13"/>
                <w:lang w:val="en-US"/>
              </w:rPr>
              <w:t>-</w:t>
            </w:r>
          </w:p>
        </w:tc>
        <w:tc>
          <w:tcPr>
            <w:tcW w:w="1417" w:type="dxa"/>
            <w:vAlign w:val="center"/>
          </w:tcPr>
          <w:p w14:paraId="4B173C07" w14:textId="77777777" w:rsidR="006419BF" w:rsidRPr="00C75904" w:rsidRDefault="006419BF" w:rsidP="008910E5">
            <w:pPr>
              <w:spacing w:line="276" w:lineRule="auto"/>
              <w:jc w:val="center"/>
              <w:rPr>
                <w:rFonts w:ascii="Times New Roman" w:eastAsia="Times New Roman" w:hAnsi="Times New Roman" w:cs="Times New Roman"/>
                <w:noProof/>
                <w:sz w:val="13"/>
                <w:szCs w:val="13"/>
                <w:lang w:val="en-US"/>
              </w:rPr>
            </w:pPr>
            <w:r w:rsidRPr="00C75904">
              <w:rPr>
                <w:rFonts w:ascii="Times New Roman" w:eastAsia="Times New Roman" w:hAnsi="Times New Roman" w:cs="Times New Roman"/>
                <w:noProof/>
                <w:sz w:val="13"/>
                <w:szCs w:val="13"/>
                <w:lang w:val="en-US"/>
              </w:rPr>
              <w:t>+</w:t>
            </w:r>
          </w:p>
        </w:tc>
        <w:tc>
          <w:tcPr>
            <w:tcW w:w="1559" w:type="dxa"/>
          </w:tcPr>
          <w:p w14:paraId="5566C63D" w14:textId="77777777" w:rsidR="006419BF" w:rsidRPr="00C75904" w:rsidRDefault="006419BF" w:rsidP="008910E5">
            <w:pPr>
              <w:jc w:val="center"/>
            </w:pPr>
            <w:r w:rsidRPr="00C75904">
              <w:rPr>
                <w:rFonts w:ascii="Times New Roman" w:hAnsi="Times New Roman" w:cs="Times New Roman"/>
                <w:sz w:val="13"/>
                <w:szCs w:val="13"/>
                <w:lang w:val="en-US"/>
              </w:rPr>
              <w:t>-</w:t>
            </w:r>
          </w:p>
        </w:tc>
        <w:tc>
          <w:tcPr>
            <w:tcW w:w="1418" w:type="dxa"/>
            <w:vAlign w:val="center"/>
          </w:tcPr>
          <w:p w14:paraId="62CFE900" w14:textId="77777777" w:rsidR="006419BF" w:rsidRPr="00C75904" w:rsidRDefault="006419BF" w:rsidP="008910E5">
            <w:pPr>
              <w:spacing w:line="276" w:lineRule="auto"/>
              <w:jc w:val="center"/>
              <w:rPr>
                <w:rFonts w:ascii="Times New Roman" w:eastAsia="Times New Roman" w:hAnsi="Times New Roman" w:cs="Times New Roman"/>
                <w:noProof/>
                <w:sz w:val="13"/>
                <w:szCs w:val="13"/>
                <w:lang w:val="en-US"/>
              </w:rPr>
            </w:pPr>
            <w:r w:rsidRPr="00C75904">
              <w:rPr>
                <w:rFonts w:ascii="Times New Roman" w:eastAsia="Times New Roman" w:hAnsi="Times New Roman" w:cs="Times New Roman"/>
                <w:noProof/>
                <w:sz w:val="13"/>
                <w:szCs w:val="13"/>
                <w:lang w:val="en-US"/>
              </w:rPr>
              <w:t>-</w:t>
            </w:r>
          </w:p>
        </w:tc>
        <w:tc>
          <w:tcPr>
            <w:tcW w:w="1405" w:type="dxa"/>
            <w:vAlign w:val="center"/>
          </w:tcPr>
          <w:p w14:paraId="5D2A92D8" w14:textId="77777777" w:rsidR="006419BF" w:rsidRPr="00C75904" w:rsidRDefault="006419BF" w:rsidP="008910E5">
            <w:pPr>
              <w:spacing w:line="276" w:lineRule="auto"/>
              <w:contextualSpacing/>
              <w:jc w:val="center"/>
              <w:rPr>
                <w:rFonts w:ascii="Times New Roman" w:eastAsia="Times New Roman" w:hAnsi="Times New Roman" w:cs="Times New Roman"/>
                <w:noProof/>
                <w:sz w:val="13"/>
                <w:szCs w:val="13"/>
                <w:lang w:val="en-US"/>
              </w:rPr>
            </w:pPr>
            <w:r w:rsidRPr="00C75904">
              <w:rPr>
                <w:rFonts w:ascii="Times New Roman" w:eastAsia="Times New Roman" w:hAnsi="Times New Roman" w:cs="Times New Roman"/>
                <w:noProof/>
                <w:sz w:val="13"/>
                <w:szCs w:val="13"/>
                <w:lang w:val="en-US"/>
              </w:rPr>
              <w:t>-</w:t>
            </w:r>
          </w:p>
        </w:tc>
      </w:tr>
    </w:tbl>
    <w:p w14:paraId="34B04F7E" w14:textId="77777777" w:rsidR="006419BF" w:rsidRPr="00C75904" w:rsidRDefault="006419BF" w:rsidP="006419BF">
      <w:pPr>
        <w:spacing w:line="480" w:lineRule="auto"/>
        <w:rPr>
          <w:rFonts w:ascii="Times New Roman" w:hAnsi="Times New Roman" w:cs="Times New Roman"/>
          <w:sz w:val="18"/>
          <w:szCs w:val="18"/>
          <w:lang w:val="en-US"/>
        </w:rPr>
      </w:pPr>
      <w:r w:rsidRPr="00C75904">
        <w:rPr>
          <w:rFonts w:ascii="Times New Roman" w:hAnsi="Times New Roman" w:cs="Times New Roman"/>
          <w:sz w:val="18"/>
          <w:szCs w:val="18"/>
          <w:lang w:val="en-US"/>
        </w:rPr>
        <w:t>Abbreviations: N/A = not available; Pt = patient.</w:t>
      </w:r>
    </w:p>
    <w:p w14:paraId="658B8F09" w14:textId="0A079DAD" w:rsidR="006419BF" w:rsidRDefault="006419BF" w:rsidP="008D134C">
      <w:pPr>
        <w:spacing w:line="480" w:lineRule="auto"/>
        <w:rPr>
          <w:rFonts w:ascii="Times New Roman" w:hAnsi="Times New Roman" w:cs="Times New Roman"/>
          <w:b/>
          <w:bCs/>
          <w:lang w:val="en-US"/>
        </w:rPr>
      </w:pPr>
    </w:p>
    <w:p w14:paraId="61389DB5" w14:textId="54071ADE" w:rsidR="006419BF" w:rsidRDefault="006419BF" w:rsidP="008D134C">
      <w:pPr>
        <w:spacing w:line="480" w:lineRule="auto"/>
        <w:rPr>
          <w:rFonts w:ascii="Times New Roman" w:hAnsi="Times New Roman" w:cs="Times New Roman"/>
          <w:b/>
          <w:bCs/>
          <w:lang w:val="en-US"/>
        </w:rPr>
      </w:pPr>
    </w:p>
    <w:p w14:paraId="2F9EA8FE" w14:textId="77777777" w:rsidR="006419BF" w:rsidRDefault="006419BF" w:rsidP="008D134C">
      <w:pPr>
        <w:spacing w:line="480" w:lineRule="auto"/>
        <w:rPr>
          <w:rFonts w:ascii="Times New Roman" w:hAnsi="Times New Roman" w:cs="Times New Roman"/>
          <w:b/>
          <w:bCs/>
          <w:lang w:val="en-US"/>
        </w:rPr>
      </w:pPr>
      <w:bookmarkStart w:id="0" w:name="_GoBack"/>
      <w:bookmarkEnd w:id="0"/>
    </w:p>
    <w:p w14:paraId="1439C299" w14:textId="432E62A8" w:rsidR="008D134C" w:rsidRPr="00C75904" w:rsidRDefault="008D134C" w:rsidP="008D134C">
      <w:pPr>
        <w:spacing w:line="480" w:lineRule="auto"/>
        <w:rPr>
          <w:rFonts w:ascii="Times New Roman" w:hAnsi="Times New Roman" w:cs="Times New Roman"/>
          <w:b/>
          <w:bCs/>
          <w:lang w:val="en-US"/>
        </w:rPr>
      </w:pPr>
      <w:r w:rsidRPr="00C75904">
        <w:rPr>
          <w:rFonts w:ascii="Times New Roman" w:hAnsi="Times New Roman" w:cs="Times New Roman"/>
          <w:b/>
          <w:bCs/>
          <w:lang w:val="en-US"/>
        </w:rPr>
        <w:t xml:space="preserve">Supplementary Table </w:t>
      </w:r>
      <w:r w:rsidR="006419BF">
        <w:rPr>
          <w:rFonts w:ascii="Times New Roman" w:hAnsi="Times New Roman" w:cs="Times New Roman"/>
          <w:b/>
          <w:bCs/>
          <w:lang w:val="en-US"/>
        </w:rPr>
        <w:t>3</w:t>
      </w:r>
      <w:r w:rsidRPr="00C75904">
        <w:rPr>
          <w:rFonts w:ascii="Times New Roman" w:hAnsi="Times New Roman" w:cs="Times New Roman"/>
          <w:b/>
          <w:bCs/>
          <w:lang w:val="en-US"/>
        </w:rPr>
        <w:t xml:space="preserve">. </w:t>
      </w:r>
      <w:r w:rsidRPr="00C75904">
        <w:rPr>
          <w:rFonts w:ascii="Times New Roman" w:hAnsi="Times New Roman" w:cs="Times New Roman"/>
          <w:b/>
          <w:bCs/>
          <w:i/>
          <w:iCs/>
          <w:lang w:val="en-US"/>
        </w:rPr>
        <w:t>In silico</w:t>
      </w:r>
      <w:r w:rsidRPr="00C75904">
        <w:rPr>
          <w:rFonts w:ascii="Times New Roman" w:hAnsi="Times New Roman" w:cs="Times New Roman"/>
          <w:b/>
          <w:bCs/>
          <w:lang w:val="en-US"/>
        </w:rPr>
        <w:t xml:space="preserve"> analysis of known </w:t>
      </w:r>
      <w:r w:rsidRPr="00C75904">
        <w:rPr>
          <w:rFonts w:ascii="Times New Roman" w:hAnsi="Times New Roman" w:cs="Times New Roman"/>
          <w:b/>
          <w:bCs/>
          <w:i/>
          <w:iCs/>
          <w:lang w:val="en-US"/>
        </w:rPr>
        <w:t>WIPI2</w:t>
      </w:r>
      <w:r w:rsidRPr="00C75904">
        <w:rPr>
          <w:rFonts w:ascii="Times New Roman" w:hAnsi="Times New Roman" w:cs="Times New Roman"/>
          <w:b/>
          <w:bCs/>
          <w:lang w:val="en-US"/>
        </w:rPr>
        <w:t xml:space="preserve"> variants.</w:t>
      </w:r>
    </w:p>
    <w:tbl>
      <w:tblPr>
        <w:tblStyle w:val="TableGrid"/>
        <w:tblW w:w="6111" w:type="pct"/>
        <w:jc w:val="center"/>
        <w:tblLayout w:type="fixed"/>
        <w:tblLook w:val="04A0" w:firstRow="1" w:lastRow="0" w:firstColumn="1" w:lastColumn="0" w:noHBand="0" w:noVBand="1"/>
      </w:tblPr>
      <w:tblGrid>
        <w:gridCol w:w="641"/>
        <w:gridCol w:w="995"/>
        <w:gridCol w:w="567"/>
        <w:gridCol w:w="567"/>
        <w:gridCol w:w="708"/>
        <w:gridCol w:w="567"/>
        <w:gridCol w:w="708"/>
        <w:gridCol w:w="565"/>
        <w:gridCol w:w="567"/>
        <w:gridCol w:w="567"/>
        <w:gridCol w:w="711"/>
        <w:gridCol w:w="708"/>
        <w:gridCol w:w="708"/>
        <w:gridCol w:w="852"/>
        <w:gridCol w:w="850"/>
        <w:gridCol w:w="708"/>
        <w:gridCol w:w="777"/>
      </w:tblGrid>
      <w:tr w:rsidR="00C75904" w:rsidRPr="00C75904" w14:paraId="758B0344" w14:textId="77777777" w:rsidTr="007F0A81">
        <w:trPr>
          <w:jc w:val="center"/>
        </w:trPr>
        <w:tc>
          <w:tcPr>
            <w:tcW w:w="272" w:type="pct"/>
            <w:tcBorders>
              <w:top w:val="nil"/>
              <w:left w:val="nil"/>
            </w:tcBorders>
            <w:shd w:val="clear" w:color="auto" w:fill="auto"/>
            <w:vAlign w:val="center"/>
          </w:tcPr>
          <w:p w14:paraId="06EB2FE4" w14:textId="77777777" w:rsidR="008D134C" w:rsidRPr="00C75904" w:rsidRDefault="008D134C" w:rsidP="007F0A81">
            <w:pPr>
              <w:jc w:val="center"/>
              <w:rPr>
                <w:rFonts w:ascii="Times New Roman" w:hAnsi="Times New Roman" w:cs="Times New Roman"/>
                <w:b/>
                <w:bCs/>
                <w:sz w:val="11"/>
                <w:szCs w:val="11"/>
                <w:lang w:val="en-US"/>
              </w:rPr>
            </w:pPr>
          </w:p>
        </w:tc>
        <w:tc>
          <w:tcPr>
            <w:tcW w:w="423" w:type="pct"/>
            <w:shd w:val="clear" w:color="auto" w:fill="F2F2F2" w:themeFill="background1" w:themeFillShade="F2"/>
            <w:vAlign w:val="center"/>
          </w:tcPr>
          <w:p w14:paraId="0798FC2C" w14:textId="77777777" w:rsidR="008D134C" w:rsidRPr="00C75904" w:rsidRDefault="003F0640" w:rsidP="007F0A81">
            <w:pPr>
              <w:jc w:val="center"/>
              <w:rPr>
                <w:rFonts w:ascii="Times New Roman" w:hAnsi="Times New Roman" w:cs="Times New Roman"/>
                <w:b/>
                <w:bCs/>
                <w:sz w:val="11"/>
                <w:szCs w:val="11"/>
                <w:lang w:val="en-US"/>
              </w:rPr>
            </w:pPr>
            <w:r w:rsidRPr="00C75904">
              <w:rPr>
                <w:rFonts w:ascii="Times New Roman" w:hAnsi="Times New Roman" w:cs="Times New Roman"/>
                <w:b/>
                <w:bCs/>
                <w:i/>
                <w:iCs/>
                <w:sz w:val="11"/>
                <w:szCs w:val="11"/>
                <w:lang w:val="en-US"/>
              </w:rPr>
              <w:t>WIPI2</w:t>
            </w:r>
            <w:r w:rsidRPr="00C75904">
              <w:rPr>
                <w:rFonts w:ascii="Times New Roman" w:hAnsi="Times New Roman" w:cs="Times New Roman"/>
                <w:b/>
                <w:bCs/>
                <w:sz w:val="11"/>
                <w:szCs w:val="11"/>
                <w:lang w:val="en-US"/>
              </w:rPr>
              <w:t xml:space="preserve"> v</w:t>
            </w:r>
            <w:r w:rsidR="008D134C" w:rsidRPr="00C75904">
              <w:rPr>
                <w:rFonts w:ascii="Times New Roman" w:hAnsi="Times New Roman" w:cs="Times New Roman"/>
                <w:b/>
                <w:bCs/>
                <w:sz w:val="11"/>
                <w:szCs w:val="11"/>
                <w:lang w:val="en-US"/>
              </w:rPr>
              <w:t>ariant</w:t>
            </w:r>
          </w:p>
          <w:p w14:paraId="130EDC42" w14:textId="77777777" w:rsidR="003972F4" w:rsidRPr="00C75904" w:rsidRDefault="003972F4" w:rsidP="007F0A81">
            <w:pPr>
              <w:jc w:val="center"/>
              <w:rPr>
                <w:rFonts w:ascii="Times New Roman" w:hAnsi="Times New Roman" w:cs="Times New Roman"/>
                <w:b/>
                <w:bCs/>
                <w:sz w:val="11"/>
                <w:szCs w:val="11"/>
                <w:lang w:val="en-US"/>
              </w:rPr>
            </w:pPr>
            <w:r w:rsidRPr="00C75904">
              <w:rPr>
                <w:rFonts w:ascii="Times New Roman" w:hAnsi="Times New Roman" w:cs="Times New Roman"/>
                <w:b/>
                <w:bCs/>
                <w:sz w:val="11"/>
                <w:szCs w:val="11"/>
                <w:lang w:val="en-US"/>
              </w:rPr>
              <w:t>(NM_ 015610.4)</w:t>
            </w:r>
          </w:p>
        </w:tc>
        <w:tc>
          <w:tcPr>
            <w:tcW w:w="241" w:type="pct"/>
            <w:shd w:val="clear" w:color="auto" w:fill="F2F2F2" w:themeFill="background1" w:themeFillShade="F2"/>
            <w:vAlign w:val="center"/>
          </w:tcPr>
          <w:p w14:paraId="3C249343" w14:textId="77777777" w:rsidR="003F0640" w:rsidRPr="00C75904" w:rsidRDefault="003F0640" w:rsidP="007F0A81">
            <w:pPr>
              <w:jc w:val="center"/>
              <w:rPr>
                <w:rFonts w:ascii="Times New Roman" w:hAnsi="Times New Roman" w:cs="Times New Roman"/>
                <w:b/>
                <w:bCs/>
                <w:sz w:val="11"/>
                <w:szCs w:val="11"/>
                <w:lang w:val="en-US"/>
              </w:rPr>
            </w:pPr>
            <w:proofErr w:type="spellStart"/>
            <w:r w:rsidRPr="00C75904">
              <w:rPr>
                <w:rFonts w:ascii="Times New Roman" w:hAnsi="Times New Roman" w:cs="Times New Roman"/>
                <w:b/>
                <w:bCs/>
                <w:sz w:val="11"/>
                <w:szCs w:val="11"/>
                <w:lang w:val="en-US"/>
              </w:rPr>
              <w:t>g</w:t>
            </w:r>
            <w:r w:rsidR="008D134C" w:rsidRPr="00C75904">
              <w:rPr>
                <w:rFonts w:ascii="Times New Roman" w:hAnsi="Times New Roman" w:cs="Times New Roman"/>
                <w:b/>
                <w:bCs/>
                <w:sz w:val="11"/>
                <w:szCs w:val="11"/>
                <w:lang w:val="en-US"/>
              </w:rPr>
              <w:t>nom</w:t>
            </w:r>
            <w:proofErr w:type="spellEnd"/>
          </w:p>
          <w:p w14:paraId="62324F86" w14:textId="77777777" w:rsidR="008D134C" w:rsidRPr="00C75904" w:rsidRDefault="008D134C" w:rsidP="007F0A81">
            <w:pPr>
              <w:jc w:val="center"/>
              <w:rPr>
                <w:rFonts w:ascii="Times New Roman" w:hAnsi="Times New Roman" w:cs="Times New Roman"/>
                <w:b/>
                <w:bCs/>
                <w:sz w:val="11"/>
                <w:szCs w:val="11"/>
                <w:lang w:val="en-US"/>
              </w:rPr>
            </w:pPr>
            <w:r w:rsidRPr="00C75904">
              <w:rPr>
                <w:rFonts w:ascii="Times New Roman" w:hAnsi="Times New Roman" w:cs="Times New Roman"/>
                <w:b/>
                <w:bCs/>
                <w:sz w:val="11"/>
                <w:szCs w:val="11"/>
                <w:lang w:val="en-US"/>
              </w:rPr>
              <w:t>AD</w:t>
            </w:r>
          </w:p>
        </w:tc>
        <w:tc>
          <w:tcPr>
            <w:tcW w:w="241" w:type="pct"/>
            <w:shd w:val="clear" w:color="auto" w:fill="F2F2F2" w:themeFill="background1" w:themeFillShade="F2"/>
            <w:vAlign w:val="center"/>
          </w:tcPr>
          <w:p w14:paraId="3F21ADE2" w14:textId="77777777" w:rsidR="008D134C" w:rsidRPr="00C75904" w:rsidRDefault="008D134C" w:rsidP="007F0A81">
            <w:pPr>
              <w:jc w:val="center"/>
              <w:rPr>
                <w:rFonts w:ascii="Times New Roman" w:hAnsi="Times New Roman" w:cs="Times New Roman"/>
                <w:b/>
                <w:bCs/>
                <w:sz w:val="11"/>
                <w:szCs w:val="11"/>
                <w:lang w:val="en-US"/>
              </w:rPr>
            </w:pPr>
            <w:proofErr w:type="spellStart"/>
            <w:r w:rsidRPr="00C75904">
              <w:rPr>
                <w:rFonts w:ascii="Times New Roman" w:hAnsi="Times New Roman" w:cs="Times New Roman"/>
                <w:b/>
                <w:bCs/>
                <w:sz w:val="11"/>
                <w:szCs w:val="11"/>
                <w:lang w:val="en-US"/>
              </w:rPr>
              <w:t>dbSNP</w:t>
            </w:r>
            <w:proofErr w:type="spellEnd"/>
          </w:p>
        </w:tc>
        <w:tc>
          <w:tcPr>
            <w:tcW w:w="301" w:type="pct"/>
            <w:shd w:val="clear" w:color="auto" w:fill="F2F2F2" w:themeFill="background1" w:themeFillShade="F2"/>
            <w:vAlign w:val="center"/>
          </w:tcPr>
          <w:p w14:paraId="0A1887A7" w14:textId="77777777" w:rsidR="008D134C" w:rsidRPr="00C75904" w:rsidRDefault="008D134C" w:rsidP="007F0A81">
            <w:pPr>
              <w:jc w:val="center"/>
              <w:rPr>
                <w:rFonts w:ascii="Times New Roman" w:hAnsi="Times New Roman" w:cs="Times New Roman"/>
                <w:b/>
                <w:bCs/>
                <w:sz w:val="11"/>
                <w:szCs w:val="11"/>
                <w:lang w:val="en-US"/>
              </w:rPr>
            </w:pPr>
            <w:proofErr w:type="spellStart"/>
            <w:r w:rsidRPr="00C75904">
              <w:rPr>
                <w:rFonts w:ascii="Times New Roman" w:hAnsi="Times New Roman" w:cs="Times New Roman"/>
                <w:b/>
                <w:bCs/>
                <w:sz w:val="11"/>
                <w:szCs w:val="11"/>
                <w:lang w:val="en-US"/>
              </w:rPr>
              <w:t>Iranome</w:t>
            </w:r>
            <w:proofErr w:type="spellEnd"/>
          </w:p>
        </w:tc>
        <w:tc>
          <w:tcPr>
            <w:tcW w:w="241" w:type="pct"/>
            <w:shd w:val="clear" w:color="auto" w:fill="F2F2F2" w:themeFill="background1" w:themeFillShade="F2"/>
            <w:vAlign w:val="center"/>
          </w:tcPr>
          <w:p w14:paraId="6A18CF42" w14:textId="77777777" w:rsidR="008D134C" w:rsidRPr="00C75904" w:rsidRDefault="008D134C" w:rsidP="007F0A81">
            <w:pPr>
              <w:jc w:val="center"/>
              <w:rPr>
                <w:rFonts w:ascii="Times New Roman" w:hAnsi="Times New Roman" w:cs="Times New Roman"/>
                <w:b/>
                <w:bCs/>
                <w:sz w:val="11"/>
                <w:szCs w:val="11"/>
                <w:lang w:val="en-US"/>
              </w:rPr>
            </w:pPr>
            <w:r w:rsidRPr="00C75904">
              <w:rPr>
                <w:rFonts w:ascii="Times New Roman" w:hAnsi="Times New Roman" w:cs="Times New Roman"/>
                <w:b/>
                <w:bCs/>
                <w:sz w:val="11"/>
                <w:szCs w:val="11"/>
                <w:lang w:val="en-US"/>
              </w:rPr>
              <w:t>GME</w:t>
            </w:r>
          </w:p>
        </w:tc>
        <w:tc>
          <w:tcPr>
            <w:tcW w:w="301" w:type="pct"/>
            <w:shd w:val="clear" w:color="auto" w:fill="F2F2F2" w:themeFill="background1" w:themeFillShade="F2"/>
            <w:vAlign w:val="center"/>
          </w:tcPr>
          <w:p w14:paraId="54D3FCA7" w14:textId="77777777" w:rsidR="008D134C" w:rsidRPr="00C75904" w:rsidRDefault="008D134C" w:rsidP="007F0A81">
            <w:pPr>
              <w:jc w:val="center"/>
              <w:rPr>
                <w:rFonts w:ascii="Times New Roman" w:hAnsi="Times New Roman" w:cs="Times New Roman"/>
                <w:b/>
                <w:bCs/>
                <w:sz w:val="11"/>
                <w:szCs w:val="11"/>
                <w:lang w:val="en-US"/>
              </w:rPr>
            </w:pPr>
            <w:r w:rsidRPr="00C75904">
              <w:rPr>
                <w:rFonts w:ascii="Times New Roman" w:hAnsi="Times New Roman" w:cs="Times New Roman"/>
                <w:b/>
                <w:bCs/>
                <w:sz w:val="11"/>
                <w:szCs w:val="11"/>
                <w:lang w:val="en-US"/>
              </w:rPr>
              <w:t>In-house databas</w:t>
            </w:r>
            <w:r w:rsidR="004D628B" w:rsidRPr="00C75904">
              <w:rPr>
                <w:rFonts w:ascii="Times New Roman" w:hAnsi="Times New Roman" w:cs="Times New Roman"/>
                <w:b/>
                <w:bCs/>
                <w:sz w:val="11"/>
                <w:szCs w:val="11"/>
                <w:lang w:val="en-US"/>
              </w:rPr>
              <w:t>e</w:t>
            </w:r>
            <w:r w:rsidR="003B13D3" w:rsidRPr="00C75904">
              <w:rPr>
                <w:rFonts w:ascii="Times New Roman" w:hAnsi="Times New Roman" w:cs="Times New Roman"/>
                <w:b/>
                <w:bCs/>
                <w:sz w:val="11"/>
                <w:szCs w:val="11"/>
                <w:lang w:val="en-US"/>
              </w:rPr>
              <w:t>†</w:t>
            </w:r>
          </w:p>
        </w:tc>
        <w:tc>
          <w:tcPr>
            <w:tcW w:w="240" w:type="pct"/>
            <w:shd w:val="clear" w:color="auto" w:fill="F2F2F2" w:themeFill="background1" w:themeFillShade="F2"/>
            <w:vAlign w:val="center"/>
          </w:tcPr>
          <w:p w14:paraId="63907F2A" w14:textId="77777777" w:rsidR="008D134C" w:rsidRPr="00C75904" w:rsidRDefault="008D134C" w:rsidP="007F0A81">
            <w:pPr>
              <w:jc w:val="center"/>
              <w:rPr>
                <w:rFonts w:ascii="Times New Roman" w:hAnsi="Times New Roman" w:cs="Times New Roman"/>
                <w:b/>
                <w:bCs/>
                <w:sz w:val="11"/>
                <w:szCs w:val="11"/>
                <w:lang w:val="en-US"/>
              </w:rPr>
            </w:pPr>
            <w:r w:rsidRPr="00C75904">
              <w:rPr>
                <w:rFonts w:ascii="Times New Roman" w:hAnsi="Times New Roman" w:cs="Times New Roman"/>
                <w:b/>
                <w:bCs/>
                <w:sz w:val="11"/>
                <w:szCs w:val="11"/>
                <w:lang w:val="en-US"/>
              </w:rPr>
              <w:t>GERP</w:t>
            </w:r>
          </w:p>
        </w:tc>
        <w:tc>
          <w:tcPr>
            <w:tcW w:w="241" w:type="pct"/>
            <w:shd w:val="clear" w:color="auto" w:fill="F2F2F2" w:themeFill="background1" w:themeFillShade="F2"/>
            <w:vAlign w:val="center"/>
          </w:tcPr>
          <w:p w14:paraId="396B48B2" w14:textId="77777777" w:rsidR="008D134C" w:rsidRPr="00C75904" w:rsidRDefault="008D134C" w:rsidP="007F0A81">
            <w:pPr>
              <w:jc w:val="center"/>
              <w:rPr>
                <w:rFonts w:ascii="Times New Roman" w:hAnsi="Times New Roman" w:cs="Times New Roman"/>
                <w:b/>
                <w:bCs/>
                <w:sz w:val="11"/>
                <w:szCs w:val="11"/>
                <w:lang w:val="en-US"/>
              </w:rPr>
            </w:pPr>
            <w:r w:rsidRPr="00C75904">
              <w:rPr>
                <w:rFonts w:ascii="Times New Roman" w:hAnsi="Times New Roman" w:cs="Times New Roman"/>
                <w:b/>
                <w:bCs/>
                <w:sz w:val="11"/>
                <w:szCs w:val="11"/>
                <w:lang w:val="en-US"/>
              </w:rPr>
              <w:t>CADD</w:t>
            </w:r>
          </w:p>
        </w:tc>
        <w:tc>
          <w:tcPr>
            <w:tcW w:w="241" w:type="pct"/>
            <w:shd w:val="clear" w:color="auto" w:fill="F2F2F2" w:themeFill="background1" w:themeFillShade="F2"/>
            <w:vAlign w:val="center"/>
          </w:tcPr>
          <w:p w14:paraId="63D0B7B8" w14:textId="77777777" w:rsidR="008D134C" w:rsidRPr="00C75904" w:rsidRDefault="008D134C" w:rsidP="007F0A81">
            <w:pPr>
              <w:jc w:val="center"/>
              <w:rPr>
                <w:rFonts w:ascii="Times New Roman" w:hAnsi="Times New Roman" w:cs="Times New Roman"/>
                <w:b/>
                <w:bCs/>
                <w:sz w:val="11"/>
                <w:szCs w:val="11"/>
                <w:lang w:val="en-US"/>
              </w:rPr>
            </w:pPr>
            <w:r w:rsidRPr="00C75904">
              <w:rPr>
                <w:rFonts w:ascii="Times New Roman" w:hAnsi="Times New Roman" w:cs="Times New Roman"/>
                <w:b/>
                <w:bCs/>
                <w:sz w:val="11"/>
                <w:szCs w:val="11"/>
                <w:lang w:val="en-US"/>
              </w:rPr>
              <w:t>SIFT</w:t>
            </w:r>
          </w:p>
        </w:tc>
        <w:tc>
          <w:tcPr>
            <w:tcW w:w="302" w:type="pct"/>
            <w:shd w:val="clear" w:color="auto" w:fill="F2F2F2" w:themeFill="background1" w:themeFillShade="F2"/>
            <w:vAlign w:val="center"/>
          </w:tcPr>
          <w:p w14:paraId="5924ECA0" w14:textId="77777777" w:rsidR="008D134C" w:rsidRPr="00C75904" w:rsidRDefault="008D134C" w:rsidP="007F0A81">
            <w:pPr>
              <w:jc w:val="center"/>
              <w:rPr>
                <w:rFonts w:ascii="Times New Roman" w:hAnsi="Times New Roman" w:cs="Times New Roman"/>
                <w:b/>
                <w:bCs/>
                <w:sz w:val="11"/>
                <w:szCs w:val="11"/>
                <w:lang w:val="en-US"/>
              </w:rPr>
            </w:pPr>
            <w:r w:rsidRPr="00C75904">
              <w:rPr>
                <w:rFonts w:ascii="Times New Roman" w:hAnsi="Times New Roman" w:cs="Times New Roman"/>
                <w:b/>
                <w:bCs/>
                <w:sz w:val="11"/>
                <w:szCs w:val="11"/>
                <w:lang w:val="en-US"/>
              </w:rPr>
              <w:t>Polyphen2</w:t>
            </w:r>
          </w:p>
        </w:tc>
        <w:tc>
          <w:tcPr>
            <w:tcW w:w="301" w:type="pct"/>
            <w:shd w:val="clear" w:color="auto" w:fill="F2F2F2" w:themeFill="background1" w:themeFillShade="F2"/>
            <w:vAlign w:val="center"/>
          </w:tcPr>
          <w:p w14:paraId="7896ADB5" w14:textId="77777777" w:rsidR="008D134C" w:rsidRPr="00C75904" w:rsidRDefault="008D134C" w:rsidP="007F0A81">
            <w:pPr>
              <w:jc w:val="center"/>
              <w:rPr>
                <w:rFonts w:ascii="Times New Roman" w:hAnsi="Times New Roman" w:cs="Times New Roman"/>
                <w:b/>
                <w:bCs/>
                <w:sz w:val="11"/>
                <w:szCs w:val="11"/>
                <w:lang w:val="en-US"/>
              </w:rPr>
            </w:pPr>
            <w:r w:rsidRPr="00C75904">
              <w:rPr>
                <w:rFonts w:ascii="Times New Roman" w:hAnsi="Times New Roman" w:cs="Times New Roman"/>
                <w:b/>
                <w:bCs/>
                <w:sz w:val="11"/>
                <w:szCs w:val="11"/>
                <w:lang w:val="en-US"/>
              </w:rPr>
              <w:t>Mutation Taster</w:t>
            </w:r>
          </w:p>
        </w:tc>
        <w:tc>
          <w:tcPr>
            <w:tcW w:w="301" w:type="pct"/>
            <w:shd w:val="clear" w:color="auto" w:fill="F2F2F2" w:themeFill="background1" w:themeFillShade="F2"/>
            <w:vAlign w:val="center"/>
          </w:tcPr>
          <w:p w14:paraId="4792F50F" w14:textId="77777777" w:rsidR="008D134C" w:rsidRPr="00C75904" w:rsidRDefault="008D134C" w:rsidP="007F0A81">
            <w:pPr>
              <w:jc w:val="center"/>
              <w:rPr>
                <w:rFonts w:ascii="Times New Roman" w:hAnsi="Times New Roman" w:cs="Times New Roman"/>
                <w:b/>
                <w:bCs/>
                <w:sz w:val="11"/>
                <w:szCs w:val="11"/>
                <w:lang w:val="en-US"/>
              </w:rPr>
            </w:pPr>
            <w:r w:rsidRPr="00C75904">
              <w:rPr>
                <w:rFonts w:ascii="Times New Roman" w:hAnsi="Times New Roman" w:cs="Times New Roman"/>
                <w:b/>
                <w:bCs/>
                <w:sz w:val="11"/>
                <w:szCs w:val="11"/>
                <w:lang w:val="en-US"/>
              </w:rPr>
              <w:t>Mutation Assessor</w:t>
            </w:r>
          </w:p>
        </w:tc>
        <w:tc>
          <w:tcPr>
            <w:tcW w:w="362" w:type="pct"/>
            <w:shd w:val="clear" w:color="auto" w:fill="F2F2F2" w:themeFill="background1" w:themeFillShade="F2"/>
            <w:vAlign w:val="center"/>
          </w:tcPr>
          <w:p w14:paraId="6BD02779" w14:textId="77777777" w:rsidR="008D134C" w:rsidRPr="00C75904" w:rsidRDefault="008D134C" w:rsidP="007F0A81">
            <w:pPr>
              <w:jc w:val="center"/>
              <w:rPr>
                <w:rFonts w:ascii="Times New Roman" w:hAnsi="Times New Roman" w:cs="Times New Roman"/>
                <w:b/>
                <w:bCs/>
                <w:sz w:val="11"/>
                <w:szCs w:val="11"/>
                <w:lang w:val="en-US"/>
              </w:rPr>
            </w:pPr>
            <w:r w:rsidRPr="00C75904">
              <w:rPr>
                <w:rFonts w:ascii="Times New Roman" w:hAnsi="Times New Roman" w:cs="Times New Roman"/>
                <w:b/>
                <w:bCs/>
                <w:sz w:val="11"/>
                <w:szCs w:val="11"/>
                <w:lang w:val="en-US"/>
              </w:rPr>
              <w:t>FATHMM-MKL</w:t>
            </w:r>
          </w:p>
        </w:tc>
        <w:tc>
          <w:tcPr>
            <w:tcW w:w="361" w:type="pct"/>
            <w:shd w:val="clear" w:color="auto" w:fill="F2F2F2" w:themeFill="background1" w:themeFillShade="F2"/>
            <w:vAlign w:val="center"/>
          </w:tcPr>
          <w:p w14:paraId="2B8743CB" w14:textId="77777777" w:rsidR="008D134C" w:rsidRPr="00C75904" w:rsidRDefault="008D134C" w:rsidP="007F0A81">
            <w:pPr>
              <w:jc w:val="center"/>
              <w:rPr>
                <w:rFonts w:ascii="Times New Roman" w:hAnsi="Times New Roman" w:cs="Times New Roman"/>
                <w:b/>
                <w:bCs/>
                <w:sz w:val="11"/>
                <w:szCs w:val="11"/>
                <w:lang w:val="en-US"/>
              </w:rPr>
            </w:pPr>
            <w:r w:rsidRPr="00C75904">
              <w:rPr>
                <w:rFonts w:ascii="Times New Roman" w:hAnsi="Times New Roman" w:cs="Times New Roman"/>
                <w:b/>
                <w:bCs/>
                <w:sz w:val="11"/>
                <w:szCs w:val="11"/>
                <w:lang w:val="en-US"/>
              </w:rPr>
              <w:t>PROVEAN</w:t>
            </w:r>
          </w:p>
        </w:tc>
        <w:tc>
          <w:tcPr>
            <w:tcW w:w="301" w:type="pct"/>
            <w:shd w:val="clear" w:color="auto" w:fill="F2F2F2" w:themeFill="background1" w:themeFillShade="F2"/>
            <w:vAlign w:val="center"/>
          </w:tcPr>
          <w:p w14:paraId="7F409FE1" w14:textId="77777777" w:rsidR="008D134C" w:rsidRPr="00C75904" w:rsidRDefault="008D134C" w:rsidP="007F0A81">
            <w:pPr>
              <w:jc w:val="center"/>
              <w:rPr>
                <w:rFonts w:ascii="Times New Roman" w:hAnsi="Times New Roman" w:cs="Times New Roman"/>
                <w:b/>
                <w:bCs/>
                <w:sz w:val="11"/>
                <w:szCs w:val="11"/>
                <w:lang w:val="en-US"/>
              </w:rPr>
            </w:pPr>
            <w:r w:rsidRPr="00C75904">
              <w:rPr>
                <w:rFonts w:ascii="Times New Roman" w:hAnsi="Times New Roman" w:cs="Times New Roman"/>
                <w:b/>
                <w:bCs/>
                <w:sz w:val="11"/>
                <w:szCs w:val="11"/>
                <w:lang w:val="en-US"/>
              </w:rPr>
              <w:t>REVEL</w:t>
            </w:r>
          </w:p>
        </w:tc>
        <w:tc>
          <w:tcPr>
            <w:tcW w:w="331" w:type="pct"/>
            <w:shd w:val="clear" w:color="auto" w:fill="F2F2F2" w:themeFill="background1" w:themeFillShade="F2"/>
            <w:vAlign w:val="center"/>
          </w:tcPr>
          <w:p w14:paraId="6D427279" w14:textId="77777777" w:rsidR="008D134C" w:rsidRPr="00C75904" w:rsidRDefault="008D134C" w:rsidP="007F0A81">
            <w:pPr>
              <w:jc w:val="center"/>
              <w:rPr>
                <w:rFonts w:ascii="Times New Roman" w:hAnsi="Times New Roman" w:cs="Times New Roman"/>
                <w:b/>
                <w:bCs/>
                <w:sz w:val="11"/>
                <w:szCs w:val="11"/>
                <w:lang w:val="en-US"/>
              </w:rPr>
            </w:pPr>
            <w:r w:rsidRPr="00C75904">
              <w:rPr>
                <w:rFonts w:ascii="Times New Roman" w:hAnsi="Times New Roman" w:cs="Times New Roman"/>
                <w:b/>
                <w:bCs/>
                <w:sz w:val="11"/>
                <w:szCs w:val="11"/>
                <w:lang w:val="en-US"/>
              </w:rPr>
              <w:t>ACMG class</w:t>
            </w:r>
          </w:p>
          <w:p w14:paraId="292E6FFD" w14:textId="77777777" w:rsidR="003B13D3" w:rsidRPr="00C75904" w:rsidRDefault="003B13D3" w:rsidP="007F0A81">
            <w:pPr>
              <w:jc w:val="center"/>
              <w:rPr>
                <w:rFonts w:ascii="Times New Roman" w:hAnsi="Times New Roman" w:cs="Times New Roman"/>
                <w:b/>
                <w:bCs/>
                <w:sz w:val="11"/>
                <w:szCs w:val="11"/>
                <w:lang w:val="en-US"/>
              </w:rPr>
            </w:pPr>
            <w:r w:rsidRPr="00C75904">
              <w:rPr>
                <w:rFonts w:ascii="Times New Roman" w:hAnsi="Times New Roman" w:cs="Times New Roman"/>
                <w:b/>
                <w:bCs/>
                <w:sz w:val="11"/>
                <w:szCs w:val="11"/>
                <w:lang w:val="en-US"/>
              </w:rPr>
              <w:t>(criteria)</w:t>
            </w:r>
          </w:p>
        </w:tc>
      </w:tr>
      <w:tr w:rsidR="00C75904" w:rsidRPr="00C75904" w14:paraId="19DBECD8" w14:textId="77777777" w:rsidTr="007F0A81">
        <w:trPr>
          <w:jc w:val="center"/>
        </w:trPr>
        <w:tc>
          <w:tcPr>
            <w:tcW w:w="272" w:type="pct"/>
            <w:shd w:val="clear" w:color="auto" w:fill="F2F2F2" w:themeFill="background1" w:themeFillShade="F2"/>
            <w:vAlign w:val="center"/>
          </w:tcPr>
          <w:p w14:paraId="7109370B" w14:textId="77777777" w:rsidR="008D134C" w:rsidRPr="00C75904" w:rsidRDefault="008D134C" w:rsidP="007F0A81">
            <w:pPr>
              <w:jc w:val="center"/>
              <w:rPr>
                <w:rFonts w:ascii="Times New Roman" w:hAnsi="Times New Roman" w:cs="Times New Roman"/>
                <w:b/>
                <w:bCs/>
                <w:sz w:val="11"/>
                <w:szCs w:val="11"/>
                <w:lang w:val="en-US"/>
              </w:rPr>
            </w:pPr>
            <w:r w:rsidRPr="00C75904">
              <w:rPr>
                <w:rFonts w:ascii="Times New Roman" w:hAnsi="Times New Roman" w:cs="Times New Roman"/>
                <w:b/>
                <w:bCs/>
                <w:sz w:val="11"/>
                <w:szCs w:val="11"/>
                <w:lang w:val="en-US"/>
              </w:rPr>
              <w:t>Jelani et al., 2019</w:t>
            </w:r>
          </w:p>
        </w:tc>
        <w:tc>
          <w:tcPr>
            <w:tcW w:w="423" w:type="pct"/>
            <w:vAlign w:val="center"/>
          </w:tcPr>
          <w:p w14:paraId="09919E34" w14:textId="77777777" w:rsidR="008D134C" w:rsidRPr="00C75904" w:rsidRDefault="008D134C"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c.745G&gt;A; p.(Val249Met)</w:t>
            </w:r>
          </w:p>
        </w:tc>
        <w:tc>
          <w:tcPr>
            <w:tcW w:w="241" w:type="pct"/>
            <w:vAlign w:val="center"/>
          </w:tcPr>
          <w:p w14:paraId="326EF873" w14:textId="77777777" w:rsidR="008D134C" w:rsidRPr="00C75904" w:rsidRDefault="004D628B"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0.000007213 (2 het)</w:t>
            </w:r>
          </w:p>
        </w:tc>
        <w:tc>
          <w:tcPr>
            <w:tcW w:w="241" w:type="pct"/>
            <w:vAlign w:val="center"/>
          </w:tcPr>
          <w:p w14:paraId="663E1929" w14:textId="77777777" w:rsidR="008D134C" w:rsidRPr="00C75904" w:rsidRDefault="00AD0B87"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rs756429763</w:t>
            </w:r>
          </w:p>
        </w:tc>
        <w:tc>
          <w:tcPr>
            <w:tcW w:w="301" w:type="pct"/>
            <w:vAlign w:val="center"/>
          </w:tcPr>
          <w:p w14:paraId="77581B60" w14:textId="77777777" w:rsidR="008D134C" w:rsidRPr="00C75904" w:rsidRDefault="00AD0B87"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w:t>
            </w:r>
          </w:p>
        </w:tc>
        <w:tc>
          <w:tcPr>
            <w:tcW w:w="241" w:type="pct"/>
            <w:vAlign w:val="center"/>
          </w:tcPr>
          <w:p w14:paraId="0A1F17C8" w14:textId="77777777" w:rsidR="008D134C" w:rsidRPr="00C75904" w:rsidRDefault="00AD0B87"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w:t>
            </w:r>
          </w:p>
        </w:tc>
        <w:tc>
          <w:tcPr>
            <w:tcW w:w="301" w:type="pct"/>
            <w:vAlign w:val="center"/>
          </w:tcPr>
          <w:p w14:paraId="65E00854" w14:textId="77777777" w:rsidR="008D134C" w:rsidRPr="00C75904" w:rsidRDefault="003B13D3"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w:t>
            </w:r>
          </w:p>
        </w:tc>
        <w:tc>
          <w:tcPr>
            <w:tcW w:w="240" w:type="pct"/>
            <w:vAlign w:val="center"/>
          </w:tcPr>
          <w:p w14:paraId="5EAC72F4" w14:textId="77777777" w:rsidR="008D134C" w:rsidRPr="00C75904" w:rsidRDefault="004D628B"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5.57</w:t>
            </w:r>
          </w:p>
        </w:tc>
        <w:tc>
          <w:tcPr>
            <w:tcW w:w="241" w:type="pct"/>
            <w:vAlign w:val="center"/>
          </w:tcPr>
          <w:p w14:paraId="18C2DED3" w14:textId="77777777" w:rsidR="008D134C" w:rsidRPr="00C75904" w:rsidRDefault="004D628B"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25.8</w:t>
            </w:r>
          </w:p>
        </w:tc>
        <w:tc>
          <w:tcPr>
            <w:tcW w:w="241" w:type="pct"/>
            <w:vAlign w:val="center"/>
          </w:tcPr>
          <w:p w14:paraId="06EAF283" w14:textId="77777777" w:rsidR="008D134C" w:rsidRPr="00C75904" w:rsidRDefault="004D628B"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D</w:t>
            </w:r>
          </w:p>
          <w:p w14:paraId="7E66455B" w14:textId="77777777" w:rsidR="004D628B" w:rsidRPr="00C75904" w:rsidRDefault="004D628B"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(0.001)</w:t>
            </w:r>
          </w:p>
        </w:tc>
        <w:tc>
          <w:tcPr>
            <w:tcW w:w="302" w:type="pct"/>
            <w:vAlign w:val="center"/>
          </w:tcPr>
          <w:p w14:paraId="347FB5FC" w14:textId="77777777" w:rsidR="008D134C" w:rsidRPr="00C75904" w:rsidRDefault="00CB229B"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PD</w:t>
            </w:r>
          </w:p>
          <w:p w14:paraId="22755D30" w14:textId="77777777" w:rsidR="00CB229B" w:rsidRPr="00C75904" w:rsidRDefault="00CB229B"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(1)</w:t>
            </w:r>
          </w:p>
        </w:tc>
        <w:tc>
          <w:tcPr>
            <w:tcW w:w="301" w:type="pct"/>
            <w:vAlign w:val="center"/>
          </w:tcPr>
          <w:p w14:paraId="0B84CFB6" w14:textId="77777777" w:rsidR="004D628B" w:rsidRPr="00C75904" w:rsidRDefault="004D628B"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DC</w:t>
            </w:r>
          </w:p>
          <w:p w14:paraId="0121215C" w14:textId="77777777" w:rsidR="008D134C" w:rsidRPr="00C75904" w:rsidRDefault="004D628B"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(1)</w:t>
            </w:r>
          </w:p>
        </w:tc>
        <w:tc>
          <w:tcPr>
            <w:tcW w:w="301" w:type="pct"/>
            <w:vAlign w:val="center"/>
          </w:tcPr>
          <w:p w14:paraId="6F096849" w14:textId="77777777" w:rsidR="008D134C" w:rsidRPr="00C75904" w:rsidRDefault="004D628B"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Medium (3.48)</w:t>
            </w:r>
          </w:p>
        </w:tc>
        <w:tc>
          <w:tcPr>
            <w:tcW w:w="362" w:type="pct"/>
            <w:vAlign w:val="center"/>
          </w:tcPr>
          <w:p w14:paraId="56F2BC9E" w14:textId="77777777" w:rsidR="004D628B" w:rsidRPr="00C75904" w:rsidRDefault="004D628B"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D</w:t>
            </w:r>
          </w:p>
          <w:p w14:paraId="393AE7C5" w14:textId="77777777" w:rsidR="008D134C" w:rsidRPr="00C75904" w:rsidRDefault="004D628B"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(0.9942)</w:t>
            </w:r>
          </w:p>
        </w:tc>
        <w:tc>
          <w:tcPr>
            <w:tcW w:w="361" w:type="pct"/>
            <w:vAlign w:val="center"/>
          </w:tcPr>
          <w:p w14:paraId="23DA3966" w14:textId="77777777" w:rsidR="008D134C" w:rsidRPr="00C75904" w:rsidRDefault="004D628B"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D</w:t>
            </w:r>
          </w:p>
          <w:p w14:paraId="05D8C6D0" w14:textId="77777777" w:rsidR="004D628B" w:rsidRPr="00C75904" w:rsidRDefault="004D628B"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(-2.57)</w:t>
            </w:r>
          </w:p>
        </w:tc>
        <w:tc>
          <w:tcPr>
            <w:tcW w:w="301" w:type="pct"/>
            <w:vAlign w:val="center"/>
          </w:tcPr>
          <w:p w14:paraId="684FDB59" w14:textId="77777777" w:rsidR="004D628B" w:rsidRPr="00C75904" w:rsidRDefault="004D628B"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P (0.6779)</w:t>
            </w:r>
          </w:p>
        </w:tc>
        <w:tc>
          <w:tcPr>
            <w:tcW w:w="331" w:type="pct"/>
            <w:vAlign w:val="center"/>
          </w:tcPr>
          <w:p w14:paraId="5A9ED19A" w14:textId="77777777" w:rsidR="008D134C" w:rsidRPr="00C75904" w:rsidRDefault="003B13D3"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V (PS3, PM1-2, PP1, PP3)</w:t>
            </w:r>
          </w:p>
        </w:tc>
      </w:tr>
      <w:tr w:rsidR="00C75904" w:rsidRPr="00C75904" w14:paraId="07939956" w14:textId="77777777" w:rsidTr="007F0A81">
        <w:trPr>
          <w:trHeight w:val="432"/>
          <w:jc w:val="center"/>
        </w:trPr>
        <w:tc>
          <w:tcPr>
            <w:tcW w:w="272" w:type="pct"/>
            <w:shd w:val="clear" w:color="auto" w:fill="F2F2F2" w:themeFill="background1" w:themeFillShade="F2"/>
            <w:vAlign w:val="center"/>
          </w:tcPr>
          <w:p w14:paraId="2519E387" w14:textId="77777777" w:rsidR="008D134C" w:rsidRPr="00C75904" w:rsidRDefault="008D134C" w:rsidP="007F0A81">
            <w:pPr>
              <w:jc w:val="center"/>
              <w:rPr>
                <w:rFonts w:ascii="Times New Roman" w:hAnsi="Times New Roman" w:cs="Times New Roman"/>
                <w:b/>
                <w:bCs/>
                <w:sz w:val="11"/>
                <w:szCs w:val="11"/>
                <w:lang w:val="en-US"/>
              </w:rPr>
            </w:pPr>
            <w:r w:rsidRPr="00C75904">
              <w:rPr>
                <w:rFonts w:ascii="Times New Roman" w:hAnsi="Times New Roman" w:cs="Times New Roman"/>
                <w:b/>
                <w:bCs/>
                <w:sz w:val="11"/>
                <w:szCs w:val="11"/>
                <w:lang w:val="en-US"/>
              </w:rPr>
              <w:t>This study</w:t>
            </w:r>
          </w:p>
          <w:p w14:paraId="6D3A6956" w14:textId="77777777" w:rsidR="00DC1E56" w:rsidRPr="00C75904" w:rsidRDefault="00DC1E56" w:rsidP="007F0A81">
            <w:pPr>
              <w:jc w:val="center"/>
              <w:rPr>
                <w:rFonts w:ascii="Times New Roman" w:hAnsi="Times New Roman" w:cs="Times New Roman"/>
                <w:b/>
                <w:bCs/>
                <w:sz w:val="11"/>
                <w:szCs w:val="11"/>
                <w:lang w:val="en-US"/>
              </w:rPr>
            </w:pPr>
            <w:r w:rsidRPr="00C75904">
              <w:rPr>
                <w:rFonts w:ascii="Times New Roman" w:hAnsi="Times New Roman" w:cs="Times New Roman"/>
                <w:b/>
                <w:bCs/>
                <w:sz w:val="11"/>
                <w:szCs w:val="11"/>
                <w:lang w:val="en-US"/>
              </w:rPr>
              <w:t>(Family I)</w:t>
            </w:r>
          </w:p>
        </w:tc>
        <w:tc>
          <w:tcPr>
            <w:tcW w:w="423" w:type="pct"/>
            <w:vAlign w:val="center"/>
          </w:tcPr>
          <w:p w14:paraId="74E80A64" w14:textId="77777777" w:rsidR="008D134C" w:rsidRPr="00C75904" w:rsidRDefault="008D134C"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c.551T&gt;G; p.(Val184Gly)</w:t>
            </w:r>
          </w:p>
        </w:tc>
        <w:tc>
          <w:tcPr>
            <w:tcW w:w="241" w:type="pct"/>
            <w:vAlign w:val="center"/>
          </w:tcPr>
          <w:p w14:paraId="04E38BCD" w14:textId="77777777" w:rsidR="008D134C" w:rsidRPr="00C75904" w:rsidRDefault="005F303D"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w:t>
            </w:r>
          </w:p>
        </w:tc>
        <w:tc>
          <w:tcPr>
            <w:tcW w:w="241" w:type="pct"/>
            <w:vAlign w:val="center"/>
          </w:tcPr>
          <w:p w14:paraId="2876F97C" w14:textId="77777777" w:rsidR="008D134C" w:rsidRPr="00C75904" w:rsidRDefault="00AD0B87"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w:t>
            </w:r>
          </w:p>
        </w:tc>
        <w:tc>
          <w:tcPr>
            <w:tcW w:w="301" w:type="pct"/>
            <w:vAlign w:val="center"/>
          </w:tcPr>
          <w:p w14:paraId="774DE4DB" w14:textId="77777777" w:rsidR="008D134C" w:rsidRPr="00C75904" w:rsidRDefault="00AD0B87"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w:t>
            </w:r>
          </w:p>
        </w:tc>
        <w:tc>
          <w:tcPr>
            <w:tcW w:w="241" w:type="pct"/>
            <w:vAlign w:val="center"/>
          </w:tcPr>
          <w:p w14:paraId="0251AB76" w14:textId="77777777" w:rsidR="008D134C" w:rsidRPr="00C75904" w:rsidRDefault="00AD0B87"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w:t>
            </w:r>
          </w:p>
        </w:tc>
        <w:tc>
          <w:tcPr>
            <w:tcW w:w="301" w:type="pct"/>
            <w:vAlign w:val="center"/>
          </w:tcPr>
          <w:p w14:paraId="122B71C3" w14:textId="77777777" w:rsidR="008D134C" w:rsidRPr="00C75904" w:rsidRDefault="003B13D3"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w:t>
            </w:r>
          </w:p>
        </w:tc>
        <w:tc>
          <w:tcPr>
            <w:tcW w:w="240" w:type="pct"/>
            <w:vAlign w:val="center"/>
          </w:tcPr>
          <w:p w14:paraId="27B7F98B" w14:textId="77777777" w:rsidR="008D134C" w:rsidRPr="00C75904" w:rsidRDefault="005F303D"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5.78</w:t>
            </w:r>
          </w:p>
        </w:tc>
        <w:tc>
          <w:tcPr>
            <w:tcW w:w="241" w:type="pct"/>
            <w:vAlign w:val="center"/>
          </w:tcPr>
          <w:p w14:paraId="57ED20B6" w14:textId="77777777" w:rsidR="008D134C" w:rsidRPr="00C75904" w:rsidRDefault="005F303D"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25.8</w:t>
            </w:r>
          </w:p>
        </w:tc>
        <w:tc>
          <w:tcPr>
            <w:tcW w:w="241" w:type="pct"/>
            <w:vAlign w:val="center"/>
          </w:tcPr>
          <w:p w14:paraId="3F0CD071" w14:textId="77777777" w:rsidR="005F303D" w:rsidRPr="00C75904" w:rsidRDefault="005F303D"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D</w:t>
            </w:r>
          </w:p>
          <w:p w14:paraId="69A54F39" w14:textId="77777777" w:rsidR="008D134C" w:rsidRPr="00C75904" w:rsidRDefault="005F303D"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(0)</w:t>
            </w:r>
          </w:p>
        </w:tc>
        <w:tc>
          <w:tcPr>
            <w:tcW w:w="302" w:type="pct"/>
            <w:vAlign w:val="center"/>
          </w:tcPr>
          <w:p w14:paraId="05DD2530" w14:textId="77777777" w:rsidR="00CB229B" w:rsidRPr="00C75904" w:rsidRDefault="00CB229B" w:rsidP="007F0A81">
            <w:pPr>
              <w:jc w:val="center"/>
              <w:rPr>
                <w:rFonts w:ascii="Times New Roman" w:hAnsi="Times New Roman" w:cs="Times New Roman"/>
                <w:sz w:val="11"/>
                <w:szCs w:val="11"/>
                <w:lang w:val="en-US"/>
              </w:rPr>
            </w:pPr>
            <w:proofErr w:type="spellStart"/>
            <w:r w:rsidRPr="00C75904">
              <w:rPr>
                <w:rFonts w:ascii="Times New Roman" w:hAnsi="Times New Roman" w:cs="Times New Roman"/>
                <w:sz w:val="11"/>
                <w:szCs w:val="11"/>
                <w:lang w:val="en-US"/>
              </w:rPr>
              <w:t>PoD</w:t>
            </w:r>
            <w:proofErr w:type="spellEnd"/>
          </w:p>
          <w:p w14:paraId="0FE84FFF" w14:textId="77777777" w:rsidR="008D134C" w:rsidRPr="00C75904" w:rsidRDefault="00CB229B"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(0.778)</w:t>
            </w:r>
          </w:p>
        </w:tc>
        <w:tc>
          <w:tcPr>
            <w:tcW w:w="301" w:type="pct"/>
            <w:vAlign w:val="center"/>
          </w:tcPr>
          <w:p w14:paraId="5E51ADE5" w14:textId="77777777" w:rsidR="005F303D" w:rsidRPr="00C75904" w:rsidRDefault="005F303D"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DC</w:t>
            </w:r>
          </w:p>
          <w:p w14:paraId="7E89163C" w14:textId="77777777" w:rsidR="008D134C" w:rsidRPr="00C75904" w:rsidRDefault="005F303D"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(1)</w:t>
            </w:r>
          </w:p>
        </w:tc>
        <w:tc>
          <w:tcPr>
            <w:tcW w:w="301" w:type="pct"/>
            <w:vAlign w:val="center"/>
          </w:tcPr>
          <w:p w14:paraId="6C26F926" w14:textId="77777777" w:rsidR="005F303D" w:rsidRPr="00C75904" w:rsidRDefault="005F303D"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High</w:t>
            </w:r>
          </w:p>
          <w:p w14:paraId="2E3122AA" w14:textId="77777777" w:rsidR="008D134C" w:rsidRPr="00C75904" w:rsidRDefault="005F303D"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(3.58)</w:t>
            </w:r>
          </w:p>
        </w:tc>
        <w:tc>
          <w:tcPr>
            <w:tcW w:w="362" w:type="pct"/>
            <w:vAlign w:val="center"/>
          </w:tcPr>
          <w:p w14:paraId="2E0B90FA" w14:textId="77777777" w:rsidR="008D134C" w:rsidRPr="00C75904" w:rsidRDefault="005F303D"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D</w:t>
            </w:r>
          </w:p>
          <w:p w14:paraId="0CC589A9" w14:textId="77777777" w:rsidR="005F303D" w:rsidRPr="00C75904" w:rsidRDefault="005F303D"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(0.9744)</w:t>
            </w:r>
          </w:p>
        </w:tc>
        <w:tc>
          <w:tcPr>
            <w:tcW w:w="361" w:type="pct"/>
            <w:vAlign w:val="center"/>
          </w:tcPr>
          <w:p w14:paraId="113ECCC6" w14:textId="77777777" w:rsidR="005F303D" w:rsidRPr="00C75904" w:rsidRDefault="005F303D"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D</w:t>
            </w:r>
          </w:p>
          <w:p w14:paraId="31427A22" w14:textId="77777777" w:rsidR="008D134C" w:rsidRPr="00C75904" w:rsidRDefault="005F303D"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(-6.57)</w:t>
            </w:r>
          </w:p>
        </w:tc>
        <w:tc>
          <w:tcPr>
            <w:tcW w:w="301" w:type="pct"/>
            <w:vAlign w:val="center"/>
          </w:tcPr>
          <w:p w14:paraId="5E5438A6" w14:textId="77777777" w:rsidR="008D134C" w:rsidRPr="00C75904" w:rsidRDefault="005F303D"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P</w:t>
            </w:r>
          </w:p>
          <w:p w14:paraId="600E3163" w14:textId="77777777" w:rsidR="005F303D" w:rsidRPr="00C75904" w:rsidRDefault="005F303D"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(0.693)</w:t>
            </w:r>
          </w:p>
        </w:tc>
        <w:tc>
          <w:tcPr>
            <w:tcW w:w="331" w:type="pct"/>
            <w:vAlign w:val="center"/>
          </w:tcPr>
          <w:p w14:paraId="1B899130" w14:textId="77777777" w:rsidR="008D134C" w:rsidRPr="00C75904" w:rsidRDefault="004D628B"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IV (PS4, PM2, PP1, PP3, PP4)</w:t>
            </w:r>
          </w:p>
        </w:tc>
      </w:tr>
      <w:tr w:rsidR="00C75904" w:rsidRPr="00C75904" w14:paraId="35EF7D7D" w14:textId="77777777" w:rsidTr="007F0A81">
        <w:trPr>
          <w:trHeight w:val="432"/>
          <w:jc w:val="center"/>
        </w:trPr>
        <w:tc>
          <w:tcPr>
            <w:tcW w:w="272" w:type="pct"/>
            <w:shd w:val="clear" w:color="auto" w:fill="F2F2F2" w:themeFill="background1" w:themeFillShade="F2"/>
            <w:vAlign w:val="center"/>
          </w:tcPr>
          <w:p w14:paraId="446E22E0" w14:textId="77777777" w:rsidR="00DC1E56" w:rsidRPr="00C75904" w:rsidRDefault="00DC1E56" w:rsidP="007F0A81">
            <w:pPr>
              <w:jc w:val="center"/>
              <w:rPr>
                <w:rFonts w:ascii="Times New Roman" w:hAnsi="Times New Roman" w:cs="Times New Roman"/>
                <w:b/>
                <w:bCs/>
                <w:sz w:val="11"/>
                <w:szCs w:val="11"/>
                <w:lang w:val="en-US"/>
              </w:rPr>
            </w:pPr>
            <w:r w:rsidRPr="00C75904">
              <w:rPr>
                <w:rFonts w:ascii="Times New Roman" w:hAnsi="Times New Roman" w:cs="Times New Roman"/>
                <w:b/>
                <w:bCs/>
                <w:sz w:val="11"/>
                <w:szCs w:val="11"/>
                <w:lang w:val="en-US"/>
              </w:rPr>
              <w:t>This study</w:t>
            </w:r>
          </w:p>
          <w:p w14:paraId="503CD2C6" w14:textId="77777777" w:rsidR="00DC1E56" w:rsidRPr="00C75904" w:rsidRDefault="00DC1E56" w:rsidP="007F0A81">
            <w:pPr>
              <w:jc w:val="center"/>
              <w:rPr>
                <w:rFonts w:ascii="Times New Roman" w:hAnsi="Times New Roman" w:cs="Times New Roman"/>
                <w:b/>
                <w:bCs/>
                <w:sz w:val="11"/>
                <w:szCs w:val="11"/>
                <w:lang w:val="en-US"/>
              </w:rPr>
            </w:pPr>
            <w:r w:rsidRPr="00C75904">
              <w:rPr>
                <w:rFonts w:ascii="Times New Roman" w:hAnsi="Times New Roman" w:cs="Times New Roman"/>
                <w:b/>
                <w:bCs/>
                <w:sz w:val="11"/>
                <w:szCs w:val="11"/>
                <w:lang w:val="en-US"/>
              </w:rPr>
              <w:t>(Family II)</w:t>
            </w:r>
          </w:p>
        </w:tc>
        <w:tc>
          <w:tcPr>
            <w:tcW w:w="423" w:type="pct"/>
            <w:vAlign w:val="center"/>
          </w:tcPr>
          <w:p w14:paraId="486EE93E" w14:textId="77777777" w:rsidR="003972F4" w:rsidRPr="00C75904" w:rsidRDefault="003972F4"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c.724C&gt;T</w:t>
            </w:r>
          </w:p>
          <w:p w14:paraId="61F6DE44" w14:textId="77777777" w:rsidR="00DC1E56" w:rsidRPr="00C75904" w:rsidRDefault="003972F4" w:rsidP="007F0A81">
            <w:pPr>
              <w:jc w:val="center"/>
              <w:rPr>
                <w:rFonts w:ascii="Times New Roman" w:hAnsi="Times New Roman" w:cs="Times New Roman"/>
                <w:sz w:val="11"/>
                <w:szCs w:val="11"/>
                <w:highlight w:val="yellow"/>
                <w:lang w:val="en-US"/>
              </w:rPr>
            </w:pPr>
            <w:r w:rsidRPr="00C75904">
              <w:rPr>
                <w:rFonts w:ascii="Times New Roman" w:hAnsi="Times New Roman" w:cs="Times New Roman"/>
                <w:sz w:val="11"/>
                <w:szCs w:val="11"/>
                <w:lang w:val="en-US"/>
              </w:rPr>
              <w:t>p.(Arg242Trp)</w:t>
            </w:r>
          </w:p>
        </w:tc>
        <w:tc>
          <w:tcPr>
            <w:tcW w:w="241" w:type="pct"/>
            <w:vAlign w:val="center"/>
          </w:tcPr>
          <w:p w14:paraId="56B9C260" w14:textId="77777777" w:rsidR="00DC1E56" w:rsidRPr="00C75904" w:rsidRDefault="003972F4" w:rsidP="007F0A81">
            <w:pPr>
              <w:jc w:val="center"/>
            </w:pPr>
            <w:r w:rsidRPr="00C75904">
              <w:rPr>
                <w:rFonts w:ascii="Times New Roman" w:hAnsi="Times New Roman" w:cs="Times New Roman"/>
                <w:sz w:val="11"/>
                <w:szCs w:val="11"/>
                <w:lang w:val="en-US"/>
              </w:rPr>
              <w:t>-</w:t>
            </w:r>
          </w:p>
        </w:tc>
        <w:tc>
          <w:tcPr>
            <w:tcW w:w="241" w:type="pct"/>
            <w:vAlign w:val="center"/>
          </w:tcPr>
          <w:p w14:paraId="2F62B764" w14:textId="77777777" w:rsidR="00DC1E56" w:rsidRPr="00C75904" w:rsidRDefault="00867D0E" w:rsidP="007F0A81">
            <w:pPr>
              <w:jc w:val="center"/>
            </w:pPr>
            <w:r w:rsidRPr="00C75904">
              <w:rPr>
                <w:rFonts w:ascii="Times New Roman" w:hAnsi="Times New Roman" w:cs="Times New Roman"/>
                <w:sz w:val="11"/>
                <w:szCs w:val="11"/>
                <w:lang w:val="en-US"/>
              </w:rPr>
              <w:t>-</w:t>
            </w:r>
          </w:p>
        </w:tc>
        <w:tc>
          <w:tcPr>
            <w:tcW w:w="301" w:type="pct"/>
            <w:vAlign w:val="center"/>
          </w:tcPr>
          <w:p w14:paraId="79223AFC" w14:textId="77777777" w:rsidR="00DC1E56" w:rsidRPr="00C75904" w:rsidRDefault="00867D0E" w:rsidP="007F0A81">
            <w:pPr>
              <w:jc w:val="center"/>
            </w:pPr>
            <w:r w:rsidRPr="00C75904">
              <w:rPr>
                <w:rFonts w:ascii="Times New Roman" w:hAnsi="Times New Roman" w:cs="Times New Roman"/>
                <w:sz w:val="11"/>
                <w:szCs w:val="11"/>
                <w:lang w:val="en-US"/>
              </w:rPr>
              <w:t>-</w:t>
            </w:r>
          </w:p>
        </w:tc>
        <w:tc>
          <w:tcPr>
            <w:tcW w:w="241" w:type="pct"/>
            <w:vAlign w:val="center"/>
          </w:tcPr>
          <w:p w14:paraId="313DD693" w14:textId="77777777" w:rsidR="00DC1E56" w:rsidRPr="00C75904" w:rsidRDefault="00867D0E" w:rsidP="007F0A81">
            <w:pPr>
              <w:jc w:val="center"/>
            </w:pPr>
            <w:r w:rsidRPr="00C75904">
              <w:rPr>
                <w:rFonts w:ascii="Times New Roman" w:hAnsi="Times New Roman" w:cs="Times New Roman"/>
                <w:sz w:val="11"/>
                <w:szCs w:val="11"/>
                <w:lang w:val="en-US"/>
              </w:rPr>
              <w:t>-</w:t>
            </w:r>
          </w:p>
        </w:tc>
        <w:tc>
          <w:tcPr>
            <w:tcW w:w="301" w:type="pct"/>
            <w:vAlign w:val="center"/>
          </w:tcPr>
          <w:p w14:paraId="2C5D9727" w14:textId="77777777" w:rsidR="00DC1E56" w:rsidRPr="00C75904" w:rsidRDefault="00867D0E" w:rsidP="007F0A81">
            <w:pPr>
              <w:jc w:val="center"/>
              <w:rPr>
                <w:highlight w:val="yellow"/>
              </w:rPr>
            </w:pPr>
            <w:r w:rsidRPr="00C75904">
              <w:rPr>
                <w:rFonts w:ascii="Times New Roman" w:hAnsi="Times New Roman" w:cs="Times New Roman"/>
                <w:sz w:val="11"/>
                <w:szCs w:val="11"/>
                <w:lang w:val="en-US"/>
              </w:rPr>
              <w:t>-</w:t>
            </w:r>
          </w:p>
        </w:tc>
        <w:tc>
          <w:tcPr>
            <w:tcW w:w="240" w:type="pct"/>
            <w:vAlign w:val="center"/>
          </w:tcPr>
          <w:p w14:paraId="1D7C6D2A" w14:textId="77777777" w:rsidR="00DC1E56" w:rsidRPr="00C75904" w:rsidRDefault="003972F4" w:rsidP="007F0A81">
            <w:pPr>
              <w:jc w:val="center"/>
              <w:rPr>
                <w:highlight w:val="yellow"/>
              </w:rPr>
            </w:pPr>
            <w:r w:rsidRPr="00C75904">
              <w:rPr>
                <w:rFonts w:ascii="Times New Roman" w:hAnsi="Times New Roman" w:cs="Times New Roman"/>
                <w:sz w:val="11"/>
                <w:szCs w:val="11"/>
                <w:lang w:val="en-US"/>
              </w:rPr>
              <w:t>5.67</w:t>
            </w:r>
          </w:p>
        </w:tc>
        <w:tc>
          <w:tcPr>
            <w:tcW w:w="241" w:type="pct"/>
            <w:vAlign w:val="center"/>
          </w:tcPr>
          <w:p w14:paraId="4974AE5D" w14:textId="77777777" w:rsidR="00DC1E56" w:rsidRPr="00C75904" w:rsidRDefault="003972F4" w:rsidP="007F0A81">
            <w:pPr>
              <w:jc w:val="center"/>
              <w:rPr>
                <w:highlight w:val="yellow"/>
              </w:rPr>
            </w:pPr>
            <w:r w:rsidRPr="00C75904">
              <w:rPr>
                <w:rFonts w:ascii="Times New Roman" w:hAnsi="Times New Roman" w:cs="Times New Roman"/>
                <w:sz w:val="11"/>
                <w:szCs w:val="11"/>
                <w:lang w:val="en-US"/>
              </w:rPr>
              <w:t>24.8</w:t>
            </w:r>
          </w:p>
        </w:tc>
        <w:tc>
          <w:tcPr>
            <w:tcW w:w="241" w:type="pct"/>
            <w:vAlign w:val="center"/>
          </w:tcPr>
          <w:p w14:paraId="1C51F1EA" w14:textId="77777777" w:rsidR="00DC1E56" w:rsidRPr="00C75904" w:rsidRDefault="00867D0E"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D</w:t>
            </w:r>
          </w:p>
          <w:p w14:paraId="0EBA6678" w14:textId="77777777" w:rsidR="003972F4" w:rsidRPr="00C75904" w:rsidRDefault="003972F4" w:rsidP="007F0A81">
            <w:pPr>
              <w:jc w:val="center"/>
              <w:rPr>
                <w:highlight w:val="yellow"/>
              </w:rPr>
            </w:pPr>
            <w:r w:rsidRPr="00C75904">
              <w:rPr>
                <w:rFonts w:ascii="Times New Roman" w:hAnsi="Times New Roman" w:cs="Times New Roman"/>
                <w:sz w:val="11"/>
                <w:szCs w:val="11"/>
                <w:lang w:val="en-US"/>
              </w:rPr>
              <w:t>(0.005)</w:t>
            </w:r>
          </w:p>
        </w:tc>
        <w:tc>
          <w:tcPr>
            <w:tcW w:w="302" w:type="pct"/>
            <w:vAlign w:val="center"/>
          </w:tcPr>
          <w:p w14:paraId="1FF9AF82" w14:textId="77777777" w:rsidR="00DC1E56" w:rsidRPr="00C75904" w:rsidRDefault="00867D0E" w:rsidP="007F0A81">
            <w:pPr>
              <w:jc w:val="center"/>
              <w:rPr>
                <w:rFonts w:ascii="Times New Roman" w:hAnsi="Times New Roman" w:cs="Times New Roman"/>
                <w:sz w:val="11"/>
                <w:szCs w:val="11"/>
                <w:lang w:val="en-US"/>
              </w:rPr>
            </w:pPr>
            <w:proofErr w:type="spellStart"/>
            <w:r w:rsidRPr="00C75904">
              <w:rPr>
                <w:rFonts w:ascii="Times New Roman" w:hAnsi="Times New Roman" w:cs="Times New Roman"/>
                <w:sz w:val="11"/>
                <w:szCs w:val="11"/>
                <w:lang w:val="en-US"/>
              </w:rPr>
              <w:t>PoD</w:t>
            </w:r>
            <w:proofErr w:type="spellEnd"/>
          </w:p>
          <w:p w14:paraId="48CEE49E" w14:textId="77777777" w:rsidR="007F0A81" w:rsidRPr="00C75904" w:rsidRDefault="007F0A81" w:rsidP="007F0A81">
            <w:pPr>
              <w:jc w:val="center"/>
              <w:rPr>
                <w:highlight w:val="yellow"/>
              </w:rPr>
            </w:pPr>
            <w:r w:rsidRPr="00C75904">
              <w:rPr>
                <w:rFonts w:ascii="Times New Roman" w:hAnsi="Times New Roman" w:cs="Times New Roman"/>
                <w:sz w:val="11"/>
                <w:szCs w:val="11"/>
                <w:lang w:val="en-US"/>
              </w:rPr>
              <w:t>(0.566)</w:t>
            </w:r>
          </w:p>
        </w:tc>
        <w:tc>
          <w:tcPr>
            <w:tcW w:w="301" w:type="pct"/>
            <w:vAlign w:val="center"/>
          </w:tcPr>
          <w:p w14:paraId="44256BCC" w14:textId="77777777" w:rsidR="003972F4" w:rsidRPr="00C75904" w:rsidRDefault="003972F4"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DC</w:t>
            </w:r>
          </w:p>
          <w:p w14:paraId="6AA54840" w14:textId="77777777" w:rsidR="00DC1E56" w:rsidRPr="00C75904" w:rsidRDefault="003972F4" w:rsidP="007F0A81">
            <w:pPr>
              <w:jc w:val="center"/>
              <w:rPr>
                <w:highlight w:val="yellow"/>
              </w:rPr>
            </w:pPr>
            <w:r w:rsidRPr="00C75904">
              <w:rPr>
                <w:rFonts w:ascii="Times New Roman" w:hAnsi="Times New Roman" w:cs="Times New Roman"/>
                <w:sz w:val="11"/>
                <w:szCs w:val="11"/>
                <w:lang w:val="en-US"/>
              </w:rPr>
              <w:t>(1)</w:t>
            </w:r>
          </w:p>
        </w:tc>
        <w:tc>
          <w:tcPr>
            <w:tcW w:w="301" w:type="pct"/>
            <w:vAlign w:val="center"/>
          </w:tcPr>
          <w:p w14:paraId="61D1A29A" w14:textId="77777777" w:rsidR="003972F4" w:rsidRPr="00C75904" w:rsidRDefault="003972F4"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High</w:t>
            </w:r>
          </w:p>
          <w:p w14:paraId="4257E89A" w14:textId="77777777" w:rsidR="00DC1E56" w:rsidRPr="00C75904" w:rsidRDefault="003972F4" w:rsidP="007F0A81">
            <w:pPr>
              <w:jc w:val="center"/>
              <w:rPr>
                <w:highlight w:val="yellow"/>
              </w:rPr>
            </w:pPr>
            <w:r w:rsidRPr="00C75904">
              <w:rPr>
                <w:rFonts w:ascii="Times New Roman" w:hAnsi="Times New Roman" w:cs="Times New Roman"/>
                <w:sz w:val="11"/>
                <w:szCs w:val="11"/>
                <w:lang w:val="en-US"/>
              </w:rPr>
              <w:t>(3.995)</w:t>
            </w:r>
          </w:p>
        </w:tc>
        <w:tc>
          <w:tcPr>
            <w:tcW w:w="362" w:type="pct"/>
            <w:vAlign w:val="center"/>
          </w:tcPr>
          <w:p w14:paraId="4183430C" w14:textId="77777777" w:rsidR="00DC1E56" w:rsidRPr="00C75904" w:rsidRDefault="003972F4"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D</w:t>
            </w:r>
          </w:p>
          <w:p w14:paraId="63AFFACD" w14:textId="77777777" w:rsidR="003972F4" w:rsidRPr="00C75904" w:rsidRDefault="003972F4" w:rsidP="007F0A81">
            <w:pPr>
              <w:jc w:val="center"/>
              <w:rPr>
                <w:highlight w:val="yellow"/>
              </w:rPr>
            </w:pPr>
            <w:r w:rsidRPr="00C75904">
              <w:rPr>
                <w:rFonts w:ascii="Times New Roman" w:hAnsi="Times New Roman" w:cs="Times New Roman"/>
                <w:sz w:val="11"/>
                <w:szCs w:val="11"/>
                <w:lang w:val="en-US"/>
              </w:rPr>
              <w:t>(0.9819)</w:t>
            </w:r>
          </w:p>
        </w:tc>
        <w:tc>
          <w:tcPr>
            <w:tcW w:w="361" w:type="pct"/>
            <w:vAlign w:val="center"/>
          </w:tcPr>
          <w:p w14:paraId="71356356" w14:textId="77777777" w:rsidR="00DC1E56" w:rsidRPr="00C75904" w:rsidRDefault="003972F4"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D</w:t>
            </w:r>
          </w:p>
          <w:p w14:paraId="2830C46B" w14:textId="77777777" w:rsidR="003972F4" w:rsidRPr="00C75904" w:rsidRDefault="003972F4" w:rsidP="007F0A81">
            <w:pPr>
              <w:jc w:val="center"/>
              <w:rPr>
                <w:highlight w:val="yellow"/>
              </w:rPr>
            </w:pPr>
            <w:r w:rsidRPr="00C75904">
              <w:rPr>
                <w:rFonts w:ascii="Times New Roman" w:hAnsi="Times New Roman" w:cs="Times New Roman"/>
                <w:sz w:val="11"/>
                <w:szCs w:val="11"/>
                <w:lang w:val="en-US"/>
              </w:rPr>
              <w:t>(-7.21)</w:t>
            </w:r>
          </w:p>
        </w:tc>
        <w:tc>
          <w:tcPr>
            <w:tcW w:w="301" w:type="pct"/>
            <w:vAlign w:val="center"/>
          </w:tcPr>
          <w:p w14:paraId="71EBFF2E" w14:textId="77777777" w:rsidR="007F0A81" w:rsidRPr="00C75904" w:rsidRDefault="007F0A81" w:rsidP="007F0A81">
            <w:pPr>
              <w:jc w:val="center"/>
              <w:rPr>
                <w:rFonts w:ascii="Times New Roman" w:hAnsi="Times New Roman" w:cs="Times New Roman"/>
                <w:sz w:val="11"/>
                <w:szCs w:val="11"/>
                <w:lang w:val="en-US"/>
              </w:rPr>
            </w:pPr>
            <w:r w:rsidRPr="00C75904">
              <w:rPr>
                <w:rFonts w:ascii="Times New Roman" w:hAnsi="Times New Roman" w:cs="Times New Roman"/>
                <w:sz w:val="11"/>
                <w:szCs w:val="11"/>
                <w:lang w:val="en-US"/>
              </w:rPr>
              <w:t>P</w:t>
            </w:r>
          </w:p>
          <w:p w14:paraId="05A97E67" w14:textId="77777777" w:rsidR="00DC1E56" w:rsidRPr="00C75904" w:rsidRDefault="007F0A81" w:rsidP="007F0A81">
            <w:pPr>
              <w:jc w:val="center"/>
              <w:rPr>
                <w:highlight w:val="yellow"/>
              </w:rPr>
            </w:pPr>
            <w:r w:rsidRPr="00C75904">
              <w:rPr>
                <w:rFonts w:ascii="Times New Roman" w:hAnsi="Times New Roman" w:cs="Times New Roman"/>
                <w:sz w:val="11"/>
                <w:szCs w:val="11"/>
                <w:lang w:val="en-US"/>
              </w:rPr>
              <w:t>(0.7429)</w:t>
            </w:r>
          </w:p>
        </w:tc>
        <w:tc>
          <w:tcPr>
            <w:tcW w:w="331" w:type="pct"/>
            <w:vAlign w:val="center"/>
          </w:tcPr>
          <w:p w14:paraId="5262DE1A" w14:textId="77777777" w:rsidR="00DC1E56" w:rsidRPr="00C75904" w:rsidRDefault="007F0A81" w:rsidP="007F0A81">
            <w:pPr>
              <w:jc w:val="center"/>
              <w:rPr>
                <w:highlight w:val="yellow"/>
              </w:rPr>
            </w:pPr>
            <w:r w:rsidRPr="00C75904">
              <w:rPr>
                <w:rFonts w:ascii="Times New Roman" w:hAnsi="Times New Roman" w:cs="Times New Roman"/>
                <w:sz w:val="11"/>
                <w:szCs w:val="11"/>
                <w:lang w:val="en-US"/>
              </w:rPr>
              <w:t>I</w:t>
            </w:r>
            <w:r w:rsidR="00E921FC" w:rsidRPr="00C75904">
              <w:rPr>
                <w:rFonts w:ascii="Times New Roman" w:hAnsi="Times New Roman" w:cs="Times New Roman"/>
                <w:sz w:val="11"/>
                <w:szCs w:val="11"/>
                <w:lang w:val="en-US"/>
              </w:rPr>
              <w:t>V (PM1-2, PP3</w:t>
            </w:r>
            <w:r w:rsidRPr="00C75904">
              <w:rPr>
                <w:rFonts w:ascii="Times New Roman" w:hAnsi="Times New Roman" w:cs="Times New Roman"/>
                <w:sz w:val="11"/>
                <w:szCs w:val="11"/>
                <w:lang w:val="en-US"/>
              </w:rPr>
              <w:t>-4</w:t>
            </w:r>
            <w:r w:rsidR="00E921FC" w:rsidRPr="00C75904">
              <w:rPr>
                <w:rFonts w:ascii="Times New Roman" w:hAnsi="Times New Roman" w:cs="Times New Roman"/>
                <w:sz w:val="11"/>
                <w:szCs w:val="11"/>
                <w:lang w:val="en-US"/>
              </w:rPr>
              <w:t>)</w:t>
            </w:r>
          </w:p>
        </w:tc>
      </w:tr>
    </w:tbl>
    <w:p w14:paraId="3FADE96B" w14:textId="5F1855B7" w:rsidR="004D628B" w:rsidRPr="00C75904" w:rsidRDefault="008D134C" w:rsidP="004D628B">
      <w:pPr>
        <w:spacing w:line="276" w:lineRule="auto"/>
        <w:rPr>
          <w:rFonts w:ascii="Times New Roman" w:hAnsi="Times New Roman" w:cs="Times New Roman"/>
          <w:sz w:val="18"/>
          <w:szCs w:val="18"/>
          <w:lang w:val="en-US"/>
        </w:rPr>
      </w:pPr>
      <w:r w:rsidRPr="00C75904">
        <w:rPr>
          <w:rFonts w:ascii="Times New Roman" w:hAnsi="Times New Roman" w:cs="Times New Roman"/>
          <w:sz w:val="18"/>
          <w:szCs w:val="18"/>
          <w:lang w:val="en-US"/>
        </w:rPr>
        <w:t xml:space="preserve">Abbreviations: </w:t>
      </w:r>
      <w:r w:rsidR="00E95EC3" w:rsidRPr="00C75904">
        <w:rPr>
          <w:rFonts w:ascii="Times New Roman" w:hAnsi="Times New Roman" w:cs="Times New Roman"/>
          <w:sz w:val="18"/>
          <w:szCs w:val="18"/>
          <w:lang w:val="en-US"/>
        </w:rPr>
        <w:t xml:space="preserve">D = damaging; </w:t>
      </w:r>
      <w:r w:rsidR="004D628B" w:rsidRPr="00C75904">
        <w:rPr>
          <w:rFonts w:ascii="Times New Roman" w:hAnsi="Times New Roman" w:cs="Times New Roman"/>
          <w:sz w:val="18"/>
          <w:szCs w:val="18"/>
          <w:lang w:val="en-US"/>
        </w:rPr>
        <w:t xml:space="preserve">DC = disease causing; </w:t>
      </w:r>
      <w:r w:rsidRPr="00C75904">
        <w:rPr>
          <w:rFonts w:ascii="Times New Roman" w:hAnsi="Times New Roman" w:cs="Times New Roman"/>
          <w:sz w:val="18"/>
          <w:szCs w:val="18"/>
          <w:lang w:val="en-US"/>
        </w:rPr>
        <w:t xml:space="preserve">GME = </w:t>
      </w:r>
      <w:r w:rsidR="00B8707E">
        <w:rPr>
          <w:rFonts w:ascii="Times New Roman" w:hAnsi="Times New Roman" w:cs="Times New Roman"/>
          <w:sz w:val="18"/>
          <w:szCs w:val="18"/>
          <w:lang w:val="en-US"/>
        </w:rPr>
        <w:t>G</w:t>
      </w:r>
      <w:r w:rsidR="003B13D3" w:rsidRPr="00C75904">
        <w:rPr>
          <w:rFonts w:ascii="Times New Roman" w:hAnsi="Times New Roman" w:cs="Times New Roman"/>
          <w:sz w:val="18"/>
          <w:szCs w:val="18"/>
          <w:lang w:val="en-US"/>
        </w:rPr>
        <w:t xml:space="preserve">reater </w:t>
      </w:r>
      <w:r w:rsidR="00B8707E">
        <w:rPr>
          <w:rFonts w:ascii="Times New Roman" w:hAnsi="Times New Roman" w:cs="Times New Roman"/>
          <w:sz w:val="18"/>
          <w:szCs w:val="18"/>
          <w:lang w:val="en-US"/>
        </w:rPr>
        <w:t>M</w:t>
      </w:r>
      <w:r w:rsidR="003B13D3" w:rsidRPr="00C75904">
        <w:rPr>
          <w:rFonts w:ascii="Times New Roman" w:hAnsi="Times New Roman" w:cs="Times New Roman"/>
          <w:sz w:val="18"/>
          <w:szCs w:val="18"/>
          <w:lang w:val="en-US"/>
        </w:rPr>
        <w:t xml:space="preserve">iddle </w:t>
      </w:r>
      <w:r w:rsidR="00B8707E">
        <w:rPr>
          <w:rFonts w:ascii="Times New Roman" w:hAnsi="Times New Roman" w:cs="Times New Roman"/>
          <w:sz w:val="18"/>
          <w:szCs w:val="18"/>
          <w:lang w:val="en-US"/>
        </w:rPr>
        <w:t>E</w:t>
      </w:r>
      <w:r w:rsidR="003B13D3" w:rsidRPr="00C75904">
        <w:rPr>
          <w:rFonts w:ascii="Times New Roman" w:hAnsi="Times New Roman" w:cs="Times New Roman"/>
          <w:sz w:val="18"/>
          <w:szCs w:val="18"/>
          <w:lang w:val="en-US"/>
        </w:rPr>
        <w:t xml:space="preserve">ast </w:t>
      </w:r>
      <w:proofErr w:type="spellStart"/>
      <w:r w:rsidR="00B8707E">
        <w:rPr>
          <w:rFonts w:ascii="Times New Roman" w:hAnsi="Times New Roman" w:cs="Times New Roman"/>
          <w:sz w:val="18"/>
          <w:szCs w:val="18"/>
          <w:lang w:val="en-US"/>
        </w:rPr>
        <w:t>V</w:t>
      </w:r>
      <w:r w:rsidR="003B13D3" w:rsidRPr="00C75904">
        <w:rPr>
          <w:rFonts w:ascii="Times New Roman" w:hAnsi="Times New Roman" w:cs="Times New Roman"/>
          <w:sz w:val="18"/>
          <w:szCs w:val="18"/>
          <w:lang w:val="en-US"/>
        </w:rPr>
        <w:t>ariome</w:t>
      </w:r>
      <w:proofErr w:type="spellEnd"/>
      <w:r w:rsidR="003B13D3" w:rsidRPr="00C75904">
        <w:rPr>
          <w:rFonts w:ascii="Times New Roman" w:hAnsi="Times New Roman" w:cs="Times New Roman"/>
          <w:sz w:val="18"/>
          <w:szCs w:val="18"/>
          <w:lang w:val="en-US"/>
        </w:rPr>
        <w:t xml:space="preserve"> </w:t>
      </w:r>
      <w:r w:rsidR="00B8707E">
        <w:rPr>
          <w:rFonts w:ascii="Times New Roman" w:hAnsi="Times New Roman" w:cs="Times New Roman"/>
          <w:sz w:val="18"/>
          <w:szCs w:val="18"/>
          <w:lang w:val="en-US"/>
        </w:rPr>
        <w:t>P</w:t>
      </w:r>
      <w:r w:rsidR="003B13D3" w:rsidRPr="00C75904">
        <w:rPr>
          <w:rFonts w:ascii="Times New Roman" w:hAnsi="Times New Roman" w:cs="Times New Roman"/>
          <w:sz w:val="18"/>
          <w:szCs w:val="18"/>
          <w:lang w:val="en-US"/>
        </w:rPr>
        <w:t xml:space="preserve">roject; </w:t>
      </w:r>
      <w:r w:rsidR="004D628B" w:rsidRPr="00C75904">
        <w:rPr>
          <w:rFonts w:ascii="Times New Roman" w:hAnsi="Times New Roman" w:cs="Times New Roman"/>
          <w:sz w:val="18"/>
          <w:szCs w:val="18"/>
          <w:lang w:val="en-US"/>
        </w:rPr>
        <w:t xml:space="preserve">P = pathogenic; </w:t>
      </w:r>
      <w:r w:rsidR="00CB229B" w:rsidRPr="00C75904">
        <w:rPr>
          <w:rFonts w:ascii="Times New Roman" w:hAnsi="Times New Roman" w:cs="Times New Roman"/>
          <w:sz w:val="18"/>
          <w:szCs w:val="18"/>
          <w:lang w:val="en-US"/>
        </w:rPr>
        <w:t xml:space="preserve">PD = probably damaging; </w:t>
      </w:r>
      <w:proofErr w:type="spellStart"/>
      <w:r w:rsidR="00CB229B" w:rsidRPr="00C75904">
        <w:rPr>
          <w:rFonts w:ascii="Times New Roman" w:hAnsi="Times New Roman" w:cs="Times New Roman"/>
          <w:sz w:val="18"/>
          <w:szCs w:val="18"/>
          <w:lang w:val="en-US"/>
        </w:rPr>
        <w:t>PoD</w:t>
      </w:r>
      <w:proofErr w:type="spellEnd"/>
      <w:r w:rsidR="00CB229B" w:rsidRPr="00C75904">
        <w:rPr>
          <w:rFonts w:ascii="Times New Roman" w:hAnsi="Times New Roman" w:cs="Times New Roman"/>
          <w:sz w:val="18"/>
          <w:szCs w:val="18"/>
          <w:lang w:val="en-US"/>
        </w:rPr>
        <w:t xml:space="preserve"> = possibly damaging; </w:t>
      </w:r>
      <w:r w:rsidR="004D628B" w:rsidRPr="00C75904">
        <w:rPr>
          <w:rFonts w:ascii="Times New Roman" w:hAnsi="Times New Roman" w:cs="Times New Roman"/>
          <w:sz w:val="18"/>
          <w:szCs w:val="18"/>
          <w:lang w:val="en-US"/>
        </w:rPr>
        <w:t>PS = pathogenic strong; PM = pathogenic moderate; PP = pathogenic supporting</w:t>
      </w:r>
      <w:r w:rsidR="00867D0E" w:rsidRPr="00C75904">
        <w:rPr>
          <w:rFonts w:ascii="Times New Roman" w:hAnsi="Times New Roman" w:cs="Times New Roman"/>
          <w:sz w:val="18"/>
          <w:szCs w:val="18"/>
          <w:lang w:val="en-US"/>
        </w:rPr>
        <w:t>; NR=non reported</w:t>
      </w:r>
      <w:r w:rsidR="004D628B" w:rsidRPr="00C75904">
        <w:rPr>
          <w:rFonts w:ascii="Times New Roman" w:hAnsi="Times New Roman" w:cs="Times New Roman"/>
          <w:sz w:val="18"/>
          <w:szCs w:val="18"/>
          <w:lang w:val="en-US"/>
        </w:rPr>
        <w:t xml:space="preserve">. </w:t>
      </w:r>
      <w:r w:rsidR="003B13D3" w:rsidRPr="00C75904">
        <w:rPr>
          <w:rFonts w:ascii="Times New Roman" w:hAnsi="Times New Roman" w:cs="Times New Roman"/>
          <w:sz w:val="18"/>
          <w:szCs w:val="18"/>
          <w:lang w:val="en-US"/>
        </w:rPr>
        <w:t>†</w:t>
      </w:r>
      <w:r w:rsidR="004D628B" w:rsidRPr="00C75904">
        <w:rPr>
          <w:rFonts w:ascii="Times New Roman" w:hAnsi="Times New Roman" w:cs="Times New Roman"/>
          <w:sz w:val="18"/>
          <w:szCs w:val="18"/>
          <w:lang w:val="en-US"/>
        </w:rPr>
        <w:t xml:space="preserve"> In-house database of more than 10,000 exomes.</w:t>
      </w:r>
    </w:p>
    <w:p w14:paraId="0DE092E1" w14:textId="77777777" w:rsidR="00AC159F" w:rsidRPr="00C75904" w:rsidRDefault="00AC159F" w:rsidP="008D134C">
      <w:pPr>
        <w:spacing w:line="480" w:lineRule="auto"/>
        <w:rPr>
          <w:rFonts w:ascii="Times New Roman" w:hAnsi="Times New Roman" w:cs="Times New Roman"/>
          <w:b/>
          <w:bCs/>
          <w:lang w:val="en-US"/>
        </w:rPr>
      </w:pPr>
    </w:p>
    <w:p w14:paraId="7B6F6F84" w14:textId="77777777" w:rsidR="00AC159F" w:rsidRPr="00C75904" w:rsidRDefault="00AC159F" w:rsidP="008D134C">
      <w:pPr>
        <w:spacing w:line="480" w:lineRule="auto"/>
        <w:rPr>
          <w:rFonts w:ascii="Times New Roman" w:hAnsi="Times New Roman" w:cs="Times New Roman"/>
          <w:b/>
          <w:bCs/>
          <w:lang w:val="en-US"/>
        </w:rPr>
      </w:pPr>
    </w:p>
    <w:p w14:paraId="16850A55" w14:textId="77777777" w:rsidR="008A5A3C" w:rsidRPr="00C75904" w:rsidRDefault="008A5A3C" w:rsidP="00E23B3E">
      <w:pPr>
        <w:spacing w:line="480" w:lineRule="auto"/>
        <w:rPr>
          <w:rFonts w:ascii="Times New Roman" w:hAnsi="Times New Roman" w:cs="Times New Roman"/>
          <w:b/>
          <w:bCs/>
          <w:lang w:val="en-US"/>
        </w:rPr>
      </w:pPr>
    </w:p>
    <w:sectPr w:rsidR="008A5A3C" w:rsidRPr="00C75904" w:rsidSect="00CF4952">
      <w:head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5CB2B" w14:textId="77777777" w:rsidR="00D80C27" w:rsidRDefault="00D80C27" w:rsidP="00C75904">
      <w:r>
        <w:separator/>
      </w:r>
    </w:p>
  </w:endnote>
  <w:endnote w:type="continuationSeparator" w:id="0">
    <w:p w14:paraId="719B0880" w14:textId="77777777" w:rsidR="00D80C27" w:rsidRDefault="00D80C27" w:rsidP="00C7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E7C83" w14:textId="77777777" w:rsidR="00D80C27" w:rsidRDefault="00D80C27" w:rsidP="00C75904">
      <w:r>
        <w:separator/>
      </w:r>
    </w:p>
  </w:footnote>
  <w:footnote w:type="continuationSeparator" w:id="0">
    <w:p w14:paraId="4A36492B" w14:textId="77777777" w:rsidR="00D80C27" w:rsidRDefault="00D80C27" w:rsidP="00C759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1DB6" w14:textId="42EEF874" w:rsidR="00C75904" w:rsidRPr="00C75904" w:rsidRDefault="00C75904" w:rsidP="00C75904">
    <w:pPr>
      <w:pStyle w:val="Header"/>
      <w:jc w:val="right"/>
      <w:rPr>
        <w:rFonts w:ascii="Times New Roman" w:hAnsi="Times New Roman" w:cs="Times New Roman"/>
      </w:rPr>
    </w:pPr>
    <w:r w:rsidRPr="00C75904">
      <w:rPr>
        <w:rFonts w:ascii="Times New Roman" w:hAnsi="Times New Roman" w:cs="Times New Roman"/>
      </w:rPr>
      <w:t>WIPI2-related neurodevelopmental disorder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1375D"/>
    <w:multiLevelType w:val="hybridMultilevel"/>
    <w:tmpl w:val="A3187978"/>
    <w:lvl w:ilvl="0" w:tplc="A7420B10">
      <w:start w:val="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1MTaxsDQxMzE3NzVQ0lEKTi0uzszPAykwtKgFAJGPGTgtAAAA"/>
  </w:docVars>
  <w:rsids>
    <w:rsidRoot w:val="00D1661E"/>
    <w:rsid w:val="00001355"/>
    <w:rsid w:val="00033D25"/>
    <w:rsid w:val="00064CE3"/>
    <w:rsid w:val="000710AA"/>
    <w:rsid w:val="000B664E"/>
    <w:rsid w:val="000D07F0"/>
    <w:rsid w:val="00100795"/>
    <w:rsid w:val="001014F3"/>
    <w:rsid w:val="00121E1E"/>
    <w:rsid w:val="00127A08"/>
    <w:rsid w:val="00146E03"/>
    <w:rsid w:val="001564AC"/>
    <w:rsid w:val="00192081"/>
    <w:rsid w:val="0019386D"/>
    <w:rsid w:val="001B6EA5"/>
    <w:rsid w:val="0025287D"/>
    <w:rsid w:val="002A712F"/>
    <w:rsid w:val="002B648B"/>
    <w:rsid w:val="002F2C50"/>
    <w:rsid w:val="002F49B6"/>
    <w:rsid w:val="003044CA"/>
    <w:rsid w:val="003122F7"/>
    <w:rsid w:val="00313F6D"/>
    <w:rsid w:val="0037358F"/>
    <w:rsid w:val="003972F4"/>
    <w:rsid w:val="003B13D3"/>
    <w:rsid w:val="003B5BE7"/>
    <w:rsid w:val="003C73FA"/>
    <w:rsid w:val="003E2160"/>
    <w:rsid w:val="003F0640"/>
    <w:rsid w:val="003F2315"/>
    <w:rsid w:val="0045592B"/>
    <w:rsid w:val="004B0DDE"/>
    <w:rsid w:val="004B7423"/>
    <w:rsid w:val="004C4E18"/>
    <w:rsid w:val="004D628B"/>
    <w:rsid w:val="004F1DC0"/>
    <w:rsid w:val="00500AF8"/>
    <w:rsid w:val="00512DA2"/>
    <w:rsid w:val="00537206"/>
    <w:rsid w:val="00575A7D"/>
    <w:rsid w:val="005E4631"/>
    <w:rsid w:val="005F303D"/>
    <w:rsid w:val="00613B6E"/>
    <w:rsid w:val="006419BF"/>
    <w:rsid w:val="0064642C"/>
    <w:rsid w:val="00656C1A"/>
    <w:rsid w:val="0066250B"/>
    <w:rsid w:val="00681E44"/>
    <w:rsid w:val="0069158F"/>
    <w:rsid w:val="0069402A"/>
    <w:rsid w:val="006C7FA4"/>
    <w:rsid w:val="00710165"/>
    <w:rsid w:val="00743475"/>
    <w:rsid w:val="007541B4"/>
    <w:rsid w:val="0075667D"/>
    <w:rsid w:val="00757438"/>
    <w:rsid w:val="00771C29"/>
    <w:rsid w:val="00775CC8"/>
    <w:rsid w:val="00776390"/>
    <w:rsid w:val="0079220F"/>
    <w:rsid w:val="007B4E7A"/>
    <w:rsid w:val="007C3160"/>
    <w:rsid w:val="007C7468"/>
    <w:rsid w:val="007D0D47"/>
    <w:rsid w:val="007E03A4"/>
    <w:rsid w:val="007F0A81"/>
    <w:rsid w:val="008329DB"/>
    <w:rsid w:val="00835492"/>
    <w:rsid w:val="00846DF2"/>
    <w:rsid w:val="00867D0E"/>
    <w:rsid w:val="00881323"/>
    <w:rsid w:val="00894223"/>
    <w:rsid w:val="008A5A3C"/>
    <w:rsid w:val="008D134C"/>
    <w:rsid w:val="008D7514"/>
    <w:rsid w:val="00903CA5"/>
    <w:rsid w:val="009235FC"/>
    <w:rsid w:val="009370B1"/>
    <w:rsid w:val="00954D62"/>
    <w:rsid w:val="009A0038"/>
    <w:rsid w:val="009A1A2D"/>
    <w:rsid w:val="009E116D"/>
    <w:rsid w:val="009E24F5"/>
    <w:rsid w:val="009E3D44"/>
    <w:rsid w:val="009F4609"/>
    <w:rsid w:val="00A132B9"/>
    <w:rsid w:val="00A25009"/>
    <w:rsid w:val="00A337FF"/>
    <w:rsid w:val="00A40D4A"/>
    <w:rsid w:val="00A814DE"/>
    <w:rsid w:val="00A839E0"/>
    <w:rsid w:val="00AC159F"/>
    <w:rsid w:val="00AD0B87"/>
    <w:rsid w:val="00AD6C3F"/>
    <w:rsid w:val="00AE2B1C"/>
    <w:rsid w:val="00AF6082"/>
    <w:rsid w:val="00B522DF"/>
    <w:rsid w:val="00B8707E"/>
    <w:rsid w:val="00BB5FF8"/>
    <w:rsid w:val="00BD0ADC"/>
    <w:rsid w:val="00BF4DD2"/>
    <w:rsid w:val="00C11BA6"/>
    <w:rsid w:val="00C14D30"/>
    <w:rsid w:val="00C17C04"/>
    <w:rsid w:val="00C37291"/>
    <w:rsid w:val="00C75904"/>
    <w:rsid w:val="00C93434"/>
    <w:rsid w:val="00CB229B"/>
    <w:rsid w:val="00CF36EE"/>
    <w:rsid w:val="00CF3A7D"/>
    <w:rsid w:val="00CF4952"/>
    <w:rsid w:val="00D1661E"/>
    <w:rsid w:val="00D2721E"/>
    <w:rsid w:val="00D316C5"/>
    <w:rsid w:val="00D56A81"/>
    <w:rsid w:val="00D63D56"/>
    <w:rsid w:val="00D67990"/>
    <w:rsid w:val="00D80C27"/>
    <w:rsid w:val="00DA310A"/>
    <w:rsid w:val="00DB1751"/>
    <w:rsid w:val="00DC1E56"/>
    <w:rsid w:val="00DD3338"/>
    <w:rsid w:val="00DE51D5"/>
    <w:rsid w:val="00E21DCF"/>
    <w:rsid w:val="00E23B3E"/>
    <w:rsid w:val="00E261D8"/>
    <w:rsid w:val="00E539E4"/>
    <w:rsid w:val="00E60B63"/>
    <w:rsid w:val="00E914B3"/>
    <w:rsid w:val="00E921FC"/>
    <w:rsid w:val="00E95EC3"/>
    <w:rsid w:val="00EA0183"/>
    <w:rsid w:val="00EB7D52"/>
    <w:rsid w:val="00EB7F2B"/>
    <w:rsid w:val="00F00461"/>
    <w:rsid w:val="00F14E77"/>
    <w:rsid w:val="00F439EB"/>
    <w:rsid w:val="00F43DA4"/>
    <w:rsid w:val="00F626AF"/>
    <w:rsid w:val="00F73460"/>
    <w:rsid w:val="00FA70A3"/>
    <w:rsid w:val="00FD613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99E3"/>
  <w15:chartTrackingRefBased/>
  <w15:docId w15:val="{0E0615DC-82FB-284A-A8A6-B03DA088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6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661E"/>
    <w:rPr>
      <w:rFonts w:ascii="Times New Roman" w:hAnsi="Times New Roman" w:cs="Times New Roman"/>
      <w:sz w:val="18"/>
      <w:szCs w:val="18"/>
    </w:rPr>
  </w:style>
  <w:style w:type="table" w:styleId="TableGrid">
    <w:name w:val="Table Grid"/>
    <w:basedOn w:val="TableNormal"/>
    <w:uiPriority w:val="39"/>
    <w:rsid w:val="008D1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70B1"/>
  </w:style>
  <w:style w:type="character" w:styleId="Hyperlink">
    <w:name w:val="Hyperlink"/>
    <w:basedOn w:val="DefaultParagraphFont"/>
    <w:uiPriority w:val="99"/>
    <w:unhideWhenUsed/>
    <w:rsid w:val="00AE2B1C"/>
    <w:rPr>
      <w:color w:val="0563C1" w:themeColor="hyperlink"/>
      <w:u w:val="single"/>
    </w:rPr>
  </w:style>
  <w:style w:type="character" w:customStyle="1" w:styleId="Menzionenonrisolta1">
    <w:name w:val="Menzione non risolta1"/>
    <w:basedOn w:val="DefaultParagraphFont"/>
    <w:uiPriority w:val="99"/>
    <w:semiHidden/>
    <w:unhideWhenUsed/>
    <w:rsid w:val="00AE2B1C"/>
    <w:rPr>
      <w:color w:val="605E5C"/>
      <w:shd w:val="clear" w:color="auto" w:fill="E1DFDD"/>
    </w:rPr>
  </w:style>
  <w:style w:type="character" w:styleId="FollowedHyperlink">
    <w:name w:val="FollowedHyperlink"/>
    <w:basedOn w:val="DefaultParagraphFont"/>
    <w:uiPriority w:val="99"/>
    <w:semiHidden/>
    <w:unhideWhenUsed/>
    <w:rsid w:val="00AE2B1C"/>
    <w:rPr>
      <w:color w:val="954F72" w:themeColor="followedHyperlink"/>
      <w:u w:val="single"/>
    </w:rPr>
  </w:style>
  <w:style w:type="paragraph" w:customStyle="1" w:styleId="EndNoteBibliography">
    <w:name w:val="EndNote Bibliography"/>
    <w:basedOn w:val="Normal"/>
    <w:link w:val="EndNoteBibliographyChar"/>
    <w:rsid w:val="004F1DC0"/>
    <w:rPr>
      <w:rFonts w:ascii="Times New Roman" w:eastAsia="MS Mincho" w:hAnsi="Times New Roman" w:cs="Times New Roman"/>
      <w:lang w:val="en-US"/>
    </w:rPr>
  </w:style>
  <w:style w:type="character" w:customStyle="1" w:styleId="EndNoteBibliographyChar">
    <w:name w:val="EndNote Bibliography Char"/>
    <w:basedOn w:val="DefaultParagraphFont"/>
    <w:link w:val="EndNoteBibliography"/>
    <w:rsid w:val="004F1DC0"/>
    <w:rPr>
      <w:rFonts w:ascii="Times New Roman" w:eastAsia="MS Mincho" w:hAnsi="Times New Roman" w:cs="Times New Roman"/>
      <w:lang w:val="en-US"/>
    </w:rPr>
  </w:style>
  <w:style w:type="paragraph" w:styleId="PlainText">
    <w:name w:val="Plain Text"/>
    <w:basedOn w:val="Normal"/>
    <w:link w:val="PlainTextChar"/>
    <w:uiPriority w:val="99"/>
    <w:semiHidden/>
    <w:unhideWhenUsed/>
    <w:rsid w:val="007C3160"/>
    <w:rPr>
      <w:rFonts w:ascii="Calibri" w:hAnsi="Calibri"/>
      <w:sz w:val="22"/>
      <w:szCs w:val="21"/>
      <w:lang w:val="en-US"/>
    </w:rPr>
  </w:style>
  <w:style w:type="character" w:customStyle="1" w:styleId="PlainTextChar">
    <w:name w:val="Plain Text Char"/>
    <w:basedOn w:val="DefaultParagraphFont"/>
    <w:link w:val="PlainText"/>
    <w:uiPriority w:val="99"/>
    <w:semiHidden/>
    <w:rsid w:val="007C3160"/>
    <w:rPr>
      <w:rFonts w:ascii="Calibri" w:hAnsi="Calibri"/>
      <w:sz w:val="22"/>
      <w:szCs w:val="21"/>
      <w:lang w:val="en-US"/>
    </w:rPr>
  </w:style>
  <w:style w:type="character" w:styleId="CommentReference">
    <w:name w:val="annotation reference"/>
    <w:basedOn w:val="DefaultParagraphFont"/>
    <w:uiPriority w:val="99"/>
    <w:semiHidden/>
    <w:unhideWhenUsed/>
    <w:rsid w:val="00DB1751"/>
    <w:rPr>
      <w:sz w:val="16"/>
      <w:szCs w:val="16"/>
    </w:rPr>
  </w:style>
  <w:style w:type="paragraph" w:styleId="CommentText">
    <w:name w:val="annotation text"/>
    <w:basedOn w:val="Normal"/>
    <w:link w:val="CommentTextChar"/>
    <w:uiPriority w:val="99"/>
    <w:semiHidden/>
    <w:unhideWhenUsed/>
    <w:rsid w:val="00DB1751"/>
    <w:rPr>
      <w:sz w:val="20"/>
      <w:szCs w:val="20"/>
    </w:rPr>
  </w:style>
  <w:style w:type="character" w:customStyle="1" w:styleId="CommentTextChar">
    <w:name w:val="Comment Text Char"/>
    <w:basedOn w:val="DefaultParagraphFont"/>
    <w:link w:val="CommentText"/>
    <w:uiPriority w:val="99"/>
    <w:semiHidden/>
    <w:rsid w:val="00DB1751"/>
    <w:rPr>
      <w:sz w:val="20"/>
      <w:szCs w:val="20"/>
    </w:rPr>
  </w:style>
  <w:style w:type="paragraph" w:styleId="CommentSubject">
    <w:name w:val="annotation subject"/>
    <w:basedOn w:val="CommentText"/>
    <w:next w:val="CommentText"/>
    <w:link w:val="CommentSubjectChar"/>
    <w:uiPriority w:val="99"/>
    <w:semiHidden/>
    <w:unhideWhenUsed/>
    <w:rsid w:val="00DB1751"/>
    <w:rPr>
      <w:b/>
      <w:bCs/>
    </w:rPr>
  </w:style>
  <w:style w:type="character" w:customStyle="1" w:styleId="CommentSubjectChar">
    <w:name w:val="Comment Subject Char"/>
    <w:basedOn w:val="CommentTextChar"/>
    <w:link w:val="CommentSubject"/>
    <w:uiPriority w:val="99"/>
    <w:semiHidden/>
    <w:rsid w:val="00DB1751"/>
    <w:rPr>
      <w:b/>
      <w:bCs/>
      <w:sz w:val="20"/>
      <w:szCs w:val="20"/>
    </w:rPr>
  </w:style>
  <w:style w:type="table" w:customStyle="1" w:styleId="TableGrid1">
    <w:name w:val="Table Grid1"/>
    <w:basedOn w:val="TableNormal"/>
    <w:next w:val="TableGrid"/>
    <w:uiPriority w:val="39"/>
    <w:rsid w:val="00C7590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904"/>
    <w:pPr>
      <w:spacing w:after="160" w:line="259" w:lineRule="auto"/>
      <w:ind w:left="720"/>
      <w:contextualSpacing/>
    </w:pPr>
    <w:rPr>
      <w:sz w:val="22"/>
      <w:szCs w:val="22"/>
      <w:lang w:val="en-GB"/>
    </w:rPr>
  </w:style>
  <w:style w:type="paragraph" w:styleId="Header">
    <w:name w:val="header"/>
    <w:basedOn w:val="Normal"/>
    <w:link w:val="HeaderChar"/>
    <w:uiPriority w:val="99"/>
    <w:unhideWhenUsed/>
    <w:rsid w:val="00C75904"/>
    <w:pPr>
      <w:tabs>
        <w:tab w:val="center" w:pos="4513"/>
        <w:tab w:val="right" w:pos="9026"/>
      </w:tabs>
    </w:pPr>
  </w:style>
  <w:style w:type="character" w:customStyle="1" w:styleId="HeaderChar">
    <w:name w:val="Header Char"/>
    <w:basedOn w:val="DefaultParagraphFont"/>
    <w:link w:val="Header"/>
    <w:uiPriority w:val="99"/>
    <w:rsid w:val="00C75904"/>
  </w:style>
  <w:style w:type="paragraph" w:styleId="Footer">
    <w:name w:val="footer"/>
    <w:basedOn w:val="Normal"/>
    <w:link w:val="FooterChar"/>
    <w:uiPriority w:val="99"/>
    <w:unhideWhenUsed/>
    <w:rsid w:val="00C75904"/>
    <w:pPr>
      <w:tabs>
        <w:tab w:val="center" w:pos="4513"/>
        <w:tab w:val="right" w:pos="9026"/>
      </w:tabs>
    </w:pPr>
  </w:style>
  <w:style w:type="character" w:customStyle="1" w:styleId="FooterChar">
    <w:name w:val="Footer Char"/>
    <w:basedOn w:val="DefaultParagraphFont"/>
    <w:link w:val="Footer"/>
    <w:uiPriority w:val="99"/>
    <w:rsid w:val="00C75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6258">
      <w:bodyDiv w:val="1"/>
      <w:marLeft w:val="0"/>
      <w:marRight w:val="0"/>
      <w:marTop w:val="0"/>
      <w:marBottom w:val="0"/>
      <w:divBdr>
        <w:top w:val="none" w:sz="0" w:space="0" w:color="auto"/>
        <w:left w:val="none" w:sz="0" w:space="0" w:color="auto"/>
        <w:bottom w:val="none" w:sz="0" w:space="0" w:color="auto"/>
        <w:right w:val="none" w:sz="0" w:space="0" w:color="auto"/>
      </w:divBdr>
    </w:div>
    <w:div w:id="50201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F5773-25DD-443A-AC44-3AA183A7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5</Pages>
  <Words>1724</Words>
  <Characters>9828</Characters>
  <Application>Microsoft Office Word</Application>
  <DocSecurity>0</DocSecurity>
  <Lines>81</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rauan.kaiyrzhanov.14@ucl.ac.uk</cp:lastModifiedBy>
  <cp:revision>66</cp:revision>
  <dcterms:created xsi:type="dcterms:W3CDTF">2020-09-01T11:40:00Z</dcterms:created>
  <dcterms:modified xsi:type="dcterms:W3CDTF">2021-07-31T06:48:00Z</dcterms:modified>
</cp:coreProperties>
</file>