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82AD" w14:textId="4DEEAF1E" w:rsidR="00D17FF9" w:rsidRDefault="002D756A" w:rsidP="000848A6">
      <w:pPr>
        <w:pStyle w:val="Heading1"/>
        <w:rPr>
          <w:lang w:val="en-US"/>
        </w:rPr>
      </w:pPr>
      <w:r>
        <w:rPr>
          <w:lang w:val="en-US"/>
        </w:rPr>
        <w:t>Captions for s</w:t>
      </w:r>
      <w:r w:rsidR="00093966" w:rsidRPr="00093966">
        <w:rPr>
          <w:lang w:val="en-US"/>
        </w:rPr>
        <w:t>upplementa</w:t>
      </w:r>
      <w:r w:rsidR="00A66D82">
        <w:rPr>
          <w:lang w:val="en-US"/>
        </w:rPr>
        <w:t>ry</w:t>
      </w:r>
      <w:r w:rsidR="00093966" w:rsidRPr="00093966">
        <w:rPr>
          <w:lang w:val="en-US"/>
        </w:rPr>
        <w:t xml:space="preserve"> figures</w:t>
      </w:r>
      <w:bookmarkStart w:id="0" w:name="_GoBack"/>
      <w:bookmarkEnd w:id="0"/>
    </w:p>
    <w:p w14:paraId="772FFAE1" w14:textId="77777777" w:rsidR="000848A6" w:rsidRPr="000848A6" w:rsidRDefault="000848A6" w:rsidP="000848A6">
      <w:pPr>
        <w:rPr>
          <w:lang w:val="en-US"/>
        </w:rPr>
      </w:pPr>
    </w:p>
    <w:p w14:paraId="2F77FB31" w14:textId="1AA676C6" w:rsidR="00783101" w:rsidRPr="00783101" w:rsidRDefault="00783101" w:rsidP="00031F2F">
      <w:pPr>
        <w:spacing w:line="480" w:lineRule="auto"/>
        <w:rPr>
          <w:lang w:val="en-US"/>
        </w:rPr>
      </w:pPr>
      <w:r w:rsidRPr="00C84136">
        <w:rPr>
          <w:b/>
          <w:lang w:val="en-US"/>
        </w:rPr>
        <w:t>Fig</w:t>
      </w:r>
      <w:r w:rsidR="00260BE2">
        <w:rPr>
          <w:b/>
          <w:lang w:val="en-US"/>
        </w:rPr>
        <w:t>.</w:t>
      </w:r>
      <w:r>
        <w:rPr>
          <w:b/>
          <w:lang w:val="en-US"/>
        </w:rPr>
        <w:t>S</w:t>
      </w:r>
      <w:r w:rsidRPr="00C84136">
        <w:rPr>
          <w:b/>
          <w:lang w:val="en-US"/>
        </w:rPr>
        <w:t>1</w:t>
      </w:r>
      <w:r w:rsidRPr="00093966">
        <w:rPr>
          <w:lang w:val="en-US"/>
        </w:rPr>
        <w:t xml:space="preserve"> Identification of </w:t>
      </w:r>
      <w:r>
        <w:rPr>
          <w:lang w:val="en-US"/>
        </w:rPr>
        <w:t xml:space="preserve">the </w:t>
      </w:r>
      <w:r w:rsidRPr="00093966">
        <w:rPr>
          <w:lang w:val="en-US"/>
        </w:rPr>
        <w:t>study cohort</w:t>
      </w:r>
    </w:p>
    <w:p w14:paraId="0A75FC9B" w14:textId="77777777" w:rsidR="00783101" w:rsidRDefault="00783101" w:rsidP="00031F2F">
      <w:pPr>
        <w:spacing w:line="480" w:lineRule="auto"/>
        <w:rPr>
          <w:rFonts w:cs="Times New Roman"/>
          <w:b/>
          <w:lang w:val="en-US"/>
        </w:rPr>
      </w:pPr>
    </w:p>
    <w:p w14:paraId="7002DC3A" w14:textId="20D5C029" w:rsidR="00031F2F" w:rsidRDefault="00031F2F" w:rsidP="00031F2F">
      <w:pPr>
        <w:spacing w:line="480" w:lineRule="auto"/>
        <w:rPr>
          <w:rFonts w:cs="Times New Roman"/>
          <w:lang w:val="en-US"/>
        </w:rPr>
      </w:pPr>
      <w:r w:rsidRPr="00C84136">
        <w:rPr>
          <w:rFonts w:cs="Times New Roman"/>
          <w:b/>
          <w:lang w:val="en-US"/>
        </w:rPr>
        <w:t>Fig</w:t>
      </w:r>
      <w:r w:rsidR="00260BE2">
        <w:rPr>
          <w:rFonts w:cs="Times New Roman"/>
          <w:b/>
          <w:lang w:val="en-US"/>
        </w:rPr>
        <w:t>.</w:t>
      </w:r>
      <w:r w:rsidR="006221AD">
        <w:rPr>
          <w:rFonts w:cs="Times New Roman"/>
          <w:b/>
          <w:lang w:val="en-US"/>
        </w:rPr>
        <w:t>S2</w:t>
      </w:r>
      <w:r w:rsidRPr="00093966">
        <w:rPr>
          <w:rFonts w:cs="Times New Roman"/>
          <w:lang w:val="en-US"/>
        </w:rPr>
        <w:t xml:space="preserve"> Changes when shifting from 2007 to 2016 WHO classification</w:t>
      </w:r>
    </w:p>
    <w:p w14:paraId="25D5BF75" w14:textId="6B052B4A" w:rsidR="00031F2F" w:rsidRPr="00031F2F" w:rsidRDefault="00031F2F" w:rsidP="00D17FF9">
      <w:pPr>
        <w:spacing w:line="480" w:lineRule="auto"/>
        <w:rPr>
          <w:rFonts w:cs="Times New Roman"/>
          <w:lang w:val="en-US"/>
        </w:rPr>
      </w:pPr>
      <w:r>
        <w:rPr>
          <w:rFonts w:cs="Times New Roman"/>
          <w:lang w:val="en-US"/>
        </w:rPr>
        <w:t xml:space="preserve">Boxes at the top depict the histologic WHO 2007 classification of the whole cohort (n = 424, </w:t>
      </w:r>
      <w:r w:rsidRPr="006631CA">
        <w:rPr>
          <w:rFonts w:cs="Times New Roman"/>
          <w:i/>
          <w:lang w:val="en-US"/>
        </w:rPr>
        <w:t>A°II</w:t>
      </w:r>
      <w:r>
        <w:rPr>
          <w:rFonts w:cs="Times New Roman"/>
          <w:lang w:val="en-US"/>
        </w:rPr>
        <w:t xml:space="preserve"> = Astrocytoma WHO </w:t>
      </w:r>
      <w:r w:rsidR="00C33DAB">
        <w:rPr>
          <w:rFonts w:cs="Times New Roman"/>
          <w:lang w:val="en-US"/>
        </w:rPr>
        <w:t xml:space="preserve">grade </w:t>
      </w:r>
      <w:r>
        <w:rPr>
          <w:rFonts w:cs="Times New Roman"/>
          <w:lang w:val="en-US"/>
        </w:rPr>
        <w:t xml:space="preserve">II, </w:t>
      </w:r>
      <w:r w:rsidRPr="006631CA">
        <w:rPr>
          <w:rFonts w:cs="Times New Roman"/>
          <w:i/>
          <w:lang w:val="en-US"/>
        </w:rPr>
        <w:t>A°II</w:t>
      </w:r>
      <w:r>
        <w:rPr>
          <w:rFonts w:cs="Times New Roman"/>
          <w:i/>
          <w:lang w:val="en-US"/>
        </w:rPr>
        <w:t>I</w:t>
      </w:r>
      <w:r>
        <w:rPr>
          <w:rFonts w:cs="Times New Roman"/>
          <w:lang w:val="en-US"/>
        </w:rPr>
        <w:t xml:space="preserve"> = Astrocytoma WHO </w:t>
      </w:r>
      <w:r w:rsidR="00C33DAB">
        <w:rPr>
          <w:rFonts w:cs="Times New Roman"/>
          <w:lang w:val="en-US"/>
        </w:rPr>
        <w:t xml:space="preserve">grade </w:t>
      </w:r>
      <w:r>
        <w:rPr>
          <w:rFonts w:cs="Times New Roman"/>
          <w:lang w:val="en-US"/>
        </w:rPr>
        <w:t>III, O</w:t>
      </w:r>
      <w:r w:rsidRPr="006631CA">
        <w:rPr>
          <w:rFonts w:cs="Times New Roman"/>
          <w:i/>
          <w:lang w:val="en-US"/>
        </w:rPr>
        <w:t>A°II</w:t>
      </w:r>
      <w:r>
        <w:rPr>
          <w:rFonts w:cs="Times New Roman"/>
          <w:lang w:val="en-US"/>
        </w:rPr>
        <w:t xml:space="preserve"> = </w:t>
      </w:r>
      <w:proofErr w:type="spellStart"/>
      <w:r>
        <w:rPr>
          <w:rFonts w:cs="Times New Roman"/>
          <w:lang w:val="en-US"/>
        </w:rPr>
        <w:t>Oligoastrocytoma</w:t>
      </w:r>
      <w:proofErr w:type="spellEnd"/>
      <w:r>
        <w:rPr>
          <w:rFonts w:cs="Times New Roman"/>
          <w:lang w:val="en-US"/>
        </w:rPr>
        <w:t xml:space="preserve"> WHO </w:t>
      </w:r>
      <w:r w:rsidR="00C33DAB">
        <w:rPr>
          <w:rFonts w:cs="Times New Roman"/>
          <w:lang w:val="en-US"/>
        </w:rPr>
        <w:t xml:space="preserve">grade </w:t>
      </w:r>
      <w:r>
        <w:rPr>
          <w:rFonts w:cs="Times New Roman"/>
          <w:lang w:val="en-US"/>
        </w:rPr>
        <w:t>II, O</w:t>
      </w:r>
      <w:r w:rsidRPr="006631CA">
        <w:rPr>
          <w:rFonts w:cs="Times New Roman"/>
          <w:i/>
          <w:lang w:val="en-US"/>
        </w:rPr>
        <w:t>A°II</w:t>
      </w:r>
      <w:r>
        <w:rPr>
          <w:rFonts w:cs="Times New Roman"/>
          <w:i/>
          <w:lang w:val="en-US"/>
        </w:rPr>
        <w:t>I</w:t>
      </w:r>
      <w:r>
        <w:rPr>
          <w:rFonts w:cs="Times New Roman"/>
          <w:lang w:val="en-US"/>
        </w:rPr>
        <w:t xml:space="preserve"> = </w:t>
      </w:r>
      <w:proofErr w:type="spellStart"/>
      <w:r>
        <w:rPr>
          <w:rFonts w:cs="Times New Roman"/>
          <w:lang w:val="en-US"/>
        </w:rPr>
        <w:t>Oligoastrocytoma</w:t>
      </w:r>
      <w:proofErr w:type="spellEnd"/>
      <w:r>
        <w:rPr>
          <w:rFonts w:cs="Times New Roman"/>
          <w:lang w:val="en-US"/>
        </w:rPr>
        <w:t xml:space="preserve"> WHO </w:t>
      </w:r>
      <w:r w:rsidR="00C33DAB">
        <w:rPr>
          <w:rFonts w:cs="Times New Roman"/>
          <w:lang w:val="en-US"/>
        </w:rPr>
        <w:t xml:space="preserve">grade </w:t>
      </w:r>
      <w:r>
        <w:rPr>
          <w:rFonts w:cs="Times New Roman"/>
          <w:lang w:val="en-US"/>
        </w:rPr>
        <w:t>III, O</w:t>
      </w:r>
      <w:r w:rsidRPr="006631CA">
        <w:rPr>
          <w:rFonts w:cs="Times New Roman"/>
          <w:i/>
          <w:lang w:val="en-US"/>
        </w:rPr>
        <w:t>°II</w:t>
      </w:r>
      <w:r>
        <w:rPr>
          <w:rFonts w:cs="Times New Roman"/>
          <w:lang w:val="en-US"/>
        </w:rPr>
        <w:t xml:space="preserve"> = </w:t>
      </w:r>
      <w:proofErr w:type="spellStart"/>
      <w:r>
        <w:rPr>
          <w:rFonts w:cs="Times New Roman"/>
          <w:lang w:val="en-US"/>
        </w:rPr>
        <w:t>Oligodendroglioma</w:t>
      </w:r>
      <w:proofErr w:type="spellEnd"/>
      <w:r>
        <w:rPr>
          <w:rFonts w:cs="Times New Roman"/>
          <w:lang w:val="en-US"/>
        </w:rPr>
        <w:t xml:space="preserve"> WHO </w:t>
      </w:r>
      <w:r w:rsidR="00C33DAB">
        <w:rPr>
          <w:rFonts w:cs="Times New Roman"/>
          <w:lang w:val="en-US"/>
        </w:rPr>
        <w:t xml:space="preserve">grade </w:t>
      </w:r>
      <w:r>
        <w:rPr>
          <w:rFonts w:cs="Times New Roman"/>
          <w:lang w:val="en-US"/>
        </w:rPr>
        <w:t>II, O</w:t>
      </w:r>
      <w:r w:rsidRPr="006631CA">
        <w:rPr>
          <w:rFonts w:cs="Times New Roman"/>
          <w:i/>
          <w:lang w:val="en-US"/>
        </w:rPr>
        <w:t>°II</w:t>
      </w:r>
      <w:r>
        <w:rPr>
          <w:rFonts w:cs="Times New Roman"/>
          <w:i/>
          <w:lang w:val="en-US"/>
        </w:rPr>
        <w:t>I</w:t>
      </w:r>
      <w:r>
        <w:rPr>
          <w:rFonts w:cs="Times New Roman"/>
          <w:lang w:val="en-US"/>
        </w:rPr>
        <w:t xml:space="preserve"> = </w:t>
      </w:r>
      <w:proofErr w:type="spellStart"/>
      <w:r>
        <w:rPr>
          <w:rFonts w:cs="Times New Roman"/>
          <w:lang w:val="en-US"/>
        </w:rPr>
        <w:t>Oligodendroglioma</w:t>
      </w:r>
      <w:proofErr w:type="spellEnd"/>
      <w:r>
        <w:rPr>
          <w:rFonts w:cs="Times New Roman"/>
          <w:lang w:val="en-US"/>
        </w:rPr>
        <w:t xml:space="preserve"> WHO </w:t>
      </w:r>
      <w:r w:rsidR="00C33DAB">
        <w:rPr>
          <w:rFonts w:cs="Times New Roman"/>
          <w:lang w:val="en-US"/>
        </w:rPr>
        <w:t xml:space="preserve">grade </w:t>
      </w:r>
      <w:r>
        <w:rPr>
          <w:rFonts w:cs="Times New Roman"/>
          <w:lang w:val="en-US"/>
        </w:rPr>
        <w:t>III). Boxes at the bottom depict the molecular groups based on the WHO 2016 classification (n = 257; 167 patients remained unclassified). The width of the boxes corresponds to the number of patients. Additional information on median follow-up in years (</w:t>
      </w:r>
      <w:r w:rsidRPr="000F03E5">
        <w:rPr>
          <w:rFonts w:cs="Times New Roman"/>
          <w:i/>
          <w:iCs/>
          <w:lang w:val="en-US"/>
        </w:rPr>
        <w:t>f-u</w:t>
      </w:r>
      <w:r>
        <w:rPr>
          <w:rFonts w:cs="Times New Roman"/>
          <w:lang w:val="en-US"/>
        </w:rPr>
        <w:t>) presenting symptoms (</w:t>
      </w:r>
      <w:r w:rsidRPr="00B72599">
        <w:rPr>
          <w:rFonts w:cs="Times New Roman"/>
          <w:i/>
          <w:lang w:val="en-US"/>
        </w:rPr>
        <w:t>Neurol. deficit</w:t>
      </w:r>
      <w:r>
        <w:rPr>
          <w:rFonts w:cs="Times New Roman"/>
          <w:i/>
          <w:lang w:val="en-US"/>
        </w:rPr>
        <w:t xml:space="preserve"> </w:t>
      </w:r>
      <w:r>
        <w:rPr>
          <w:rFonts w:cs="Times New Roman"/>
          <w:lang w:val="en-US"/>
        </w:rPr>
        <w:t xml:space="preserve">= neurologic deficit), tumor expansion, proportion of patients which underwent resection and distribution of the </w:t>
      </w:r>
      <w:proofErr w:type="gramStart"/>
      <w:r>
        <w:rPr>
          <w:rFonts w:cs="Times New Roman"/>
          <w:lang w:val="en-US"/>
        </w:rPr>
        <w:t>following</w:t>
      </w:r>
      <w:proofErr w:type="gramEnd"/>
      <w:r>
        <w:rPr>
          <w:rFonts w:cs="Times New Roman"/>
          <w:lang w:val="en-US"/>
        </w:rPr>
        <w:t xml:space="preserve"> first-line therapy (</w:t>
      </w:r>
      <w:r w:rsidRPr="00B72599">
        <w:rPr>
          <w:rFonts w:cs="Times New Roman"/>
          <w:i/>
          <w:lang w:val="en-US"/>
        </w:rPr>
        <w:t>RT</w:t>
      </w:r>
      <w:r>
        <w:rPr>
          <w:rFonts w:cs="Times New Roman"/>
          <w:lang w:val="en-US"/>
        </w:rPr>
        <w:t xml:space="preserve"> = radiotherapy, </w:t>
      </w:r>
      <w:r w:rsidRPr="00487388">
        <w:rPr>
          <w:rFonts w:cs="Times New Roman"/>
          <w:i/>
          <w:lang w:val="en-US"/>
        </w:rPr>
        <w:t>CT</w:t>
      </w:r>
      <w:r>
        <w:rPr>
          <w:rFonts w:cs="Times New Roman"/>
          <w:lang w:val="en-US"/>
        </w:rPr>
        <w:t xml:space="preserve"> = chemotherapy, </w:t>
      </w:r>
      <w:r w:rsidRPr="00487388">
        <w:rPr>
          <w:rFonts w:cs="Times New Roman"/>
          <w:i/>
          <w:lang w:val="en-US"/>
        </w:rPr>
        <w:t>W&amp;S</w:t>
      </w:r>
      <w:r>
        <w:rPr>
          <w:rFonts w:cs="Times New Roman"/>
          <w:lang w:val="en-US"/>
        </w:rPr>
        <w:t xml:space="preserve"> = wait and see) is included in the boxes. </w:t>
      </w:r>
      <w:r w:rsidRPr="00D248B5">
        <w:rPr>
          <w:rFonts w:cs="Times New Roman"/>
          <w:color w:val="000000" w:themeColor="text1"/>
          <w:lang w:val="en-US"/>
        </w:rPr>
        <w:t>Seizures were the dominating presenting symptom and more frequent in IDH-mut</w:t>
      </w:r>
      <w:r w:rsidR="00C33DAB">
        <w:rPr>
          <w:rFonts w:cs="Times New Roman"/>
          <w:color w:val="000000" w:themeColor="text1"/>
          <w:lang w:val="en-US"/>
        </w:rPr>
        <w:t>ant</w:t>
      </w:r>
      <w:r w:rsidRPr="00D248B5">
        <w:rPr>
          <w:rFonts w:cs="Times New Roman"/>
          <w:color w:val="000000" w:themeColor="text1"/>
          <w:lang w:val="en-US"/>
        </w:rPr>
        <w:t xml:space="preserve"> than in IDH1-R132H-nm </w:t>
      </w:r>
      <w:r w:rsidR="00C33DAB">
        <w:rPr>
          <w:rFonts w:cs="Times New Roman"/>
          <w:color w:val="000000" w:themeColor="text1"/>
          <w:lang w:val="en-US"/>
        </w:rPr>
        <w:t>(</w:t>
      </w:r>
      <w:r w:rsidR="00C33DAB" w:rsidRPr="00D248B5">
        <w:rPr>
          <w:rFonts w:cs="Times New Roman"/>
          <w:color w:val="000000" w:themeColor="text1"/>
          <w:lang w:val="en-US"/>
        </w:rPr>
        <w:t>IDH1-R132H-n</w:t>
      </w:r>
      <w:r w:rsidR="00C33DAB">
        <w:rPr>
          <w:rFonts w:cs="Times New Roman"/>
          <w:color w:val="000000" w:themeColor="text1"/>
          <w:lang w:val="en-US"/>
        </w:rPr>
        <w:t>on-mutant)</w:t>
      </w:r>
      <w:r w:rsidR="00C33DAB" w:rsidRPr="00D248B5">
        <w:rPr>
          <w:rFonts w:cs="Times New Roman"/>
          <w:color w:val="000000" w:themeColor="text1"/>
          <w:lang w:val="en-US"/>
        </w:rPr>
        <w:t xml:space="preserve"> </w:t>
      </w:r>
      <w:r w:rsidRPr="00D248B5">
        <w:rPr>
          <w:rFonts w:cs="Times New Roman"/>
          <w:color w:val="000000" w:themeColor="text1"/>
          <w:lang w:val="en-US"/>
        </w:rPr>
        <w:t>patients (64%/ 51%, p=0.04). While predominantly affecting the frontal lobe (70-75%) the average number of involved brain lobes was higher in IDH1-R132H-nm than in IDH-mut</w:t>
      </w:r>
      <w:r w:rsidR="00C33DAB">
        <w:rPr>
          <w:rFonts w:cs="Times New Roman"/>
          <w:color w:val="000000" w:themeColor="text1"/>
          <w:lang w:val="en-US"/>
        </w:rPr>
        <w:t>ant</w:t>
      </w:r>
      <w:r w:rsidRPr="00D248B5">
        <w:rPr>
          <w:rFonts w:cs="Times New Roman"/>
          <w:color w:val="000000" w:themeColor="text1"/>
          <w:lang w:val="en-US"/>
        </w:rPr>
        <w:t xml:space="preserve"> tumors (1.7/ 1.4, p&lt;0.01). </w:t>
      </w:r>
      <w:r>
        <w:rPr>
          <w:rFonts w:cs="Times New Roman"/>
          <w:lang w:val="en-US"/>
        </w:rPr>
        <w:t>The flows in between the upper and lower boxes show the redistribution of the patients, with the width being proportional to the patient number noted on the flow</w:t>
      </w:r>
    </w:p>
    <w:p w14:paraId="7A5D7FF5" w14:textId="6057434B" w:rsidR="00031F2F" w:rsidRDefault="00031F2F" w:rsidP="00D17FF9">
      <w:pPr>
        <w:spacing w:line="480" w:lineRule="auto"/>
        <w:rPr>
          <w:rFonts w:cs="Times New Roman"/>
          <w:b/>
          <w:lang w:val="en-US"/>
        </w:rPr>
      </w:pPr>
    </w:p>
    <w:p w14:paraId="4D6FA421" w14:textId="1632282F" w:rsidR="00783101" w:rsidRPr="00783101" w:rsidRDefault="00783101" w:rsidP="00783101">
      <w:pPr>
        <w:spacing w:line="480" w:lineRule="auto"/>
        <w:rPr>
          <w:rFonts w:cs="Times New Roman"/>
          <w:bCs/>
          <w:lang w:val="en-US"/>
        </w:rPr>
      </w:pPr>
      <w:r>
        <w:rPr>
          <w:rFonts w:cs="Times New Roman"/>
          <w:b/>
          <w:lang w:val="en-US"/>
        </w:rPr>
        <w:t>Fig</w:t>
      </w:r>
      <w:r w:rsidR="00260BE2">
        <w:rPr>
          <w:rFonts w:cs="Times New Roman"/>
          <w:b/>
          <w:lang w:val="en-US"/>
        </w:rPr>
        <w:t>.</w:t>
      </w:r>
      <w:r>
        <w:rPr>
          <w:rFonts w:cs="Times New Roman"/>
          <w:b/>
          <w:lang w:val="en-US"/>
        </w:rPr>
        <w:t xml:space="preserve">S3 </w:t>
      </w:r>
      <w:r w:rsidRPr="00783101">
        <w:rPr>
          <w:rFonts w:cs="Times New Roman"/>
          <w:bCs/>
          <w:lang w:val="en-US"/>
        </w:rPr>
        <w:t>OS impact of grading based on the 2007 WHO classification</w:t>
      </w:r>
    </w:p>
    <w:p w14:paraId="0EBD8F5B" w14:textId="4C26713A" w:rsidR="00783101" w:rsidRPr="00783101" w:rsidRDefault="00783101" w:rsidP="00783101">
      <w:pPr>
        <w:spacing w:line="480" w:lineRule="auto"/>
        <w:rPr>
          <w:rFonts w:cs="Times New Roman"/>
          <w:bCs/>
          <w:lang w:val="en-US"/>
        </w:rPr>
      </w:pPr>
      <w:r w:rsidRPr="00783101">
        <w:rPr>
          <w:rFonts w:cs="Times New Roman"/>
          <w:bCs/>
          <w:lang w:val="en-US"/>
        </w:rPr>
        <w:t>Kaplan-Meier curves for overall survival (</w:t>
      </w:r>
      <w:r w:rsidRPr="00783101">
        <w:rPr>
          <w:rFonts w:cs="Times New Roman"/>
          <w:bCs/>
          <w:i/>
          <w:iCs/>
          <w:lang w:val="en-US"/>
        </w:rPr>
        <w:t>OS</w:t>
      </w:r>
      <w:r w:rsidRPr="00783101">
        <w:rPr>
          <w:rFonts w:cs="Times New Roman"/>
          <w:bCs/>
          <w:lang w:val="en-US"/>
        </w:rPr>
        <w:t xml:space="preserve">) </w:t>
      </w:r>
      <w:r>
        <w:rPr>
          <w:rFonts w:cs="Times New Roman"/>
          <w:bCs/>
          <w:lang w:val="en-US"/>
        </w:rPr>
        <w:t>for</w:t>
      </w:r>
      <w:r w:rsidRPr="00783101">
        <w:rPr>
          <w:rFonts w:cs="Times New Roman"/>
          <w:bCs/>
          <w:lang w:val="en-US"/>
        </w:rPr>
        <w:t xml:space="preserve"> morphologic subgroups (WHO 2007, astrocytoma (</w:t>
      </w:r>
      <w:r>
        <w:rPr>
          <w:rFonts w:cs="Times New Roman"/>
          <w:bCs/>
          <w:lang w:val="en-US"/>
        </w:rPr>
        <w:t>a</w:t>
      </w:r>
      <w:r w:rsidRPr="00783101">
        <w:rPr>
          <w:rFonts w:cs="Times New Roman"/>
          <w:bCs/>
          <w:lang w:val="en-US"/>
        </w:rPr>
        <w:t xml:space="preserve">) and </w:t>
      </w:r>
      <w:proofErr w:type="spellStart"/>
      <w:r w:rsidRPr="00783101">
        <w:rPr>
          <w:rFonts w:cs="Times New Roman"/>
          <w:bCs/>
          <w:lang w:val="en-US"/>
        </w:rPr>
        <w:t>oligodendroglioma</w:t>
      </w:r>
      <w:proofErr w:type="spellEnd"/>
      <w:r w:rsidRPr="00783101">
        <w:rPr>
          <w:rFonts w:cs="Times New Roman"/>
          <w:bCs/>
          <w:lang w:val="en-US"/>
        </w:rPr>
        <w:t xml:space="preserve"> (</w:t>
      </w:r>
      <w:r>
        <w:rPr>
          <w:rFonts w:cs="Times New Roman"/>
          <w:bCs/>
          <w:lang w:val="en-US"/>
        </w:rPr>
        <w:t>b</w:t>
      </w:r>
      <w:r w:rsidRPr="00783101">
        <w:rPr>
          <w:rFonts w:cs="Times New Roman"/>
          <w:bCs/>
          <w:lang w:val="en-US"/>
        </w:rPr>
        <w:t xml:space="preserve">)). Differences between WHO grade II/III are </w:t>
      </w:r>
      <w:r>
        <w:rPr>
          <w:rFonts w:cs="Times New Roman"/>
          <w:bCs/>
          <w:lang w:val="en-US"/>
        </w:rPr>
        <w:t xml:space="preserve">only </w:t>
      </w:r>
      <w:r w:rsidRPr="00783101">
        <w:rPr>
          <w:rFonts w:cs="Times New Roman"/>
          <w:bCs/>
          <w:lang w:val="en-US"/>
        </w:rPr>
        <w:t>significant</w:t>
      </w:r>
      <w:r>
        <w:rPr>
          <w:rFonts w:cs="Times New Roman"/>
          <w:bCs/>
          <w:lang w:val="en-US"/>
        </w:rPr>
        <w:t xml:space="preserve"> for astrocytoma</w:t>
      </w:r>
      <w:r w:rsidRPr="00783101">
        <w:rPr>
          <w:rFonts w:cs="Times New Roman"/>
          <w:bCs/>
          <w:lang w:val="en-US"/>
        </w:rPr>
        <w:t xml:space="preserve"> (p&lt; 0.05, log-ranked test)</w:t>
      </w:r>
    </w:p>
    <w:p w14:paraId="4BF2B296" w14:textId="77777777" w:rsidR="00783101" w:rsidRDefault="00783101" w:rsidP="00D17FF9">
      <w:pPr>
        <w:spacing w:line="480" w:lineRule="auto"/>
        <w:rPr>
          <w:rFonts w:cs="Times New Roman"/>
          <w:b/>
          <w:lang w:val="en-US"/>
        </w:rPr>
      </w:pPr>
    </w:p>
    <w:p w14:paraId="63388CF1" w14:textId="2CCD1C80" w:rsidR="00D17FF9" w:rsidRDefault="00D17FF9" w:rsidP="00D17FF9">
      <w:pPr>
        <w:spacing w:line="480" w:lineRule="auto"/>
        <w:rPr>
          <w:rFonts w:cs="Times New Roman"/>
          <w:lang w:val="en-US"/>
        </w:rPr>
      </w:pPr>
      <w:r w:rsidRPr="00C84136">
        <w:rPr>
          <w:rFonts w:cs="Times New Roman"/>
          <w:b/>
          <w:lang w:val="en-US"/>
        </w:rPr>
        <w:t>Fig</w:t>
      </w:r>
      <w:r w:rsidR="00260BE2">
        <w:rPr>
          <w:rFonts w:cs="Times New Roman"/>
          <w:b/>
          <w:lang w:val="en-US"/>
        </w:rPr>
        <w:t>.</w:t>
      </w:r>
      <w:r w:rsidR="00783101">
        <w:rPr>
          <w:rFonts w:cs="Times New Roman"/>
          <w:b/>
          <w:lang w:val="en-US"/>
        </w:rPr>
        <w:t>S4</w:t>
      </w:r>
      <w:r w:rsidRPr="00093966">
        <w:rPr>
          <w:rFonts w:cs="Times New Roman"/>
          <w:lang w:val="en-US"/>
        </w:rPr>
        <w:t xml:space="preserve"> Treatment allocation through three stages disease</w:t>
      </w:r>
    </w:p>
    <w:p w14:paraId="213CD990" w14:textId="2477F0E7" w:rsidR="00503F21" w:rsidRDefault="00D17FF9" w:rsidP="00093966">
      <w:pPr>
        <w:spacing w:line="480" w:lineRule="auto"/>
        <w:rPr>
          <w:rFonts w:cs="Times New Roman"/>
          <w:lang w:val="en-US"/>
        </w:rPr>
      </w:pPr>
      <w:r>
        <w:rPr>
          <w:rFonts w:cs="Times New Roman"/>
          <w:lang w:val="en-US"/>
        </w:rPr>
        <w:t>Alluvial diagram with width of boxes and flows being proportional to the number of patients (individual numbers are noted within boxes or on flows). Boxes and flows are color coded depending on the kind</w:t>
      </w:r>
      <w:r w:rsidR="00AF46D4">
        <w:rPr>
          <w:rFonts w:cs="Times New Roman"/>
          <w:lang w:val="en-US"/>
        </w:rPr>
        <w:t xml:space="preserve"> of</w:t>
      </w:r>
      <w:r>
        <w:rPr>
          <w:rFonts w:cs="Times New Roman"/>
          <w:lang w:val="en-US"/>
        </w:rPr>
        <w:t xml:space="preserve"> treatment. Note that the total number of patients shown at the top is decreasing for increasing therapy stages due to patient deaths or limitations in follow up. </w:t>
      </w:r>
      <w:r w:rsidRPr="00DB68A3">
        <w:rPr>
          <w:rFonts w:cs="Times New Roman"/>
          <w:i/>
          <w:lang w:val="en-US"/>
        </w:rPr>
        <w:t>RES</w:t>
      </w:r>
      <w:r>
        <w:rPr>
          <w:rFonts w:cs="Times New Roman"/>
          <w:lang w:val="en-US"/>
        </w:rPr>
        <w:t xml:space="preserve"> = proportion (%) of patients which underwent </w:t>
      </w:r>
      <w:r w:rsidR="00AF46D4">
        <w:rPr>
          <w:rFonts w:cs="Times New Roman"/>
          <w:lang w:val="en-US"/>
        </w:rPr>
        <w:t xml:space="preserve">resection in </w:t>
      </w:r>
      <w:r w:rsidR="00AF46D4">
        <w:rPr>
          <w:rFonts w:cs="Times New Roman"/>
          <w:lang w:val="en-US"/>
        </w:rPr>
        <w:lastRenderedPageBreak/>
        <w:t>addition to the treatment indicated by the block color</w:t>
      </w:r>
      <w:r w:rsidR="00717372">
        <w:rPr>
          <w:rFonts w:cs="Times New Roman"/>
          <w:lang w:val="en-US"/>
        </w:rPr>
        <w:t xml:space="preserve">; </w:t>
      </w:r>
      <w:r w:rsidR="00717372" w:rsidRPr="00717372">
        <w:rPr>
          <w:rFonts w:cs="Times New Roman"/>
          <w:i/>
          <w:iCs/>
          <w:lang w:val="en-US"/>
        </w:rPr>
        <w:t>FUT</w:t>
      </w:r>
      <w:r w:rsidR="00717372">
        <w:rPr>
          <w:rFonts w:cs="Times New Roman"/>
          <w:lang w:val="en-US"/>
        </w:rPr>
        <w:t>= proportion (%) of patients with known follow-up treatment</w:t>
      </w:r>
    </w:p>
    <w:p w14:paraId="225F6F1D" w14:textId="423679D6" w:rsidR="00317FA8" w:rsidRDefault="00317FA8" w:rsidP="00093966">
      <w:pPr>
        <w:spacing w:line="480" w:lineRule="auto"/>
        <w:rPr>
          <w:rFonts w:cs="Times New Roman"/>
          <w:lang w:val="en-US"/>
        </w:rPr>
      </w:pPr>
    </w:p>
    <w:p w14:paraId="22D1EA63" w14:textId="31D26B40" w:rsidR="00317FA8" w:rsidRDefault="00317FA8" w:rsidP="00317FA8">
      <w:pPr>
        <w:spacing w:line="480" w:lineRule="auto"/>
        <w:rPr>
          <w:rFonts w:cs="Times New Roman"/>
          <w:lang w:val="en-US"/>
        </w:rPr>
      </w:pPr>
      <w:r w:rsidRPr="00C84136">
        <w:rPr>
          <w:rFonts w:cs="Times New Roman"/>
          <w:b/>
          <w:lang w:val="en-US"/>
        </w:rPr>
        <w:t>Fig</w:t>
      </w:r>
      <w:r w:rsidR="00260BE2">
        <w:rPr>
          <w:rFonts w:cs="Times New Roman"/>
          <w:b/>
          <w:lang w:val="en-US"/>
        </w:rPr>
        <w:t>.</w:t>
      </w:r>
      <w:r w:rsidR="00783101">
        <w:rPr>
          <w:rFonts w:cs="Times New Roman"/>
          <w:b/>
          <w:lang w:val="en-US"/>
        </w:rPr>
        <w:t>S5</w:t>
      </w:r>
      <w:r w:rsidRPr="00093966">
        <w:rPr>
          <w:rFonts w:cs="Times New Roman"/>
          <w:lang w:val="en-US"/>
        </w:rPr>
        <w:t xml:space="preserve"> </w:t>
      </w:r>
      <w:r w:rsidR="00F05A91">
        <w:rPr>
          <w:rFonts w:cs="Times New Roman"/>
          <w:lang w:val="en-US"/>
        </w:rPr>
        <w:t>Time to treatment failure for the first three therapy lines</w:t>
      </w:r>
    </w:p>
    <w:p w14:paraId="5AA62AA7" w14:textId="4DCD843F" w:rsidR="00F05A91" w:rsidRDefault="00F05A91" w:rsidP="00317FA8">
      <w:pPr>
        <w:spacing w:line="480" w:lineRule="auto"/>
        <w:rPr>
          <w:rFonts w:cs="Times New Roman"/>
          <w:lang w:val="en-US"/>
        </w:rPr>
      </w:pPr>
      <w:r>
        <w:rPr>
          <w:rFonts w:cs="Times New Roman"/>
          <w:lang w:val="en-US"/>
        </w:rPr>
        <w:t>Time to treatment failure (</w:t>
      </w:r>
      <w:r w:rsidRPr="00F05A91">
        <w:rPr>
          <w:rFonts w:cs="Times New Roman"/>
          <w:i/>
          <w:iCs/>
          <w:lang w:val="en-US"/>
        </w:rPr>
        <w:t>TTF</w:t>
      </w:r>
      <w:r>
        <w:rPr>
          <w:rFonts w:cs="Times New Roman"/>
          <w:lang w:val="en-US"/>
        </w:rPr>
        <w:t>) for all IDH</w:t>
      </w:r>
      <w:r w:rsidR="00C33DAB">
        <w:rPr>
          <w:rFonts w:cs="Times New Roman"/>
          <w:lang w:val="en-US"/>
        </w:rPr>
        <w:t>-</w:t>
      </w:r>
      <w:r>
        <w:rPr>
          <w:rFonts w:cs="Times New Roman"/>
          <w:lang w:val="en-US"/>
        </w:rPr>
        <w:t>mutant tumors through first-line (black), second-line (</w:t>
      </w:r>
      <w:r w:rsidR="00D11314">
        <w:rPr>
          <w:rFonts w:cs="Times New Roman"/>
          <w:lang w:val="en-US"/>
        </w:rPr>
        <w:t>red</w:t>
      </w:r>
      <w:r>
        <w:rPr>
          <w:rFonts w:cs="Times New Roman"/>
          <w:lang w:val="en-US"/>
        </w:rPr>
        <w:t>) and third-line (</w:t>
      </w:r>
      <w:r w:rsidR="00D11314">
        <w:rPr>
          <w:rFonts w:cs="Times New Roman"/>
          <w:lang w:val="en-US"/>
        </w:rPr>
        <w:t>blue</w:t>
      </w:r>
      <w:r>
        <w:rPr>
          <w:rFonts w:cs="Times New Roman"/>
          <w:lang w:val="en-US"/>
        </w:rPr>
        <w:t>)</w:t>
      </w:r>
      <w:r w:rsidR="00271CEC">
        <w:rPr>
          <w:rFonts w:cs="Times New Roman"/>
          <w:lang w:val="en-US"/>
        </w:rPr>
        <w:t xml:space="preserve"> therapy</w:t>
      </w:r>
    </w:p>
    <w:p w14:paraId="3EECF077" w14:textId="77777777" w:rsidR="00317FA8" w:rsidRDefault="00317FA8" w:rsidP="00093966">
      <w:pPr>
        <w:spacing w:line="480" w:lineRule="auto"/>
        <w:rPr>
          <w:rFonts w:cs="Times New Roman"/>
          <w:lang w:val="en-US"/>
        </w:rPr>
      </w:pPr>
    </w:p>
    <w:p w14:paraId="2289C3B7" w14:textId="334146FB" w:rsidR="007203F7" w:rsidRPr="00093966" w:rsidRDefault="007203F7" w:rsidP="00B4526D">
      <w:pPr>
        <w:pStyle w:val="CitaviBibliographyEntry"/>
        <w:rPr>
          <w:lang w:val="en-US"/>
        </w:rPr>
      </w:pPr>
    </w:p>
    <w:sectPr w:rsidR="007203F7" w:rsidRPr="00093966" w:rsidSect="00EE4904">
      <w:footerReference w:type="default" r:id="rId8"/>
      <w:pgSz w:w="11900" w:h="16840"/>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85C0" w14:textId="77777777" w:rsidR="00D5586F" w:rsidRDefault="00D5586F" w:rsidP="002D68FE">
      <w:r>
        <w:separator/>
      </w:r>
    </w:p>
  </w:endnote>
  <w:endnote w:type="continuationSeparator" w:id="0">
    <w:p w14:paraId="665971AC" w14:textId="77777777" w:rsidR="00D5586F" w:rsidRDefault="00D5586F" w:rsidP="002D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2868"/>
      <w:docPartObj>
        <w:docPartGallery w:val="Page Numbers (Bottom of Page)"/>
        <w:docPartUnique/>
      </w:docPartObj>
    </w:sdtPr>
    <w:sdtEndPr/>
    <w:sdtContent>
      <w:p w14:paraId="35900A8F" w14:textId="65E55B9C" w:rsidR="00B4526D" w:rsidRDefault="00B4526D">
        <w:pPr>
          <w:pStyle w:val="Footer"/>
          <w:jc w:val="right"/>
        </w:pPr>
        <w:r>
          <w:fldChar w:fldCharType="begin"/>
        </w:r>
        <w:r>
          <w:instrText>PAGE   \* MERGEFORMAT</w:instrText>
        </w:r>
        <w:r>
          <w:fldChar w:fldCharType="separate"/>
        </w:r>
        <w:r w:rsidR="00061CCD">
          <w:rPr>
            <w:noProof/>
          </w:rPr>
          <w:t>2</w:t>
        </w:r>
        <w:r>
          <w:fldChar w:fldCharType="end"/>
        </w:r>
      </w:p>
    </w:sdtContent>
  </w:sdt>
  <w:p w14:paraId="6B361078" w14:textId="77777777" w:rsidR="00B4526D" w:rsidRDefault="00B4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DE3E0" w14:textId="77777777" w:rsidR="00D5586F" w:rsidRDefault="00D5586F" w:rsidP="002D68FE">
      <w:r>
        <w:separator/>
      </w:r>
    </w:p>
  </w:footnote>
  <w:footnote w:type="continuationSeparator" w:id="0">
    <w:p w14:paraId="559299CE" w14:textId="77777777" w:rsidR="00D5586F" w:rsidRDefault="00D5586F" w:rsidP="002D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2330"/>
    <w:multiLevelType w:val="hybridMultilevel"/>
    <w:tmpl w:val="081C8A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29"/>
    <w:rsid w:val="0000546D"/>
    <w:rsid w:val="00005B39"/>
    <w:rsid w:val="0001059A"/>
    <w:rsid w:val="000137A4"/>
    <w:rsid w:val="00015344"/>
    <w:rsid w:val="0002251C"/>
    <w:rsid w:val="0002281D"/>
    <w:rsid w:val="0002711D"/>
    <w:rsid w:val="00031F2F"/>
    <w:rsid w:val="00033C69"/>
    <w:rsid w:val="00034876"/>
    <w:rsid w:val="00042D4A"/>
    <w:rsid w:val="00044B8E"/>
    <w:rsid w:val="000528BC"/>
    <w:rsid w:val="00052BF9"/>
    <w:rsid w:val="00054BE6"/>
    <w:rsid w:val="000559C1"/>
    <w:rsid w:val="00061026"/>
    <w:rsid w:val="00061CCD"/>
    <w:rsid w:val="00066C58"/>
    <w:rsid w:val="00074E86"/>
    <w:rsid w:val="00075C91"/>
    <w:rsid w:val="00076BA3"/>
    <w:rsid w:val="000777A7"/>
    <w:rsid w:val="000848A6"/>
    <w:rsid w:val="00086E3E"/>
    <w:rsid w:val="00093886"/>
    <w:rsid w:val="00093966"/>
    <w:rsid w:val="00094D0F"/>
    <w:rsid w:val="0009794B"/>
    <w:rsid w:val="000A35AA"/>
    <w:rsid w:val="000A7D47"/>
    <w:rsid w:val="000B4132"/>
    <w:rsid w:val="000C2297"/>
    <w:rsid w:val="000C4DEE"/>
    <w:rsid w:val="000C58E9"/>
    <w:rsid w:val="000D16CA"/>
    <w:rsid w:val="000E0762"/>
    <w:rsid w:val="000E297D"/>
    <w:rsid w:val="000E51B9"/>
    <w:rsid w:val="000F51EB"/>
    <w:rsid w:val="00101A1A"/>
    <w:rsid w:val="00102872"/>
    <w:rsid w:val="0011238A"/>
    <w:rsid w:val="00135C53"/>
    <w:rsid w:val="001371F3"/>
    <w:rsid w:val="00162FE1"/>
    <w:rsid w:val="00166BD5"/>
    <w:rsid w:val="0017750E"/>
    <w:rsid w:val="001A5284"/>
    <w:rsid w:val="001B77DE"/>
    <w:rsid w:val="001C21D0"/>
    <w:rsid w:val="001C3D0A"/>
    <w:rsid w:val="001C573C"/>
    <w:rsid w:val="001D2242"/>
    <w:rsid w:val="001D2BE0"/>
    <w:rsid w:val="001F39CD"/>
    <w:rsid w:val="0020704C"/>
    <w:rsid w:val="0021226E"/>
    <w:rsid w:val="0021618E"/>
    <w:rsid w:val="002229C3"/>
    <w:rsid w:val="0022717D"/>
    <w:rsid w:val="00232C3D"/>
    <w:rsid w:val="00242376"/>
    <w:rsid w:val="00244644"/>
    <w:rsid w:val="00245F39"/>
    <w:rsid w:val="00260BE2"/>
    <w:rsid w:val="00261C62"/>
    <w:rsid w:val="00261E0E"/>
    <w:rsid w:val="00265663"/>
    <w:rsid w:val="00271CEC"/>
    <w:rsid w:val="00272061"/>
    <w:rsid w:val="002735E5"/>
    <w:rsid w:val="0028126A"/>
    <w:rsid w:val="00282CF0"/>
    <w:rsid w:val="00284198"/>
    <w:rsid w:val="0029076F"/>
    <w:rsid w:val="00296F01"/>
    <w:rsid w:val="002A07E8"/>
    <w:rsid w:val="002A7356"/>
    <w:rsid w:val="002B7DAE"/>
    <w:rsid w:val="002C18F3"/>
    <w:rsid w:val="002C7E4F"/>
    <w:rsid w:val="002D68FE"/>
    <w:rsid w:val="002D756A"/>
    <w:rsid w:val="002E4980"/>
    <w:rsid w:val="002F26F9"/>
    <w:rsid w:val="00300379"/>
    <w:rsid w:val="00317FA8"/>
    <w:rsid w:val="00320BA0"/>
    <w:rsid w:val="003217A3"/>
    <w:rsid w:val="00325801"/>
    <w:rsid w:val="003278F5"/>
    <w:rsid w:val="00341BE6"/>
    <w:rsid w:val="0034638B"/>
    <w:rsid w:val="00347B58"/>
    <w:rsid w:val="003639B3"/>
    <w:rsid w:val="00365956"/>
    <w:rsid w:val="00376370"/>
    <w:rsid w:val="0037709C"/>
    <w:rsid w:val="00392876"/>
    <w:rsid w:val="00396B44"/>
    <w:rsid w:val="003A138A"/>
    <w:rsid w:val="003A7271"/>
    <w:rsid w:val="003B0DFC"/>
    <w:rsid w:val="003B37F2"/>
    <w:rsid w:val="003C1329"/>
    <w:rsid w:val="003C14B7"/>
    <w:rsid w:val="003C41A4"/>
    <w:rsid w:val="003D4BAD"/>
    <w:rsid w:val="003D53A4"/>
    <w:rsid w:val="003F6422"/>
    <w:rsid w:val="004049F8"/>
    <w:rsid w:val="00426DE4"/>
    <w:rsid w:val="00427219"/>
    <w:rsid w:val="00433FC0"/>
    <w:rsid w:val="00437B40"/>
    <w:rsid w:val="004436B1"/>
    <w:rsid w:val="004635DE"/>
    <w:rsid w:val="0046406F"/>
    <w:rsid w:val="00464239"/>
    <w:rsid w:val="0047357E"/>
    <w:rsid w:val="0047369C"/>
    <w:rsid w:val="00477128"/>
    <w:rsid w:val="00482489"/>
    <w:rsid w:val="00487388"/>
    <w:rsid w:val="0049315B"/>
    <w:rsid w:val="00493CBE"/>
    <w:rsid w:val="004A3801"/>
    <w:rsid w:val="004A41D6"/>
    <w:rsid w:val="004A468C"/>
    <w:rsid w:val="004B2AF6"/>
    <w:rsid w:val="004C153E"/>
    <w:rsid w:val="004C71F3"/>
    <w:rsid w:val="004C73AB"/>
    <w:rsid w:val="004D6C56"/>
    <w:rsid w:val="004E42A3"/>
    <w:rsid w:val="004E681B"/>
    <w:rsid w:val="004F02C5"/>
    <w:rsid w:val="004F1CA4"/>
    <w:rsid w:val="004F278C"/>
    <w:rsid w:val="00501437"/>
    <w:rsid w:val="00503F21"/>
    <w:rsid w:val="005043F8"/>
    <w:rsid w:val="00504734"/>
    <w:rsid w:val="00510565"/>
    <w:rsid w:val="00524EE9"/>
    <w:rsid w:val="005267DF"/>
    <w:rsid w:val="00531438"/>
    <w:rsid w:val="00533175"/>
    <w:rsid w:val="00534CE3"/>
    <w:rsid w:val="00535B4A"/>
    <w:rsid w:val="005363D0"/>
    <w:rsid w:val="00542422"/>
    <w:rsid w:val="00550819"/>
    <w:rsid w:val="00551D5C"/>
    <w:rsid w:val="00554352"/>
    <w:rsid w:val="00556B9F"/>
    <w:rsid w:val="00561D9C"/>
    <w:rsid w:val="00565C47"/>
    <w:rsid w:val="005764F7"/>
    <w:rsid w:val="005832FF"/>
    <w:rsid w:val="00584058"/>
    <w:rsid w:val="00590186"/>
    <w:rsid w:val="005A07BA"/>
    <w:rsid w:val="005A3736"/>
    <w:rsid w:val="005A6835"/>
    <w:rsid w:val="005B7CE8"/>
    <w:rsid w:val="005C64AF"/>
    <w:rsid w:val="005D60EA"/>
    <w:rsid w:val="005D7655"/>
    <w:rsid w:val="005E1121"/>
    <w:rsid w:val="005E1ABC"/>
    <w:rsid w:val="005E3692"/>
    <w:rsid w:val="005F4C07"/>
    <w:rsid w:val="00600E52"/>
    <w:rsid w:val="006047BA"/>
    <w:rsid w:val="006221AD"/>
    <w:rsid w:val="00622978"/>
    <w:rsid w:val="00626056"/>
    <w:rsid w:val="006305CB"/>
    <w:rsid w:val="00634AE8"/>
    <w:rsid w:val="0064145F"/>
    <w:rsid w:val="006631CA"/>
    <w:rsid w:val="006872D0"/>
    <w:rsid w:val="00687814"/>
    <w:rsid w:val="006932AD"/>
    <w:rsid w:val="006A2671"/>
    <w:rsid w:val="006A39FB"/>
    <w:rsid w:val="006A54AB"/>
    <w:rsid w:val="006A7AD7"/>
    <w:rsid w:val="006B0CB8"/>
    <w:rsid w:val="006D376E"/>
    <w:rsid w:val="006D3A96"/>
    <w:rsid w:val="006F20FE"/>
    <w:rsid w:val="006F2714"/>
    <w:rsid w:val="00706479"/>
    <w:rsid w:val="00707027"/>
    <w:rsid w:val="00710979"/>
    <w:rsid w:val="00717372"/>
    <w:rsid w:val="007203F7"/>
    <w:rsid w:val="00720CF0"/>
    <w:rsid w:val="00725334"/>
    <w:rsid w:val="007305C2"/>
    <w:rsid w:val="0073178E"/>
    <w:rsid w:val="007328B5"/>
    <w:rsid w:val="007441E8"/>
    <w:rsid w:val="00747657"/>
    <w:rsid w:val="0075482A"/>
    <w:rsid w:val="00763BF6"/>
    <w:rsid w:val="007719CE"/>
    <w:rsid w:val="00774454"/>
    <w:rsid w:val="00783101"/>
    <w:rsid w:val="00787A93"/>
    <w:rsid w:val="00791976"/>
    <w:rsid w:val="007A18A4"/>
    <w:rsid w:val="007A603E"/>
    <w:rsid w:val="007B0ACD"/>
    <w:rsid w:val="007B5388"/>
    <w:rsid w:val="007C4E33"/>
    <w:rsid w:val="007C59C0"/>
    <w:rsid w:val="007D0D42"/>
    <w:rsid w:val="007E20DE"/>
    <w:rsid w:val="007E2F59"/>
    <w:rsid w:val="0080098A"/>
    <w:rsid w:val="00806AA7"/>
    <w:rsid w:val="00807AEC"/>
    <w:rsid w:val="0081123B"/>
    <w:rsid w:val="00812344"/>
    <w:rsid w:val="00816DCF"/>
    <w:rsid w:val="00842EB0"/>
    <w:rsid w:val="00846175"/>
    <w:rsid w:val="00856094"/>
    <w:rsid w:val="0085617E"/>
    <w:rsid w:val="0086555C"/>
    <w:rsid w:val="00872496"/>
    <w:rsid w:val="008758CB"/>
    <w:rsid w:val="008768C2"/>
    <w:rsid w:val="00877EC3"/>
    <w:rsid w:val="00880638"/>
    <w:rsid w:val="00890AF5"/>
    <w:rsid w:val="0089371A"/>
    <w:rsid w:val="008A2CE5"/>
    <w:rsid w:val="008A2E1D"/>
    <w:rsid w:val="008A3C68"/>
    <w:rsid w:val="008A6AFA"/>
    <w:rsid w:val="008B3451"/>
    <w:rsid w:val="008B37A1"/>
    <w:rsid w:val="008D38CE"/>
    <w:rsid w:val="008D4C3E"/>
    <w:rsid w:val="008E15B4"/>
    <w:rsid w:val="008E30E5"/>
    <w:rsid w:val="008E44B1"/>
    <w:rsid w:val="008F0229"/>
    <w:rsid w:val="008F6E7D"/>
    <w:rsid w:val="009156E6"/>
    <w:rsid w:val="00916F9F"/>
    <w:rsid w:val="00917618"/>
    <w:rsid w:val="00941227"/>
    <w:rsid w:val="00944578"/>
    <w:rsid w:val="00947EBC"/>
    <w:rsid w:val="00971790"/>
    <w:rsid w:val="009862F4"/>
    <w:rsid w:val="00986D66"/>
    <w:rsid w:val="009908B9"/>
    <w:rsid w:val="009937E8"/>
    <w:rsid w:val="009946F2"/>
    <w:rsid w:val="009A0583"/>
    <w:rsid w:val="009A369E"/>
    <w:rsid w:val="009B5BDD"/>
    <w:rsid w:val="009B7CD1"/>
    <w:rsid w:val="009C5D71"/>
    <w:rsid w:val="009C70EB"/>
    <w:rsid w:val="009E2CEA"/>
    <w:rsid w:val="009E6630"/>
    <w:rsid w:val="009F52E5"/>
    <w:rsid w:val="009F5CF3"/>
    <w:rsid w:val="009F7B8C"/>
    <w:rsid w:val="00A02E52"/>
    <w:rsid w:val="00A031EC"/>
    <w:rsid w:val="00A06C0A"/>
    <w:rsid w:val="00A10EB5"/>
    <w:rsid w:val="00A13FB6"/>
    <w:rsid w:val="00A23B99"/>
    <w:rsid w:val="00A26EBD"/>
    <w:rsid w:val="00A3114E"/>
    <w:rsid w:val="00A42911"/>
    <w:rsid w:val="00A520D1"/>
    <w:rsid w:val="00A61AE4"/>
    <w:rsid w:val="00A63951"/>
    <w:rsid w:val="00A66D82"/>
    <w:rsid w:val="00A731B3"/>
    <w:rsid w:val="00A73DF7"/>
    <w:rsid w:val="00A74E36"/>
    <w:rsid w:val="00A77021"/>
    <w:rsid w:val="00A82E86"/>
    <w:rsid w:val="00A931EB"/>
    <w:rsid w:val="00A936F8"/>
    <w:rsid w:val="00A938EA"/>
    <w:rsid w:val="00AB201E"/>
    <w:rsid w:val="00AC378E"/>
    <w:rsid w:val="00AC3F39"/>
    <w:rsid w:val="00AC5A18"/>
    <w:rsid w:val="00AC6F43"/>
    <w:rsid w:val="00AD31FE"/>
    <w:rsid w:val="00AE2463"/>
    <w:rsid w:val="00AE6029"/>
    <w:rsid w:val="00AF0803"/>
    <w:rsid w:val="00AF46D4"/>
    <w:rsid w:val="00AF4EC2"/>
    <w:rsid w:val="00AF4EDC"/>
    <w:rsid w:val="00B02A00"/>
    <w:rsid w:val="00B16AC0"/>
    <w:rsid w:val="00B241D8"/>
    <w:rsid w:val="00B34E9E"/>
    <w:rsid w:val="00B37503"/>
    <w:rsid w:val="00B40E26"/>
    <w:rsid w:val="00B41661"/>
    <w:rsid w:val="00B41A82"/>
    <w:rsid w:val="00B42026"/>
    <w:rsid w:val="00B44B8E"/>
    <w:rsid w:val="00B4526D"/>
    <w:rsid w:val="00B51694"/>
    <w:rsid w:val="00B551F6"/>
    <w:rsid w:val="00B556A1"/>
    <w:rsid w:val="00B562DF"/>
    <w:rsid w:val="00B678EB"/>
    <w:rsid w:val="00B72599"/>
    <w:rsid w:val="00B808D2"/>
    <w:rsid w:val="00B83FB2"/>
    <w:rsid w:val="00B9205D"/>
    <w:rsid w:val="00B96701"/>
    <w:rsid w:val="00BA7472"/>
    <w:rsid w:val="00BB02EC"/>
    <w:rsid w:val="00BC0BF4"/>
    <w:rsid w:val="00BC35D9"/>
    <w:rsid w:val="00BC7709"/>
    <w:rsid w:val="00BD07DD"/>
    <w:rsid w:val="00BD65D7"/>
    <w:rsid w:val="00BF0044"/>
    <w:rsid w:val="00C02C23"/>
    <w:rsid w:val="00C10F3B"/>
    <w:rsid w:val="00C17137"/>
    <w:rsid w:val="00C1724B"/>
    <w:rsid w:val="00C2299F"/>
    <w:rsid w:val="00C2321E"/>
    <w:rsid w:val="00C2365F"/>
    <w:rsid w:val="00C2640D"/>
    <w:rsid w:val="00C27BD2"/>
    <w:rsid w:val="00C317C0"/>
    <w:rsid w:val="00C33DAB"/>
    <w:rsid w:val="00C37614"/>
    <w:rsid w:val="00C4477C"/>
    <w:rsid w:val="00C56F77"/>
    <w:rsid w:val="00C66044"/>
    <w:rsid w:val="00C71AF7"/>
    <w:rsid w:val="00C74BF0"/>
    <w:rsid w:val="00C84136"/>
    <w:rsid w:val="00C87F41"/>
    <w:rsid w:val="00CA4BCA"/>
    <w:rsid w:val="00CB21FC"/>
    <w:rsid w:val="00CB25DD"/>
    <w:rsid w:val="00CB3D20"/>
    <w:rsid w:val="00CC170A"/>
    <w:rsid w:val="00CD0D2F"/>
    <w:rsid w:val="00CD3E02"/>
    <w:rsid w:val="00CE1F9F"/>
    <w:rsid w:val="00CF3B90"/>
    <w:rsid w:val="00CF4A55"/>
    <w:rsid w:val="00D11314"/>
    <w:rsid w:val="00D17FF9"/>
    <w:rsid w:val="00D225EE"/>
    <w:rsid w:val="00D249D1"/>
    <w:rsid w:val="00D3072F"/>
    <w:rsid w:val="00D3153C"/>
    <w:rsid w:val="00D4045A"/>
    <w:rsid w:val="00D42735"/>
    <w:rsid w:val="00D45D23"/>
    <w:rsid w:val="00D46341"/>
    <w:rsid w:val="00D5586F"/>
    <w:rsid w:val="00D6369E"/>
    <w:rsid w:val="00D727CC"/>
    <w:rsid w:val="00D729A5"/>
    <w:rsid w:val="00D73296"/>
    <w:rsid w:val="00D764B7"/>
    <w:rsid w:val="00D766AA"/>
    <w:rsid w:val="00D9228E"/>
    <w:rsid w:val="00D9628E"/>
    <w:rsid w:val="00DA0888"/>
    <w:rsid w:val="00DA1275"/>
    <w:rsid w:val="00DA7429"/>
    <w:rsid w:val="00DB1BB7"/>
    <w:rsid w:val="00DB5993"/>
    <w:rsid w:val="00DB68A3"/>
    <w:rsid w:val="00DC1056"/>
    <w:rsid w:val="00DD3F6B"/>
    <w:rsid w:val="00DD5678"/>
    <w:rsid w:val="00DD5A93"/>
    <w:rsid w:val="00DD7C1A"/>
    <w:rsid w:val="00DE6C4C"/>
    <w:rsid w:val="00DF194C"/>
    <w:rsid w:val="00DF5ABB"/>
    <w:rsid w:val="00DF76EF"/>
    <w:rsid w:val="00DF7D55"/>
    <w:rsid w:val="00E07A2F"/>
    <w:rsid w:val="00E12D27"/>
    <w:rsid w:val="00E15379"/>
    <w:rsid w:val="00E16AA0"/>
    <w:rsid w:val="00E500FA"/>
    <w:rsid w:val="00E52A0C"/>
    <w:rsid w:val="00E55D68"/>
    <w:rsid w:val="00E66EE5"/>
    <w:rsid w:val="00E767EB"/>
    <w:rsid w:val="00E812A3"/>
    <w:rsid w:val="00E86671"/>
    <w:rsid w:val="00E904DE"/>
    <w:rsid w:val="00E934E8"/>
    <w:rsid w:val="00E954D0"/>
    <w:rsid w:val="00E96A93"/>
    <w:rsid w:val="00E97C2F"/>
    <w:rsid w:val="00EA6913"/>
    <w:rsid w:val="00EC0960"/>
    <w:rsid w:val="00EC535F"/>
    <w:rsid w:val="00ED05BE"/>
    <w:rsid w:val="00EE0400"/>
    <w:rsid w:val="00EE1705"/>
    <w:rsid w:val="00EE1F04"/>
    <w:rsid w:val="00EE4904"/>
    <w:rsid w:val="00EF4246"/>
    <w:rsid w:val="00F00B41"/>
    <w:rsid w:val="00F04ECA"/>
    <w:rsid w:val="00F05A91"/>
    <w:rsid w:val="00F1171D"/>
    <w:rsid w:val="00F1456D"/>
    <w:rsid w:val="00F206D8"/>
    <w:rsid w:val="00F226F4"/>
    <w:rsid w:val="00F36F6C"/>
    <w:rsid w:val="00F40869"/>
    <w:rsid w:val="00F4178E"/>
    <w:rsid w:val="00F42830"/>
    <w:rsid w:val="00F44EAD"/>
    <w:rsid w:val="00F46BB2"/>
    <w:rsid w:val="00F52427"/>
    <w:rsid w:val="00F6380B"/>
    <w:rsid w:val="00F6461A"/>
    <w:rsid w:val="00F64A95"/>
    <w:rsid w:val="00F65424"/>
    <w:rsid w:val="00F6573F"/>
    <w:rsid w:val="00F70580"/>
    <w:rsid w:val="00F730C5"/>
    <w:rsid w:val="00F75DCB"/>
    <w:rsid w:val="00F7662A"/>
    <w:rsid w:val="00F80620"/>
    <w:rsid w:val="00F806F9"/>
    <w:rsid w:val="00F81539"/>
    <w:rsid w:val="00F9116F"/>
    <w:rsid w:val="00F94BC9"/>
    <w:rsid w:val="00FA4A12"/>
    <w:rsid w:val="00FB2EE9"/>
    <w:rsid w:val="00FB65FE"/>
    <w:rsid w:val="00FC3FE7"/>
    <w:rsid w:val="00FD44FB"/>
    <w:rsid w:val="00FD578C"/>
    <w:rsid w:val="00FD610B"/>
    <w:rsid w:val="00FE3BC7"/>
    <w:rsid w:val="00FE4A89"/>
    <w:rsid w:val="00FE6195"/>
    <w:rsid w:val="00FF003B"/>
    <w:rsid w:val="00FF54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EBFA4"/>
  <w14:defaultImageDpi w14:val="330"/>
  <w15:docId w15:val="{A548249D-A7F5-422E-A825-26619C8B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FE"/>
    <w:rPr>
      <w:rFonts w:ascii="Times New Roman" w:hAnsi="Times New Roman"/>
      <w:sz w:val="20"/>
    </w:rPr>
  </w:style>
  <w:style w:type="paragraph" w:styleId="Heading1">
    <w:name w:val="heading 1"/>
    <w:basedOn w:val="Normal"/>
    <w:next w:val="Normal"/>
    <w:link w:val="Heading1Char"/>
    <w:uiPriority w:val="9"/>
    <w:qFormat/>
    <w:rsid w:val="00C27BD2"/>
    <w:pPr>
      <w:keepNext/>
      <w:keepLines/>
      <w:spacing w:before="720" w:after="24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2D68FE"/>
    <w:pPr>
      <w:keepNext/>
      <w:keepLines/>
      <w:spacing w:before="40"/>
      <w:jc w:val="center"/>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77C"/>
    <w:rPr>
      <w:color w:val="0000FF" w:themeColor="hyperlink"/>
      <w:u w:val="single"/>
    </w:rPr>
  </w:style>
  <w:style w:type="character" w:styleId="CommentReference">
    <w:name w:val="annotation reference"/>
    <w:basedOn w:val="DefaultParagraphFont"/>
    <w:uiPriority w:val="99"/>
    <w:semiHidden/>
    <w:unhideWhenUsed/>
    <w:rsid w:val="00A61AE4"/>
    <w:rPr>
      <w:sz w:val="18"/>
      <w:szCs w:val="18"/>
    </w:rPr>
  </w:style>
  <w:style w:type="paragraph" w:styleId="CommentText">
    <w:name w:val="annotation text"/>
    <w:basedOn w:val="Normal"/>
    <w:link w:val="CommentTextChar"/>
    <w:uiPriority w:val="99"/>
    <w:semiHidden/>
    <w:unhideWhenUsed/>
    <w:rsid w:val="00A61AE4"/>
  </w:style>
  <w:style w:type="character" w:customStyle="1" w:styleId="CommentTextChar">
    <w:name w:val="Comment Text Char"/>
    <w:basedOn w:val="DefaultParagraphFont"/>
    <w:link w:val="CommentText"/>
    <w:uiPriority w:val="99"/>
    <w:semiHidden/>
    <w:rsid w:val="00A61AE4"/>
  </w:style>
  <w:style w:type="paragraph" w:styleId="CommentSubject">
    <w:name w:val="annotation subject"/>
    <w:basedOn w:val="CommentText"/>
    <w:next w:val="CommentText"/>
    <w:link w:val="CommentSubjectChar"/>
    <w:uiPriority w:val="99"/>
    <w:semiHidden/>
    <w:unhideWhenUsed/>
    <w:rsid w:val="00A61AE4"/>
    <w:rPr>
      <w:b/>
      <w:bCs/>
      <w:szCs w:val="20"/>
    </w:rPr>
  </w:style>
  <w:style w:type="character" w:customStyle="1" w:styleId="CommentSubjectChar">
    <w:name w:val="Comment Subject Char"/>
    <w:basedOn w:val="CommentTextChar"/>
    <w:link w:val="CommentSubject"/>
    <w:uiPriority w:val="99"/>
    <w:semiHidden/>
    <w:rsid w:val="00A61AE4"/>
    <w:rPr>
      <w:b/>
      <w:bCs/>
      <w:sz w:val="20"/>
      <w:szCs w:val="20"/>
    </w:rPr>
  </w:style>
  <w:style w:type="paragraph" w:styleId="BalloonText">
    <w:name w:val="Balloon Text"/>
    <w:basedOn w:val="Normal"/>
    <w:link w:val="BalloonTextChar"/>
    <w:uiPriority w:val="99"/>
    <w:semiHidden/>
    <w:unhideWhenUsed/>
    <w:rsid w:val="00A6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A61AE4"/>
    <w:rPr>
      <w:rFonts w:ascii="Lucida Grande" w:hAnsi="Lucida Grande"/>
      <w:sz w:val="18"/>
      <w:szCs w:val="18"/>
    </w:rPr>
  </w:style>
  <w:style w:type="character" w:customStyle="1" w:styleId="Heading1Char">
    <w:name w:val="Heading 1 Char"/>
    <w:basedOn w:val="DefaultParagraphFont"/>
    <w:link w:val="Heading1"/>
    <w:uiPriority w:val="9"/>
    <w:rsid w:val="00C27BD2"/>
    <w:rPr>
      <w:rFonts w:ascii="Times New Roman" w:eastAsiaTheme="majorEastAsia" w:hAnsi="Times New Roman" w:cstheme="majorBidi"/>
      <w:b/>
      <w:bCs/>
      <w:color w:val="000000" w:themeColor="text1"/>
      <w:sz w:val="20"/>
      <w:szCs w:val="32"/>
    </w:rPr>
  </w:style>
  <w:style w:type="paragraph" w:styleId="DocumentMap">
    <w:name w:val="Document Map"/>
    <w:basedOn w:val="Normal"/>
    <w:link w:val="DocumentMapChar"/>
    <w:uiPriority w:val="99"/>
    <w:semiHidden/>
    <w:unhideWhenUsed/>
    <w:rsid w:val="00E52A0C"/>
    <w:rPr>
      <w:rFonts w:ascii="Lucida Grande" w:hAnsi="Lucida Grande" w:cs="Lucida Grande"/>
    </w:rPr>
  </w:style>
  <w:style w:type="character" w:customStyle="1" w:styleId="DocumentMapChar">
    <w:name w:val="Document Map Char"/>
    <w:basedOn w:val="DefaultParagraphFont"/>
    <w:link w:val="DocumentMap"/>
    <w:uiPriority w:val="99"/>
    <w:semiHidden/>
    <w:rsid w:val="00E52A0C"/>
    <w:rPr>
      <w:rFonts w:ascii="Lucida Grande" w:hAnsi="Lucida Grande" w:cs="Lucida Grande"/>
    </w:rPr>
  </w:style>
  <w:style w:type="paragraph" w:customStyle="1" w:styleId="CitaviBibliographyEntry">
    <w:name w:val="Citavi Bibliography Entry"/>
    <w:basedOn w:val="Normal"/>
    <w:link w:val="CitaviBibliographyEntryZchn"/>
    <w:rsid w:val="007203F7"/>
    <w:pPr>
      <w:tabs>
        <w:tab w:val="left" w:pos="340"/>
      </w:tabs>
      <w:ind w:left="340" w:hanging="340"/>
    </w:pPr>
  </w:style>
  <w:style w:type="character" w:customStyle="1" w:styleId="CitaviBibliographyEntryZchn">
    <w:name w:val="Citavi Bibliography Entry Zchn"/>
    <w:basedOn w:val="DefaultParagraphFont"/>
    <w:link w:val="CitaviBibliographyEntry"/>
    <w:rsid w:val="007203F7"/>
    <w:rPr>
      <w:rFonts w:ascii="Times New Roman" w:hAnsi="Times New Roman"/>
      <w:sz w:val="20"/>
    </w:rPr>
  </w:style>
  <w:style w:type="paragraph" w:customStyle="1" w:styleId="CitaviBibliographyHeading">
    <w:name w:val="Citavi Bibliography Heading"/>
    <w:basedOn w:val="Heading1"/>
    <w:link w:val="CitaviBibliographyHeadingZchn"/>
    <w:rsid w:val="007203F7"/>
  </w:style>
  <w:style w:type="character" w:customStyle="1" w:styleId="CitaviBibliographyHeadingZchn">
    <w:name w:val="Citavi Bibliography Heading Zchn"/>
    <w:basedOn w:val="DefaultParagraphFont"/>
    <w:link w:val="CitaviBibliographyHeading"/>
    <w:rsid w:val="007203F7"/>
    <w:rPr>
      <w:rFonts w:ascii="Times New Roman" w:eastAsiaTheme="majorEastAsia" w:hAnsi="Times New Roman" w:cstheme="majorBidi"/>
      <w:b/>
      <w:bCs/>
      <w:color w:val="000000" w:themeColor="text1"/>
      <w:sz w:val="20"/>
      <w:szCs w:val="32"/>
    </w:rPr>
  </w:style>
  <w:style w:type="paragraph" w:styleId="Header">
    <w:name w:val="header"/>
    <w:basedOn w:val="Normal"/>
    <w:link w:val="HeaderChar"/>
    <w:uiPriority w:val="99"/>
    <w:unhideWhenUsed/>
    <w:rsid w:val="002D68FE"/>
    <w:pPr>
      <w:tabs>
        <w:tab w:val="center" w:pos="4536"/>
        <w:tab w:val="right" w:pos="9072"/>
      </w:tabs>
    </w:pPr>
  </w:style>
  <w:style w:type="character" w:customStyle="1" w:styleId="HeaderChar">
    <w:name w:val="Header Char"/>
    <w:basedOn w:val="DefaultParagraphFont"/>
    <w:link w:val="Header"/>
    <w:uiPriority w:val="99"/>
    <w:rsid w:val="002D68FE"/>
    <w:rPr>
      <w:rFonts w:ascii="Times New Roman" w:hAnsi="Times New Roman"/>
      <w:sz w:val="20"/>
    </w:rPr>
  </w:style>
  <w:style w:type="paragraph" w:styleId="Footer">
    <w:name w:val="footer"/>
    <w:basedOn w:val="Normal"/>
    <w:link w:val="FooterChar"/>
    <w:uiPriority w:val="99"/>
    <w:unhideWhenUsed/>
    <w:rsid w:val="002D68FE"/>
    <w:pPr>
      <w:tabs>
        <w:tab w:val="center" w:pos="4536"/>
        <w:tab w:val="right" w:pos="9072"/>
      </w:tabs>
    </w:pPr>
  </w:style>
  <w:style w:type="character" w:customStyle="1" w:styleId="FooterChar">
    <w:name w:val="Footer Char"/>
    <w:basedOn w:val="DefaultParagraphFont"/>
    <w:link w:val="Footer"/>
    <w:uiPriority w:val="99"/>
    <w:rsid w:val="002D68FE"/>
    <w:rPr>
      <w:rFonts w:ascii="Times New Roman" w:hAnsi="Times New Roman"/>
      <w:sz w:val="20"/>
    </w:rPr>
  </w:style>
  <w:style w:type="character" w:customStyle="1" w:styleId="Heading2Char">
    <w:name w:val="Heading 2 Char"/>
    <w:basedOn w:val="DefaultParagraphFont"/>
    <w:link w:val="Heading2"/>
    <w:uiPriority w:val="9"/>
    <w:rsid w:val="002D68FE"/>
    <w:rPr>
      <w:rFonts w:ascii="Times New Roman" w:eastAsiaTheme="majorEastAsia" w:hAnsi="Times New Roman" w:cstheme="majorBidi"/>
      <w:b/>
      <w:color w:val="000000" w:themeColor="text1"/>
      <w:szCs w:val="26"/>
    </w:rPr>
  </w:style>
  <w:style w:type="paragraph" w:styleId="ListParagraph">
    <w:name w:val="List Paragraph"/>
    <w:basedOn w:val="Normal"/>
    <w:uiPriority w:val="34"/>
    <w:qFormat/>
    <w:rsid w:val="00300379"/>
    <w:pPr>
      <w:ind w:left="720"/>
      <w:contextualSpacing/>
    </w:pPr>
  </w:style>
  <w:style w:type="paragraph" w:styleId="Revision">
    <w:name w:val="Revision"/>
    <w:hidden/>
    <w:uiPriority w:val="99"/>
    <w:semiHidden/>
    <w:rsid w:val="00EA691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4636">
      <w:bodyDiv w:val="1"/>
      <w:marLeft w:val="0"/>
      <w:marRight w:val="0"/>
      <w:marTop w:val="0"/>
      <w:marBottom w:val="0"/>
      <w:divBdr>
        <w:top w:val="none" w:sz="0" w:space="0" w:color="auto"/>
        <w:left w:val="none" w:sz="0" w:space="0" w:color="auto"/>
        <w:bottom w:val="none" w:sz="0" w:space="0" w:color="auto"/>
        <w:right w:val="none" w:sz="0" w:space="0" w:color="auto"/>
      </w:divBdr>
    </w:div>
    <w:div w:id="463738135">
      <w:bodyDiv w:val="1"/>
      <w:marLeft w:val="0"/>
      <w:marRight w:val="0"/>
      <w:marTop w:val="0"/>
      <w:marBottom w:val="0"/>
      <w:divBdr>
        <w:top w:val="none" w:sz="0" w:space="0" w:color="auto"/>
        <w:left w:val="none" w:sz="0" w:space="0" w:color="auto"/>
        <w:bottom w:val="none" w:sz="0" w:space="0" w:color="auto"/>
        <w:right w:val="none" w:sz="0" w:space="0" w:color="auto"/>
      </w:divBdr>
    </w:div>
    <w:div w:id="906379252">
      <w:bodyDiv w:val="1"/>
      <w:marLeft w:val="0"/>
      <w:marRight w:val="0"/>
      <w:marTop w:val="0"/>
      <w:marBottom w:val="0"/>
      <w:divBdr>
        <w:top w:val="none" w:sz="0" w:space="0" w:color="auto"/>
        <w:left w:val="none" w:sz="0" w:space="0" w:color="auto"/>
        <w:bottom w:val="none" w:sz="0" w:space="0" w:color="auto"/>
        <w:right w:val="none" w:sz="0" w:space="0" w:color="auto"/>
      </w:divBdr>
      <w:divsChild>
        <w:div w:id="257295724">
          <w:marLeft w:val="0"/>
          <w:marRight w:val="0"/>
          <w:marTop w:val="0"/>
          <w:marBottom w:val="0"/>
          <w:divBdr>
            <w:top w:val="none" w:sz="0" w:space="0" w:color="auto"/>
            <w:left w:val="none" w:sz="0" w:space="0" w:color="auto"/>
            <w:bottom w:val="none" w:sz="0" w:space="0" w:color="auto"/>
            <w:right w:val="none" w:sz="0" w:space="0" w:color="auto"/>
          </w:divBdr>
        </w:div>
        <w:div w:id="196504097">
          <w:marLeft w:val="0"/>
          <w:marRight w:val="0"/>
          <w:marTop w:val="0"/>
          <w:marBottom w:val="0"/>
          <w:divBdr>
            <w:top w:val="none" w:sz="0" w:space="0" w:color="auto"/>
            <w:left w:val="none" w:sz="0" w:space="0" w:color="auto"/>
            <w:bottom w:val="none" w:sz="0" w:space="0" w:color="auto"/>
            <w:right w:val="none" w:sz="0" w:space="0" w:color="auto"/>
          </w:divBdr>
        </w:div>
        <w:div w:id="466626764">
          <w:marLeft w:val="0"/>
          <w:marRight w:val="0"/>
          <w:marTop w:val="0"/>
          <w:marBottom w:val="0"/>
          <w:divBdr>
            <w:top w:val="none" w:sz="0" w:space="0" w:color="auto"/>
            <w:left w:val="none" w:sz="0" w:space="0" w:color="auto"/>
            <w:bottom w:val="none" w:sz="0" w:space="0" w:color="auto"/>
            <w:right w:val="none" w:sz="0" w:space="0" w:color="auto"/>
          </w:divBdr>
        </w:div>
        <w:div w:id="969163794">
          <w:marLeft w:val="0"/>
          <w:marRight w:val="0"/>
          <w:marTop w:val="0"/>
          <w:marBottom w:val="0"/>
          <w:divBdr>
            <w:top w:val="none" w:sz="0" w:space="0" w:color="auto"/>
            <w:left w:val="none" w:sz="0" w:space="0" w:color="auto"/>
            <w:bottom w:val="none" w:sz="0" w:space="0" w:color="auto"/>
            <w:right w:val="none" w:sz="0" w:space="0" w:color="auto"/>
          </w:divBdr>
        </w:div>
        <w:div w:id="2079398145">
          <w:marLeft w:val="0"/>
          <w:marRight w:val="0"/>
          <w:marTop w:val="0"/>
          <w:marBottom w:val="0"/>
          <w:divBdr>
            <w:top w:val="none" w:sz="0" w:space="0" w:color="auto"/>
            <w:left w:val="none" w:sz="0" w:space="0" w:color="auto"/>
            <w:bottom w:val="none" w:sz="0" w:space="0" w:color="auto"/>
            <w:right w:val="none" w:sz="0" w:space="0" w:color="auto"/>
          </w:divBdr>
        </w:div>
        <w:div w:id="1484808808">
          <w:marLeft w:val="0"/>
          <w:marRight w:val="0"/>
          <w:marTop w:val="0"/>
          <w:marBottom w:val="0"/>
          <w:divBdr>
            <w:top w:val="none" w:sz="0" w:space="0" w:color="auto"/>
            <w:left w:val="none" w:sz="0" w:space="0" w:color="auto"/>
            <w:bottom w:val="none" w:sz="0" w:space="0" w:color="auto"/>
            <w:right w:val="none" w:sz="0" w:space="0" w:color="auto"/>
          </w:divBdr>
        </w:div>
        <w:div w:id="1225263982">
          <w:marLeft w:val="0"/>
          <w:marRight w:val="0"/>
          <w:marTop w:val="0"/>
          <w:marBottom w:val="0"/>
          <w:divBdr>
            <w:top w:val="none" w:sz="0" w:space="0" w:color="auto"/>
            <w:left w:val="none" w:sz="0" w:space="0" w:color="auto"/>
            <w:bottom w:val="none" w:sz="0" w:space="0" w:color="auto"/>
            <w:right w:val="none" w:sz="0" w:space="0" w:color="auto"/>
          </w:divBdr>
        </w:div>
        <w:div w:id="373119614">
          <w:marLeft w:val="0"/>
          <w:marRight w:val="0"/>
          <w:marTop w:val="0"/>
          <w:marBottom w:val="0"/>
          <w:divBdr>
            <w:top w:val="none" w:sz="0" w:space="0" w:color="auto"/>
            <w:left w:val="none" w:sz="0" w:space="0" w:color="auto"/>
            <w:bottom w:val="none" w:sz="0" w:space="0" w:color="auto"/>
            <w:right w:val="none" w:sz="0" w:space="0" w:color="auto"/>
          </w:divBdr>
        </w:div>
      </w:divsChild>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0537-8869-4592-A789-1E4C2C2D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Bähr</dc:creator>
  <cp:keywords/>
  <dc:description/>
  <cp:lastModifiedBy>kavitha B.</cp:lastModifiedBy>
  <cp:revision>17</cp:revision>
  <dcterms:created xsi:type="dcterms:W3CDTF">2019-04-29T13:00:00Z</dcterms:created>
  <dcterms:modified xsi:type="dcterms:W3CDTF">2021-01-12T07:18:00Z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Low_Grade_Datenbank</vt:lpwstr>
  </property>
  <property fmtid="{D5CDD505-2E9C-101B-9397-08002B2CF9AE}" pid="3" name="CitaviDocumentProperty_0">
    <vt:lpwstr>78e77701-6497-4661-b5de-b8e33d9f20eb</vt:lpwstr>
  </property>
  <property fmtid="{D5CDD505-2E9C-101B-9397-08002B2CF9AE}" pid="4" name="CitaviDocumentProperty_6">
    <vt:lpwstr>True</vt:lpwstr>
  </property>
  <property fmtid="{D5CDD505-2E9C-101B-9397-08002B2CF9AE}" pid="5" name="CitaviDocumentProperty_1">
    <vt:lpwstr>5.4.0.2</vt:lpwstr>
  </property>
  <property fmtid="{D5CDD505-2E9C-101B-9397-08002B2CF9AE}" pid="6" name="CitaviDocumentProperty_8">
    <vt:lpwstr>C:\Users\estei\Documents\Citavi 5\Projects\Low_Grade_Datenbank\Low_Grade_Datenbank.ctv5</vt:lpwstr>
  </property>
</Properties>
</file>