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F302F" w14:textId="362E8FE0" w:rsidR="00581FE1" w:rsidRDefault="00581FE1" w:rsidP="004B494C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Supplemental </w:t>
      </w:r>
      <w:r w:rsidR="00761691">
        <w:rPr>
          <w:rFonts w:ascii="Times New Roman" w:hAnsi="Times New Roman" w:cs="Times New Roman"/>
          <w:b/>
          <w:bCs/>
          <w:sz w:val="20"/>
          <w:szCs w:val="20"/>
          <w:lang w:val="en-US"/>
        </w:rPr>
        <w:t>Data</w:t>
      </w:r>
    </w:p>
    <w:p w14:paraId="59CB44BE" w14:textId="77777777" w:rsidR="00581FE1" w:rsidRDefault="00581FE1" w:rsidP="004B494C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1094DD5" w14:textId="08E87B35" w:rsidR="004B494C" w:rsidRPr="00BA7887" w:rsidRDefault="004B494C" w:rsidP="004B494C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BA7887">
        <w:rPr>
          <w:rFonts w:ascii="Times New Roman" w:hAnsi="Times New Roman" w:cs="Times New Roman"/>
          <w:b/>
          <w:bCs/>
          <w:sz w:val="20"/>
          <w:szCs w:val="20"/>
          <w:lang w:val="en-US"/>
        </w:rPr>
        <w:t>High-sensitivity cardiac troponin T</w:t>
      </w:r>
      <w:r w:rsidRPr="00BA788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A7887">
        <w:rPr>
          <w:rFonts w:ascii="Times New Roman" w:hAnsi="Times New Roman" w:cs="Times New Roman"/>
          <w:b/>
          <w:sz w:val="20"/>
          <w:szCs w:val="20"/>
          <w:lang w:val="en-US"/>
        </w:rPr>
        <w:t>determines all-cause mortality in cancer patients – a single-center cohort study</w:t>
      </w:r>
    </w:p>
    <w:p w14:paraId="4CFBA7D0" w14:textId="77777777" w:rsidR="004B494C" w:rsidRPr="00BA7887" w:rsidRDefault="004B494C" w:rsidP="004B494C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A07584E" w14:textId="77777777" w:rsidR="00FC69FD" w:rsidRPr="00FC69FD" w:rsidRDefault="00FC69FD" w:rsidP="00FC69F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Daniel Finke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Sebastian W.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Romann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Markus B.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Heckmann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>, MD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1,2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Hauke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 Hund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Nina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Bougatf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3,4,5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Ajith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Kantharajah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MD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6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Hugo A.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Katus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MD, PhD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Oliver J. Müller, MD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7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Norbert Frey, MD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Evangelos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69FD">
        <w:rPr>
          <w:rFonts w:ascii="Times New Roman" w:hAnsi="Times New Roman" w:cs="Times New Roman"/>
          <w:sz w:val="20"/>
          <w:szCs w:val="20"/>
          <w:lang w:val="en-US"/>
        </w:rPr>
        <w:t>Giannitsis</w:t>
      </w:r>
      <w:proofErr w:type="spellEnd"/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MD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 xml:space="preserve">, Lorenz H. Lehmann, MD </w:t>
      </w: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1,2,4*</w:t>
      </w:r>
    </w:p>
    <w:p w14:paraId="5A769188" w14:textId="287E5FF6" w:rsidR="004B494C" w:rsidRDefault="004B494C" w:rsidP="004B494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33420CF" w14:textId="77777777" w:rsidR="00FE0EB7" w:rsidRPr="00FC69FD" w:rsidRDefault="00FE0EB7" w:rsidP="004B494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1BA0638" w14:textId="77777777" w:rsidR="004B494C" w:rsidRPr="00FC69FD" w:rsidRDefault="004B494C" w:rsidP="004B494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25BCC32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 xml:space="preserve">1 </w:t>
      </w:r>
      <w:r w:rsidRPr="00FC69FD">
        <w:rPr>
          <w:rFonts w:ascii="Times New Roman" w:hAnsi="Times New Roman" w:cs="Times New Roman"/>
          <w:color w:val="000000"/>
          <w:sz w:val="20"/>
          <w:szCs w:val="20"/>
          <w:lang w:val="en-US"/>
        </w:rPr>
        <w:t>Department of Internal Medicine III: Cardiology, Angiology &amp; Pulmonology, Heidelberg University Hospital, 69120 Heidelberg</w:t>
      </w:r>
    </w:p>
    <w:p w14:paraId="76B5944B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 xml:space="preserve">2 </w:t>
      </w:r>
      <w:r w:rsidRPr="00FC69FD">
        <w:rPr>
          <w:rFonts w:ascii="Times New Roman" w:hAnsi="Times New Roman" w:cs="Times New Roman"/>
          <w:color w:val="000000"/>
          <w:sz w:val="20"/>
          <w:szCs w:val="20"/>
          <w:lang w:val="en-US"/>
        </w:rPr>
        <w:t>DZHK (German Centre for Cardiovascular Research), Partner Site Heidelberg/Mannheim, 69120 Heidelberg.</w:t>
      </w:r>
    </w:p>
    <w:p w14:paraId="2F07044C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3 </w:t>
      </w:r>
      <w:r w:rsidRPr="00FC69FD">
        <w:rPr>
          <w:rFonts w:ascii="Times New Roman" w:hAnsi="Times New Roman" w:cs="Times New Roman"/>
          <w:sz w:val="20"/>
          <w:szCs w:val="20"/>
          <w:lang w:val="en-US"/>
        </w:rPr>
        <w:t>Clinical Cancer Registry, National Centre for Tumor Diseases (NCT) Heidelberg, 69120 Heidelberg</w:t>
      </w:r>
    </w:p>
    <w:p w14:paraId="3B3CA59C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 xml:space="preserve">4 </w:t>
      </w:r>
      <w:r w:rsidRPr="00FC69FD">
        <w:rPr>
          <w:rFonts w:ascii="Times New Roman" w:hAnsi="Times New Roman" w:cs="Times New Roman"/>
          <w:color w:val="000000"/>
          <w:sz w:val="20"/>
          <w:szCs w:val="20"/>
          <w:lang w:val="en-US"/>
        </w:rPr>
        <w:t>German Cancer Research Center (DKFZ), 69120 Heidelberg</w:t>
      </w:r>
    </w:p>
    <w:p w14:paraId="20AA2EE3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 xml:space="preserve">5 </w:t>
      </w:r>
      <w:r w:rsidRPr="00FC69FD">
        <w:rPr>
          <w:rFonts w:ascii="Times New Roman" w:hAnsi="Times New Roman" w:cs="Times New Roman"/>
          <w:color w:val="000000"/>
          <w:sz w:val="20"/>
          <w:szCs w:val="20"/>
          <w:lang w:val="en-US"/>
        </w:rPr>
        <w:t>Department of Radiation Oncology and Radiotherapy, Heidelberg University Hospital, 69120 Heidelberg</w:t>
      </w:r>
    </w:p>
    <w:p w14:paraId="3BD56C71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6</w:t>
      </w:r>
      <w:r w:rsidRPr="00FC69F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Department of Cardiology, University Hospital Frankfurt am Main, 60590 Frankfurt am Main</w:t>
      </w:r>
    </w:p>
    <w:p w14:paraId="05AE0AD0" w14:textId="77777777" w:rsidR="00FC69FD" w:rsidRPr="00FC69FD" w:rsidRDefault="00FC69FD" w:rsidP="00FC69FD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69FD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7</w:t>
      </w:r>
      <w:r w:rsidRPr="00FC69F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Department of Cardiology, University Hospital Kiel, 24105 Kiel</w:t>
      </w:r>
    </w:p>
    <w:p w14:paraId="15E9D9E4" w14:textId="77777777" w:rsidR="008944CD" w:rsidRPr="004B494C" w:rsidRDefault="008944CD" w:rsidP="008944CD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4758CF8D" w14:textId="77777777" w:rsidR="008944CD" w:rsidRPr="004B494C" w:rsidRDefault="008944CD" w:rsidP="008944CD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351F3841" w14:textId="77777777" w:rsidR="009224D8" w:rsidRPr="004B494C" w:rsidRDefault="009224D8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09BDDBE6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53A9C891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33803D7D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59C3C3F1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640E518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2A19CD0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D09C243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0A6E50FF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525F325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5BEDA83C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75BDED0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2A7FA350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7DA8EE0E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54C17F8D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1E4736CA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2D0DB2CF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0191775C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49CB4D3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AD1E988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71F8D467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71F976FD" w14:textId="77777777" w:rsidR="008944CD" w:rsidRPr="004B494C" w:rsidRDefault="008944CD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7F5F9009" w14:textId="6D8206CB" w:rsidR="007C0FC1" w:rsidRPr="004B494C" w:rsidRDefault="007C0FC1">
      <w:pPr>
        <w:rPr>
          <w:lang w:val="en-US"/>
        </w:rPr>
      </w:pPr>
    </w:p>
    <w:p w14:paraId="3D2CF78A" w14:textId="2FD9E9E6" w:rsidR="00C20A18" w:rsidRDefault="00D7766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464FDB3A" wp14:editId="078E4C3E">
            <wp:simplePos x="0" y="0"/>
            <wp:positionH relativeFrom="column">
              <wp:posOffset>-235181</wp:posOffset>
            </wp:positionH>
            <wp:positionV relativeFrom="paragraph">
              <wp:posOffset>173</wp:posOffset>
            </wp:positionV>
            <wp:extent cx="6431915" cy="5160645"/>
            <wp:effectExtent l="0" t="0" r="0" b="0"/>
            <wp:wrapTight wrapText="bothSides">
              <wp:wrapPolygon edited="0">
                <wp:start x="640" y="904"/>
                <wp:lineTo x="512" y="1648"/>
                <wp:lineTo x="10790" y="1860"/>
                <wp:lineTo x="768" y="1967"/>
                <wp:lineTo x="768" y="2711"/>
                <wp:lineTo x="10790" y="2711"/>
                <wp:lineTo x="2388" y="3189"/>
                <wp:lineTo x="2388" y="3561"/>
                <wp:lineTo x="1109" y="4040"/>
                <wp:lineTo x="1109" y="4412"/>
                <wp:lineTo x="1791" y="5262"/>
                <wp:lineTo x="1663" y="6113"/>
                <wp:lineTo x="1663" y="6963"/>
                <wp:lineTo x="1877" y="7814"/>
                <wp:lineTo x="2346" y="8664"/>
                <wp:lineTo x="2388" y="9302"/>
                <wp:lineTo x="4478" y="9515"/>
                <wp:lineTo x="10790" y="9515"/>
                <wp:lineTo x="10790" y="10365"/>
                <wp:lineTo x="1024" y="10684"/>
                <wp:lineTo x="512" y="10684"/>
                <wp:lineTo x="512" y="11854"/>
                <wp:lineTo x="3369" y="12066"/>
                <wp:lineTo x="1237" y="12120"/>
                <wp:lineTo x="1237" y="17169"/>
                <wp:lineTo x="1322" y="19615"/>
                <wp:lineTo x="1407" y="19721"/>
                <wp:lineTo x="1962" y="19827"/>
                <wp:lineTo x="2730" y="20040"/>
                <wp:lineTo x="19491" y="20040"/>
                <wp:lineTo x="19576" y="19934"/>
                <wp:lineTo x="19790" y="19721"/>
                <wp:lineTo x="19917" y="18870"/>
                <wp:lineTo x="20472" y="18020"/>
                <wp:lineTo x="20515" y="11429"/>
                <wp:lineTo x="14586" y="11216"/>
                <wp:lineTo x="14672" y="10897"/>
                <wp:lineTo x="14160" y="10791"/>
                <wp:lineTo x="10748" y="10365"/>
                <wp:lineTo x="10790" y="9515"/>
                <wp:lineTo x="18723" y="9409"/>
                <wp:lineTo x="18851" y="8877"/>
                <wp:lineTo x="17529" y="8664"/>
                <wp:lineTo x="18041" y="7814"/>
                <wp:lineTo x="18254" y="6963"/>
                <wp:lineTo x="18339" y="6113"/>
                <wp:lineTo x="21026" y="5262"/>
                <wp:lineTo x="21197" y="5050"/>
                <wp:lineTo x="21282" y="4518"/>
                <wp:lineTo x="21282" y="3827"/>
                <wp:lineTo x="20898" y="3668"/>
                <wp:lineTo x="10790" y="2711"/>
                <wp:lineTo x="17742" y="2711"/>
                <wp:lineTo x="17742" y="1967"/>
                <wp:lineTo x="10748" y="1860"/>
                <wp:lineTo x="896" y="904"/>
                <wp:lineTo x="640" y="904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B34F5" w14:textId="22CE7D7D" w:rsidR="00C20A18" w:rsidRDefault="00C20A18">
      <w:pPr>
        <w:rPr>
          <w:lang w:val="en-US"/>
        </w:rPr>
      </w:pPr>
    </w:p>
    <w:p w14:paraId="3E24F726" w14:textId="2B2A3018" w:rsidR="00C20A18" w:rsidRDefault="00C20A18">
      <w:pPr>
        <w:rPr>
          <w:lang w:val="en-US"/>
        </w:rPr>
      </w:pPr>
    </w:p>
    <w:p w14:paraId="0C83C08B" w14:textId="357E5456" w:rsidR="00C20A18" w:rsidRDefault="00C20A18">
      <w:pPr>
        <w:rPr>
          <w:lang w:val="en-US"/>
        </w:rPr>
      </w:pPr>
    </w:p>
    <w:p w14:paraId="4A7637CA" w14:textId="1EA35617" w:rsidR="00C20A18" w:rsidRDefault="00C20A18">
      <w:pPr>
        <w:rPr>
          <w:lang w:val="en-US"/>
        </w:rPr>
      </w:pPr>
    </w:p>
    <w:p w14:paraId="2849DCEC" w14:textId="1087411F" w:rsidR="00C20A18" w:rsidRDefault="00C20A18">
      <w:pPr>
        <w:rPr>
          <w:lang w:val="en-US"/>
        </w:rPr>
      </w:pPr>
    </w:p>
    <w:p w14:paraId="6E469216" w14:textId="245F390D" w:rsidR="00C20A18" w:rsidRDefault="00C20A18">
      <w:pPr>
        <w:rPr>
          <w:lang w:val="en-US"/>
        </w:rPr>
      </w:pPr>
    </w:p>
    <w:p w14:paraId="741C604A" w14:textId="7FA6FC67" w:rsidR="00C20A18" w:rsidRDefault="00C20A18">
      <w:pPr>
        <w:rPr>
          <w:lang w:val="en-US"/>
        </w:rPr>
      </w:pPr>
    </w:p>
    <w:p w14:paraId="442DEFA2" w14:textId="314EE934" w:rsidR="00C20A18" w:rsidRDefault="00C20A18">
      <w:pPr>
        <w:rPr>
          <w:lang w:val="en-US"/>
        </w:rPr>
      </w:pPr>
    </w:p>
    <w:p w14:paraId="3B553114" w14:textId="4E48A727" w:rsidR="00C20A18" w:rsidRDefault="00C20A18">
      <w:pPr>
        <w:rPr>
          <w:lang w:val="en-US"/>
        </w:rPr>
      </w:pPr>
    </w:p>
    <w:p w14:paraId="6623D739" w14:textId="77777777" w:rsidR="00D77666" w:rsidRDefault="00D77666" w:rsidP="00E77CD2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A806B4A" w14:textId="4D9B9EB1" w:rsidR="007C0FC1" w:rsidRPr="004B494C" w:rsidRDefault="007C0FC1" w:rsidP="00E77CD2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Supplemental Figure 1</w:t>
      </w:r>
    </w:p>
    <w:p w14:paraId="1BA0B20E" w14:textId="77777777" w:rsidR="007C0FC1" w:rsidRPr="004B494C" w:rsidRDefault="006C57C5" w:rsidP="00E77CD2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(A)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4B494C">
        <w:rPr>
          <w:rFonts w:ascii="Times New Roman" w:hAnsi="Times New Roman" w:cs="Times New Roman"/>
          <w:sz w:val="20"/>
          <w:szCs w:val="20"/>
          <w:lang w:val="en-US"/>
        </w:rPr>
        <w:t>Pie chart</w:t>
      </w:r>
      <w:r w:rsidR="00ED4EB6" w:rsidRPr="004B494C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of </w:t>
      </w:r>
      <w:r w:rsidR="00CA7829" w:rsidRPr="004B494C">
        <w:rPr>
          <w:rFonts w:ascii="Times New Roman" w:hAnsi="Times New Roman" w:cs="Times New Roman"/>
          <w:sz w:val="20"/>
          <w:szCs w:val="20"/>
          <w:lang w:val="en-US"/>
        </w:rPr>
        <w:t>LV-function,</w:t>
      </w:r>
      <w:proofErr w:type="gramEnd"/>
      <w:r w:rsidR="00CA7829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measured via echocardiography at the first three consultations. Patients numbers and distribution of preserved LVEF (LVEF &gt; 50%), mid-range reduced LVEF (LVEF 40-50%) und reduced LVEF (LVEF &lt; 40%) as indicated.</w:t>
      </w:r>
    </w:p>
    <w:p w14:paraId="7EDB7117" w14:textId="566005F4" w:rsidR="00CA7829" w:rsidRPr="004B494C" w:rsidRDefault="00CA7829" w:rsidP="00E77CD2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(B)</w:t>
      </w:r>
      <w:r w:rsidR="0043753B"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43753B" w:rsidRPr="004B494C">
        <w:rPr>
          <w:rFonts w:ascii="Times New Roman" w:hAnsi="Times New Roman" w:cs="Times New Roman"/>
          <w:sz w:val="20"/>
          <w:szCs w:val="20"/>
          <w:lang w:val="en-US"/>
        </w:rPr>
        <w:t>Distribution of elevated NT-</w:t>
      </w:r>
      <w:proofErr w:type="spellStart"/>
      <w:r w:rsidR="0043753B" w:rsidRPr="004B494C">
        <w:rPr>
          <w:rFonts w:ascii="Times New Roman" w:hAnsi="Times New Roman" w:cs="Times New Roman"/>
          <w:sz w:val="20"/>
          <w:szCs w:val="20"/>
          <w:lang w:val="en-US"/>
        </w:rPr>
        <w:t>proBNP</w:t>
      </w:r>
      <w:proofErr w:type="spellEnd"/>
      <w:r w:rsidR="0043753B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(&gt;</w:t>
      </w:r>
      <w:r w:rsidR="00900E7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53B" w:rsidRPr="004B494C">
        <w:rPr>
          <w:rFonts w:ascii="Times New Roman" w:hAnsi="Times New Roman" w:cs="Times New Roman"/>
          <w:sz w:val="20"/>
          <w:szCs w:val="20"/>
          <w:lang w:val="en-US"/>
        </w:rPr>
        <w:t>rule out criterion</w:t>
      </w:r>
      <w:r w:rsidR="00BA2FB3" w:rsidRPr="004B494C">
        <w:rPr>
          <w:rFonts w:ascii="Times New Roman" w:hAnsi="Times New Roman" w:cs="Times New Roman"/>
          <w:sz w:val="20"/>
          <w:szCs w:val="20"/>
          <w:lang w:val="en-US"/>
        </w:rPr>
        <w:t>, 300ng/l</w:t>
      </w:r>
      <w:r w:rsidR="0043753B" w:rsidRPr="004B494C">
        <w:rPr>
          <w:rFonts w:ascii="Times New Roman" w:hAnsi="Times New Roman" w:cs="Times New Roman"/>
          <w:sz w:val="20"/>
          <w:szCs w:val="20"/>
          <w:lang w:val="en-US"/>
        </w:rPr>
        <w:t>) in patients with preserved and reduced LVEF</w:t>
      </w:r>
      <w:r w:rsidR="00A14661">
        <w:rPr>
          <w:rFonts w:ascii="Times New Roman" w:hAnsi="Times New Roman" w:cs="Times New Roman"/>
          <w:sz w:val="20"/>
          <w:szCs w:val="20"/>
          <w:lang w:val="en-US"/>
        </w:rPr>
        <w:t xml:space="preserve"> (LVEF &gt;/≤50%)</w:t>
      </w:r>
      <w:r w:rsidR="008156CC" w:rsidRPr="004B494C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38E6D6D" w14:textId="67F3FAD2" w:rsidR="0043753B" w:rsidRDefault="0043753B" w:rsidP="00E77CD2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(C)</w:t>
      </w:r>
      <w:r w:rsidR="002A742B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Distribution of elevated </w:t>
      </w:r>
      <w:proofErr w:type="spellStart"/>
      <w:r w:rsidR="002A742B" w:rsidRPr="004B494C">
        <w:rPr>
          <w:rFonts w:ascii="Times New Roman" w:hAnsi="Times New Roman" w:cs="Times New Roman"/>
          <w:sz w:val="20"/>
          <w:szCs w:val="20"/>
          <w:lang w:val="en-US"/>
        </w:rPr>
        <w:t>hs-</w:t>
      </w:r>
      <w:r w:rsidR="00CE16E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2A742B" w:rsidRPr="004B494C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="002A742B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(&gt; 99 percentile</w:t>
      </w:r>
      <w:r w:rsidR="00BA2FB3" w:rsidRPr="004B494C">
        <w:rPr>
          <w:rFonts w:ascii="Times New Roman" w:hAnsi="Times New Roman" w:cs="Times New Roman"/>
          <w:sz w:val="20"/>
          <w:szCs w:val="20"/>
          <w:lang w:val="en-US"/>
        </w:rPr>
        <w:t>, 14 ng/l</w:t>
      </w:r>
      <w:r w:rsidR="002A742B" w:rsidRPr="004B494C">
        <w:rPr>
          <w:rFonts w:ascii="Times New Roman" w:hAnsi="Times New Roman" w:cs="Times New Roman"/>
          <w:sz w:val="20"/>
          <w:szCs w:val="20"/>
          <w:lang w:val="en-US"/>
        </w:rPr>
        <w:t>) in patients with preserved and reduced LVEF</w:t>
      </w:r>
      <w:r w:rsidR="008156CC" w:rsidRPr="004B494C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678299E" w14:textId="116A62B9" w:rsidR="00D77666" w:rsidRPr="004B494C" w:rsidRDefault="00D77666" w:rsidP="00D77666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(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D</w:t>
      </w: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)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Distribution of elevated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hs-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with a cutoff of 7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ng/l in patients with preserved and reduced LVEF.</w:t>
      </w:r>
    </w:p>
    <w:p w14:paraId="15EA3ECE" w14:textId="77777777" w:rsidR="00D77666" w:rsidRPr="004B494C" w:rsidRDefault="00D77666" w:rsidP="00E77CD2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4A08C1FE" w14:textId="77777777" w:rsidR="0011316C" w:rsidRPr="00CA7829" w:rsidRDefault="0011316C">
      <w:pPr>
        <w:rPr>
          <w:lang w:val="en-US"/>
        </w:rPr>
      </w:pPr>
    </w:p>
    <w:p w14:paraId="4D070D7B" w14:textId="77777777" w:rsidR="0011316C" w:rsidRPr="00CA7829" w:rsidRDefault="0011316C">
      <w:pPr>
        <w:rPr>
          <w:lang w:val="en-US"/>
        </w:rPr>
      </w:pPr>
    </w:p>
    <w:p w14:paraId="229D0A37" w14:textId="77777777" w:rsidR="0011316C" w:rsidRPr="00CA7829" w:rsidRDefault="0011316C">
      <w:pPr>
        <w:rPr>
          <w:lang w:val="en-US"/>
        </w:rPr>
      </w:pPr>
    </w:p>
    <w:p w14:paraId="7D9DB459" w14:textId="77777777" w:rsidR="0011316C" w:rsidRPr="00CA7829" w:rsidRDefault="0011316C">
      <w:pPr>
        <w:rPr>
          <w:lang w:val="en-US"/>
        </w:rPr>
      </w:pPr>
    </w:p>
    <w:p w14:paraId="261CA867" w14:textId="77777777" w:rsidR="0011316C" w:rsidRPr="00CA7829" w:rsidRDefault="0011316C">
      <w:pPr>
        <w:rPr>
          <w:lang w:val="en-US"/>
        </w:rPr>
      </w:pPr>
    </w:p>
    <w:p w14:paraId="34754AD0" w14:textId="77777777" w:rsidR="0011316C" w:rsidRPr="00CA7829" w:rsidRDefault="0011316C">
      <w:pPr>
        <w:rPr>
          <w:lang w:val="en-US"/>
        </w:rPr>
      </w:pPr>
    </w:p>
    <w:p w14:paraId="79B67073" w14:textId="77777777" w:rsidR="0011316C" w:rsidRPr="00CA7829" w:rsidRDefault="0011316C">
      <w:pPr>
        <w:rPr>
          <w:lang w:val="en-US"/>
        </w:rPr>
      </w:pPr>
    </w:p>
    <w:p w14:paraId="27CAA2AD" w14:textId="248B3831" w:rsidR="00364762" w:rsidRPr="00315E7C" w:rsidRDefault="00315E7C" w:rsidP="000810F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2B13FE" wp14:editId="4E3BA42C">
            <wp:extent cx="4815068" cy="702019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_Figure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523" cy="704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965D" w14:textId="77777777" w:rsidR="0011316C" w:rsidRPr="004B494C" w:rsidRDefault="0011316C" w:rsidP="00E77CD2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Supplemental Figure </w:t>
      </w:r>
      <w:r w:rsidR="00316518"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2</w:t>
      </w:r>
    </w:p>
    <w:p w14:paraId="1C013B7D" w14:textId="6127DF72" w:rsidR="00411B17" w:rsidRPr="004B494C" w:rsidRDefault="004A75DC" w:rsidP="00E77CD2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(A)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Univariate logistic regression analysis of elevated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hs-</w:t>
      </w:r>
      <w:r w:rsidR="0089575A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F056F2">
        <w:rPr>
          <w:rFonts w:ascii="Times New Roman" w:hAnsi="Times New Roman" w:cs="Times New Roman"/>
          <w:sz w:val="20"/>
          <w:szCs w:val="20"/>
          <w:lang w:val="en-US"/>
        </w:rPr>
        <w:t>≥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7ng/l)</w:t>
      </w:r>
      <w:r w:rsidR="00D74F17" w:rsidRPr="004B494C">
        <w:rPr>
          <w:rFonts w:ascii="Times New Roman" w:hAnsi="Times New Roman" w:cs="Times New Roman"/>
          <w:sz w:val="20"/>
          <w:szCs w:val="20"/>
          <w:lang w:val="en-US"/>
        </w:rPr>
        <w:t>. Odds Ratio (OR)</w:t>
      </w:r>
      <w:r w:rsidR="00603A35" w:rsidRPr="004B494C">
        <w:rPr>
          <w:rFonts w:ascii="Times New Roman" w:hAnsi="Times New Roman" w:cs="Times New Roman"/>
          <w:sz w:val="20"/>
          <w:szCs w:val="20"/>
          <w:lang w:val="en-US"/>
        </w:rPr>
        <w:t>, confidential interval</w:t>
      </w:r>
      <w:r w:rsidR="00D74F17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and p-value as indicated.</w:t>
      </w:r>
    </w:p>
    <w:p w14:paraId="7819E770" w14:textId="55801589" w:rsidR="00196C42" w:rsidRPr="00196C42" w:rsidRDefault="00CC1121" w:rsidP="00196C42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(B) 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Multivariate logistic regression analysis for all-cause mortality including the significant factors (Gender, Breast cancer, Upper GI Tumor,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hs-</w:t>
      </w:r>
      <w:r w:rsidR="0089575A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976E3">
        <w:rPr>
          <w:rFonts w:ascii="Times New Roman" w:hAnsi="Times New Roman" w:cs="Times New Roman"/>
          <w:sz w:val="20"/>
          <w:szCs w:val="20"/>
          <w:lang w:val="en-US"/>
        </w:rPr>
        <w:t>≥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7ng/l) from the univariate analysis.</w:t>
      </w:r>
      <w:r w:rsidR="00E77CD2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Odds Ratio (OR), confidential interval and p-value as indicated.</w:t>
      </w:r>
    </w:p>
    <w:p w14:paraId="136BBE6B" w14:textId="3040F27A" w:rsidR="00D76EF1" w:rsidRDefault="00E97034" w:rsidP="000810F5">
      <w:pPr>
        <w:jc w:val="center"/>
      </w:pPr>
      <w:r>
        <w:rPr>
          <w:noProof/>
        </w:rPr>
        <w:lastRenderedPageBreak/>
        <w:drawing>
          <wp:inline distT="0" distB="0" distL="0" distR="0" wp14:anchorId="46A2FF1F" wp14:editId="178E6518">
            <wp:extent cx="3568700" cy="46863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l_Figure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D72E" w14:textId="77777777" w:rsidR="00316518" w:rsidRPr="004B494C" w:rsidRDefault="00316518" w:rsidP="008465CB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Supplemental Figure 3</w:t>
      </w:r>
    </w:p>
    <w:p w14:paraId="486FBE0D" w14:textId="4FBF9DA6" w:rsidR="00E77CD2" w:rsidRPr="004B494C" w:rsidRDefault="00E77CD2" w:rsidP="008465CB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sz w:val="20"/>
          <w:szCs w:val="20"/>
          <w:lang w:val="en-US"/>
        </w:rPr>
        <w:t>Kaplan Meier curves on all-cause mortality (ACM). Patients are divided into t</w:t>
      </w:r>
      <w:r w:rsidR="008465CB" w:rsidRPr="004B494C">
        <w:rPr>
          <w:rFonts w:ascii="Times New Roman" w:hAnsi="Times New Roman" w:cs="Times New Roman"/>
          <w:sz w:val="20"/>
          <w:szCs w:val="20"/>
          <w:lang w:val="en-US"/>
        </w:rPr>
        <w:t>hree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groups according to their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hs-</w:t>
      </w:r>
      <w:r w:rsidR="002967A1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level (&lt;</w:t>
      </w:r>
      <w:r w:rsidR="008465CB"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5ng/l, 5-14ng/l, &gt; 14 ng/l). </w:t>
      </w:r>
      <w:r w:rsidR="0075579F" w:rsidRPr="00BA788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Adjustments of </w:t>
      </w:r>
      <w:proofErr w:type="spellStart"/>
      <w:r w:rsidR="0075579F" w:rsidRPr="00BA788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hs-cTnT</w:t>
      </w:r>
      <w:proofErr w:type="spellEnd"/>
      <w:r w:rsidR="0075579F" w:rsidRPr="00BA788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were performed to left ventricular function, the occurrence of diabetes or arterial hypertension, body mass index (BMI), NT-</w:t>
      </w:r>
      <w:proofErr w:type="spellStart"/>
      <w:r w:rsidR="0075579F" w:rsidRPr="00BA788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proBNP</w:t>
      </w:r>
      <w:proofErr w:type="spellEnd"/>
      <w:r w:rsidR="0075579F" w:rsidRPr="00BA788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levels, GFR, age and gender</w:t>
      </w:r>
      <w:r w:rsidR="0075579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Logrank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-Test p-value as indicated. </w:t>
      </w:r>
    </w:p>
    <w:p w14:paraId="01DAD75C" w14:textId="77777777" w:rsidR="00316518" w:rsidRPr="00E77CD2" w:rsidRDefault="00316518" w:rsidP="0011316C">
      <w:pPr>
        <w:rPr>
          <w:lang w:val="en-US"/>
        </w:rPr>
      </w:pPr>
    </w:p>
    <w:p w14:paraId="4384A7B5" w14:textId="77777777" w:rsidR="00316518" w:rsidRPr="00E77CD2" w:rsidRDefault="00316518" w:rsidP="0011316C">
      <w:pPr>
        <w:rPr>
          <w:lang w:val="en-US"/>
        </w:rPr>
      </w:pPr>
    </w:p>
    <w:p w14:paraId="5322A8F1" w14:textId="77777777" w:rsidR="00316518" w:rsidRPr="00E77CD2" w:rsidRDefault="00316518" w:rsidP="0011316C">
      <w:pPr>
        <w:rPr>
          <w:lang w:val="en-US"/>
        </w:rPr>
      </w:pPr>
    </w:p>
    <w:p w14:paraId="73B7FC64" w14:textId="77777777" w:rsidR="00316518" w:rsidRPr="00E77CD2" w:rsidRDefault="00316518" w:rsidP="0011316C">
      <w:pPr>
        <w:rPr>
          <w:lang w:val="en-US"/>
        </w:rPr>
      </w:pPr>
    </w:p>
    <w:p w14:paraId="745A762C" w14:textId="77777777" w:rsidR="00316518" w:rsidRPr="00E77CD2" w:rsidRDefault="00316518" w:rsidP="0011316C">
      <w:pPr>
        <w:rPr>
          <w:lang w:val="en-US"/>
        </w:rPr>
      </w:pPr>
    </w:p>
    <w:p w14:paraId="4D745AEA" w14:textId="77777777" w:rsidR="00567F4B" w:rsidRPr="00E77CD2" w:rsidRDefault="00567F4B" w:rsidP="0011316C">
      <w:pPr>
        <w:rPr>
          <w:lang w:val="en-US"/>
        </w:rPr>
      </w:pPr>
    </w:p>
    <w:p w14:paraId="03D09043" w14:textId="77777777" w:rsidR="00567F4B" w:rsidRPr="00E77CD2" w:rsidRDefault="00567F4B" w:rsidP="0011316C">
      <w:pPr>
        <w:rPr>
          <w:lang w:val="en-US"/>
        </w:rPr>
      </w:pPr>
    </w:p>
    <w:p w14:paraId="733B183A" w14:textId="77777777" w:rsidR="00567F4B" w:rsidRPr="00E77CD2" w:rsidRDefault="00567F4B" w:rsidP="0011316C">
      <w:pPr>
        <w:rPr>
          <w:lang w:val="en-US"/>
        </w:rPr>
      </w:pPr>
    </w:p>
    <w:p w14:paraId="3D1D6A9F" w14:textId="77777777" w:rsidR="00567F4B" w:rsidRPr="00E77CD2" w:rsidRDefault="00567F4B" w:rsidP="0011316C">
      <w:pPr>
        <w:rPr>
          <w:lang w:val="en-US"/>
        </w:rPr>
      </w:pPr>
    </w:p>
    <w:p w14:paraId="2C9031DA" w14:textId="77777777" w:rsidR="00567F4B" w:rsidRPr="00E77CD2" w:rsidRDefault="00567F4B" w:rsidP="0011316C">
      <w:pPr>
        <w:rPr>
          <w:lang w:val="en-US"/>
        </w:rPr>
      </w:pPr>
    </w:p>
    <w:p w14:paraId="32D534BD" w14:textId="77777777" w:rsidR="00567F4B" w:rsidRPr="00E77CD2" w:rsidRDefault="00567F4B" w:rsidP="0011316C">
      <w:pPr>
        <w:rPr>
          <w:lang w:val="en-US"/>
        </w:rPr>
      </w:pPr>
    </w:p>
    <w:p w14:paraId="38550782" w14:textId="77777777" w:rsidR="00567F4B" w:rsidRPr="00E77CD2" w:rsidRDefault="00567F4B" w:rsidP="0011316C">
      <w:pPr>
        <w:rPr>
          <w:lang w:val="en-US"/>
        </w:rPr>
      </w:pPr>
    </w:p>
    <w:p w14:paraId="310DDFB1" w14:textId="77777777" w:rsidR="00567F4B" w:rsidRPr="00E77CD2" w:rsidRDefault="00567F4B" w:rsidP="0011316C">
      <w:pPr>
        <w:rPr>
          <w:lang w:val="en-US"/>
        </w:rPr>
      </w:pPr>
    </w:p>
    <w:p w14:paraId="7C4B5E7E" w14:textId="77777777" w:rsidR="00567F4B" w:rsidRPr="00E77CD2" w:rsidRDefault="00567F4B" w:rsidP="0011316C">
      <w:pPr>
        <w:rPr>
          <w:lang w:val="en-US"/>
        </w:rPr>
      </w:pPr>
    </w:p>
    <w:p w14:paraId="434ADECF" w14:textId="77777777" w:rsidR="00567F4B" w:rsidRPr="00E77CD2" w:rsidRDefault="00567F4B" w:rsidP="0011316C">
      <w:pPr>
        <w:rPr>
          <w:lang w:val="en-US"/>
        </w:rPr>
      </w:pPr>
    </w:p>
    <w:p w14:paraId="2A527215" w14:textId="6D58F25B" w:rsidR="00567F4B" w:rsidRPr="00D36E6D" w:rsidRDefault="00D36E6D" w:rsidP="000810F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568193" wp14:editId="492B4668">
            <wp:extent cx="4927600" cy="4800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_Figure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6306" w14:textId="77777777" w:rsidR="00567F4B" w:rsidRPr="00606827" w:rsidRDefault="00567F4B" w:rsidP="00E8499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606827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Supplemental Figure 4</w:t>
      </w:r>
    </w:p>
    <w:p w14:paraId="75B6BD62" w14:textId="4D0269C7" w:rsidR="00567F4B" w:rsidRPr="00606827" w:rsidRDefault="00E84998" w:rsidP="008060DE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06827">
        <w:rPr>
          <w:rFonts w:ascii="Times New Roman" w:hAnsi="Times New Roman" w:cs="Times New Roman"/>
          <w:sz w:val="20"/>
          <w:szCs w:val="20"/>
          <w:lang w:val="en-US"/>
        </w:rPr>
        <w:t xml:space="preserve">ROC curves to test for the prediction of all-cause mortality. </w:t>
      </w:r>
      <w:r w:rsidR="009B7D12" w:rsidRPr="00606827">
        <w:rPr>
          <w:rFonts w:ascii="Times New Roman" w:hAnsi="Times New Roman" w:cs="Times New Roman"/>
          <w:sz w:val="20"/>
          <w:szCs w:val="20"/>
          <w:lang w:val="en-US"/>
        </w:rPr>
        <w:t>Single curves are shown for</w:t>
      </w:r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606827">
        <w:rPr>
          <w:rFonts w:ascii="Times New Roman" w:hAnsi="Times New Roman" w:cs="Times New Roman"/>
          <w:sz w:val="20"/>
          <w:szCs w:val="20"/>
          <w:lang w:val="en-US"/>
        </w:rPr>
        <w:t>s-</w:t>
      </w:r>
      <w:r w:rsidR="00D36E6D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606827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Pr="00606827">
        <w:rPr>
          <w:rFonts w:ascii="Times New Roman" w:hAnsi="Times New Roman" w:cs="Times New Roman"/>
          <w:sz w:val="20"/>
          <w:szCs w:val="20"/>
          <w:lang w:val="en-US"/>
        </w:rPr>
        <w:t>, NT-</w:t>
      </w:r>
      <w:proofErr w:type="spellStart"/>
      <w:r w:rsidRPr="00606827">
        <w:rPr>
          <w:rFonts w:ascii="Times New Roman" w:hAnsi="Times New Roman" w:cs="Times New Roman"/>
          <w:sz w:val="20"/>
          <w:szCs w:val="20"/>
          <w:lang w:val="en-US"/>
        </w:rPr>
        <w:t>proBNP</w:t>
      </w:r>
      <w:proofErr w:type="spellEnd"/>
      <w:r w:rsidRPr="00606827">
        <w:rPr>
          <w:rFonts w:ascii="Times New Roman" w:hAnsi="Times New Roman" w:cs="Times New Roman"/>
          <w:sz w:val="20"/>
          <w:szCs w:val="20"/>
          <w:lang w:val="en-US"/>
        </w:rPr>
        <w:t>, LVEF as continuous variable</w:t>
      </w:r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06827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>hs-</w:t>
      </w:r>
      <w:r w:rsidR="00D36E6D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>, NT-</w:t>
      </w:r>
      <w:proofErr w:type="spellStart"/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>proBNP</w:t>
      </w:r>
      <w:proofErr w:type="spellEnd"/>
      <w:r w:rsidR="008060DE" w:rsidRPr="00606827">
        <w:rPr>
          <w:rFonts w:ascii="Times New Roman" w:hAnsi="Times New Roman" w:cs="Times New Roman"/>
          <w:sz w:val="20"/>
          <w:szCs w:val="20"/>
          <w:lang w:val="en-US"/>
        </w:rPr>
        <w:t xml:space="preserve">, LVEF together. </w:t>
      </w:r>
      <w:r w:rsidRPr="00606827">
        <w:rPr>
          <w:rFonts w:ascii="Times New Roman" w:hAnsi="Times New Roman" w:cs="Times New Roman"/>
          <w:sz w:val="20"/>
          <w:szCs w:val="20"/>
          <w:lang w:val="en-US"/>
        </w:rPr>
        <w:t>Area under the curve (AUC) as indicated.</w:t>
      </w:r>
    </w:p>
    <w:p w14:paraId="7E8C617E" w14:textId="42A839C8" w:rsidR="0011316C" w:rsidRDefault="0011316C">
      <w:pPr>
        <w:rPr>
          <w:lang w:val="en-US"/>
        </w:rPr>
      </w:pPr>
    </w:p>
    <w:p w14:paraId="4ABD773C" w14:textId="619420DF" w:rsidR="00BB29A4" w:rsidRDefault="00BB29A4">
      <w:pPr>
        <w:rPr>
          <w:lang w:val="en-US"/>
        </w:rPr>
      </w:pPr>
    </w:p>
    <w:p w14:paraId="0ABDF051" w14:textId="33B91D15" w:rsidR="00BB29A4" w:rsidRDefault="00BB29A4">
      <w:pPr>
        <w:rPr>
          <w:lang w:val="en-US"/>
        </w:rPr>
      </w:pPr>
    </w:p>
    <w:p w14:paraId="5F9D774F" w14:textId="36F6F2E2" w:rsidR="00BB29A4" w:rsidRDefault="00BB29A4">
      <w:pPr>
        <w:rPr>
          <w:lang w:val="en-US"/>
        </w:rPr>
      </w:pPr>
    </w:p>
    <w:p w14:paraId="3AD09222" w14:textId="6E82E782" w:rsidR="00BB29A4" w:rsidRDefault="00BB29A4">
      <w:pPr>
        <w:rPr>
          <w:lang w:val="en-US"/>
        </w:rPr>
      </w:pPr>
    </w:p>
    <w:p w14:paraId="2EF8592B" w14:textId="088192AD" w:rsidR="00BB29A4" w:rsidRDefault="00BB29A4">
      <w:pPr>
        <w:rPr>
          <w:lang w:val="en-US"/>
        </w:rPr>
      </w:pPr>
    </w:p>
    <w:p w14:paraId="6DE4B855" w14:textId="7A808BA3" w:rsidR="00BB29A4" w:rsidRDefault="00BB29A4">
      <w:pPr>
        <w:rPr>
          <w:lang w:val="en-US"/>
        </w:rPr>
      </w:pPr>
    </w:p>
    <w:p w14:paraId="3079E8AC" w14:textId="4FDFDD15" w:rsidR="00BB29A4" w:rsidRDefault="00BB29A4">
      <w:pPr>
        <w:rPr>
          <w:lang w:val="en-US"/>
        </w:rPr>
      </w:pPr>
    </w:p>
    <w:p w14:paraId="5A315D39" w14:textId="32D23172" w:rsidR="00BB29A4" w:rsidRDefault="00BB29A4">
      <w:pPr>
        <w:rPr>
          <w:lang w:val="en-US"/>
        </w:rPr>
      </w:pPr>
    </w:p>
    <w:p w14:paraId="44BF9ECE" w14:textId="063C2E1D" w:rsidR="00BB29A4" w:rsidRDefault="00BB29A4">
      <w:pPr>
        <w:rPr>
          <w:lang w:val="en-US"/>
        </w:rPr>
      </w:pPr>
    </w:p>
    <w:p w14:paraId="4DC1C9E1" w14:textId="1E6A912F" w:rsidR="00BB29A4" w:rsidRDefault="00BB29A4">
      <w:pPr>
        <w:rPr>
          <w:lang w:val="en-US"/>
        </w:rPr>
      </w:pPr>
    </w:p>
    <w:p w14:paraId="795086BF" w14:textId="214E42F4" w:rsidR="00BB29A4" w:rsidRDefault="00BB29A4">
      <w:pPr>
        <w:rPr>
          <w:lang w:val="en-US"/>
        </w:rPr>
      </w:pPr>
    </w:p>
    <w:p w14:paraId="526B3DF7" w14:textId="773516D3" w:rsidR="00BB29A4" w:rsidRDefault="00BB29A4">
      <w:pPr>
        <w:rPr>
          <w:lang w:val="en-US"/>
        </w:rPr>
      </w:pPr>
    </w:p>
    <w:p w14:paraId="4AB9A4A6" w14:textId="4EEE41DB" w:rsidR="00BB29A4" w:rsidRDefault="00BB29A4">
      <w:pPr>
        <w:rPr>
          <w:lang w:val="en-US"/>
        </w:rPr>
      </w:pPr>
    </w:p>
    <w:p w14:paraId="25614853" w14:textId="202062DC" w:rsidR="00BB29A4" w:rsidRDefault="00BB29A4">
      <w:pPr>
        <w:rPr>
          <w:lang w:val="en-US"/>
        </w:rPr>
      </w:pPr>
    </w:p>
    <w:p w14:paraId="2F1A1197" w14:textId="16218D53" w:rsidR="00976ED2" w:rsidRDefault="00976ED2">
      <w:pPr>
        <w:rPr>
          <w:lang w:val="en-US"/>
        </w:rPr>
      </w:pPr>
    </w:p>
    <w:p w14:paraId="203756DC" w14:textId="5DE89B7E" w:rsidR="00976ED2" w:rsidRDefault="007A071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3FA207C4" wp14:editId="5CAA4290">
            <wp:simplePos x="0" y="0"/>
            <wp:positionH relativeFrom="column">
              <wp:posOffset>481965</wp:posOffset>
            </wp:positionH>
            <wp:positionV relativeFrom="paragraph">
              <wp:posOffset>4445</wp:posOffset>
            </wp:positionV>
            <wp:extent cx="4805680" cy="4901565"/>
            <wp:effectExtent l="0" t="0" r="0" b="0"/>
            <wp:wrapTight wrapText="bothSides">
              <wp:wrapPolygon edited="0">
                <wp:start x="3197" y="112"/>
                <wp:lineTo x="2112" y="839"/>
                <wp:lineTo x="1770" y="1007"/>
                <wp:lineTo x="1884" y="1287"/>
                <wp:lineTo x="2968" y="2015"/>
                <wp:lineTo x="3197" y="2015"/>
                <wp:lineTo x="3197" y="4701"/>
                <wp:lineTo x="1884" y="5149"/>
                <wp:lineTo x="1770" y="5261"/>
                <wp:lineTo x="1827" y="5597"/>
                <wp:lineTo x="3140" y="6492"/>
                <wp:lineTo x="1199" y="6884"/>
                <wp:lineTo x="685" y="7052"/>
                <wp:lineTo x="571" y="7723"/>
                <wp:lineTo x="571" y="13488"/>
                <wp:lineTo x="1827" y="13712"/>
                <wp:lineTo x="1827" y="14159"/>
                <wp:lineTo x="3197" y="14551"/>
                <wp:lineTo x="3197" y="17237"/>
                <wp:lineTo x="1770" y="18021"/>
                <wp:lineTo x="1770" y="18357"/>
                <wp:lineTo x="2854" y="19028"/>
                <wp:lineTo x="3197" y="19028"/>
                <wp:lineTo x="3197" y="19532"/>
                <wp:lineTo x="6736" y="19924"/>
                <wp:lineTo x="10789" y="19924"/>
                <wp:lineTo x="9989" y="20372"/>
                <wp:lineTo x="9761" y="20539"/>
                <wp:lineTo x="9875" y="21043"/>
                <wp:lineTo x="11645" y="21267"/>
                <wp:lineTo x="14385" y="21267"/>
                <wp:lineTo x="14499" y="20483"/>
                <wp:lineTo x="10789" y="19924"/>
                <wp:lineTo x="15184" y="19924"/>
                <wp:lineTo x="21463" y="19420"/>
                <wp:lineTo x="21520" y="224"/>
                <wp:lineTo x="3425" y="112"/>
                <wp:lineTo x="3197" y="112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04AB5" w14:textId="1E5EB322" w:rsidR="00976ED2" w:rsidRDefault="00976ED2">
      <w:pPr>
        <w:rPr>
          <w:lang w:val="en-US"/>
        </w:rPr>
      </w:pPr>
    </w:p>
    <w:p w14:paraId="320AEDBA" w14:textId="684ED242" w:rsidR="00976ED2" w:rsidRDefault="00976ED2">
      <w:pPr>
        <w:rPr>
          <w:lang w:val="en-US"/>
        </w:rPr>
      </w:pPr>
    </w:p>
    <w:p w14:paraId="32E51813" w14:textId="19D97289" w:rsidR="00976ED2" w:rsidRDefault="00976ED2">
      <w:pPr>
        <w:rPr>
          <w:lang w:val="en-US"/>
        </w:rPr>
      </w:pPr>
    </w:p>
    <w:p w14:paraId="460BBF3F" w14:textId="4BB4A6AF" w:rsidR="00976ED2" w:rsidRDefault="00976ED2">
      <w:pPr>
        <w:rPr>
          <w:lang w:val="en-US"/>
        </w:rPr>
      </w:pPr>
    </w:p>
    <w:p w14:paraId="6C6B5665" w14:textId="6CDE6430" w:rsidR="00976ED2" w:rsidRDefault="00976ED2">
      <w:pPr>
        <w:rPr>
          <w:lang w:val="en-US"/>
        </w:rPr>
      </w:pPr>
    </w:p>
    <w:p w14:paraId="2AB67D40" w14:textId="35EFC4CF" w:rsidR="00976ED2" w:rsidRDefault="00976ED2">
      <w:pPr>
        <w:rPr>
          <w:lang w:val="en-US"/>
        </w:rPr>
      </w:pPr>
    </w:p>
    <w:p w14:paraId="4A5E1AC1" w14:textId="17354AFD" w:rsidR="00976ED2" w:rsidRDefault="00976ED2">
      <w:pPr>
        <w:rPr>
          <w:lang w:val="en-US"/>
        </w:rPr>
      </w:pPr>
    </w:p>
    <w:p w14:paraId="728A7C76" w14:textId="006746F6" w:rsidR="00976ED2" w:rsidRDefault="00976ED2">
      <w:pPr>
        <w:rPr>
          <w:lang w:val="en-US"/>
        </w:rPr>
      </w:pPr>
    </w:p>
    <w:p w14:paraId="1519EA3E" w14:textId="1E3BF9B6" w:rsidR="007A071C" w:rsidRDefault="007A071C">
      <w:pPr>
        <w:rPr>
          <w:lang w:val="en-US"/>
        </w:rPr>
      </w:pPr>
    </w:p>
    <w:p w14:paraId="7DE76AE6" w14:textId="31FCFD48" w:rsidR="007A071C" w:rsidRDefault="007A071C">
      <w:pPr>
        <w:rPr>
          <w:lang w:val="en-US"/>
        </w:rPr>
      </w:pPr>
    </w:p>
    <w:p w14:paraId="518D7338" w14:textId="3A8A10CC" w:rsidR="007A071C" w:rsidRDefault="007A071C">
      <w:pPr>
        <w:rPr>
          <w:lang w:val="en-US"/>
        </w:rPr>
      </w:pPr>
    </w:p>
    <w:p w14:paraId="5DB339B3" w14:textId="3FB96ED4" w:rsidR="007A071C" w:rsidRDefault="007A071C">
      <w:pPr>
        <w:rPr>
          <w:lang w:val="en-US"/>
        </w:rPr>
      </w:pPr>
    </w:p>
    <w:p w14:paraId="47DD9CF2" w14:textId="1BDAD944" w:rsidR="007A071C" w:rsidRDefault="007A071C">
      <w:pPr>
        <w:rPr>
          <w:lang w:val="en-US"/>
        </w:rPr>
      </w:pPr>
    </w:p>
    <w:p w14:paraId="35CDC804" w14:textId="327F11C7" w:rsidR="007A071C" w:rsidRDefault="007A071C">
      <w:pPr>
        <w:rPr>
          <w:lang w:val="en-US"/>
        </w:rPr>
      </w:pPr>
    </w:p>
    <w:p w14:paraId="4FD9CE57" w14:textId="71CDD1A5" w:rsidR="007A071C" w:rsidRDefault="007A071C">
      <w:pPr>
        <w:rPr>
          <w:lang w:val="en-US"/>
        </w:rPr>
      </w:pPr>
    </w:p>
    <w:p w14:paraId="7FF0924F" w14:textId="4B29EC24" w:rsidR="007A071C" w:rsidRDefault="007A071C">
      <w:pPr>
        <w:rPr>
          <w:lang w:val="en-US"/>
        </w:rPr>
      </w:pPr>
    </w:p>
    <w:p w14:paraId="2254FC45" w14:textId="315E98B7" w:rsidR="007A071C" w:rsidRDefault="007A071C">
      <w:pPr>
        <w:rPr>
          <w:lang w:val="en-US"/>
        </w:rPr>
      </w:pPr>
    </w:p>
    <w:p w14:paraId="1515806C" w14:textId="74EC5DD6" w:rsidR="007A071C" w:rsidRDefault="007A071C">
      <w:pPr>
        <w:rPr>
          <w:lang w:val="en-US"/>
        </w:rPr>
      </w:pPr>
    </w:p>
    <w:p w14:paraId="2AD8DA32" w14:textId="5C3788F4" w:rsidR="007A071C" w:rsidRDefault="007A071C">
      <w:pPr>
        <w:rPr>
          <w:lang w:val="en-US"/>
        </w:rPr>
      </w:pPr>
    </w:p>
    <w:p w14:paraId="598DDBD8" w14:textId="3237DA31" w:rsidR="007A071C" w:rsidRDefault="007A071C">
      <w:pPr>
        <w:rPr>
          <w:lang w:val="en-US"/>
        </w:rPr>
      </w:pPr>
    </w:p>
    <w:p w14:paraId="23BA52C8" w14:textId="3E069959" w:rsidR="007A071C" w:rsidRDefault="007A071C">
      <w:pPr>
        <w:rPr>
          <w:lang w:val="en-US"/>
        </w:rPr>
      </w:pPr>
    </w:p>
    <w:p w14:paraId="1E35CB3E" w14:textId="10C2D02F" w:rsidR="007A071C" w:rsidRDefault="007A071C">
      <w:pPr>
        <w:rPr>
          <w:lang w:val="en-US"/>
        </w:rPr>
      </w:pPr>
    </w:p>
    <w:p w14:paraId="1CB95991" w14:textId="0DADD5E3" w:rsidR="007A071C" w:rsidRDefault="007A071C">
      <w:pPr>
        <w:rPr>
          <w:lang w:val="en-US"/>
        </w:rPr>
      </w:pPr>
    </w:p>
    <w:p w14:paraId="60F32082" w14:textId="6A32FA29" w:rsidR="007A071C" w:rsidRDefault="007A071C">
      <w:pPr>
        <w:rPr>
          <w:lang w:val="en-US"/>
        </w:rPr>
      </w:pPr>
    </w:p>
    <w:p w14:paraId="38391762" w14:textId="0AC8818E" w:rsidR="007A071C" w:rsidRDefault="007A071C">
      <w:pPr>
        <w:rPr>
          <w:lang w:val="en-US"/>
        </w:rPr>
      </w:pPr>
    </w:p>
    <w:p w14:paraId="491EE600" w14:textId="77777777" w:rsidR="007A071C" w:rsidRDefault="007A071C">
      <w:pPr>
        <w:rPr>
          <w:lang w:val="en-US"/>
        </w:rPr>
      </w:pPr>
    </w:p>
    <w:p w14:paraId="1CDDAC1B" w14:textId="49786BA3" w:rsidR="000449A4" w:rsidRPr="004B494C" w:rsidRDefault="000449A4" w:rsidP="000449A4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Supplemental Figure </w:t>
      </w:r>
      <w:r w:rsidR="001B2F5E">
        <w:rPr>
          <w:rFonts w:ascii="Times New Roman" w:hAnsi="Times New Roman" w:cs="Times New Roman"/>
          <w:b/>
          <w:bCs/>
          <w:sz w:val="20"/>
          <w:szCs w:val="20"/>
          <w:lang w:val="en-US"/>
        </w:rPr>
        <w:t>5:</w:t>
      </w:r>
    </w:p>
    <w:p w14:paraId="7F2051FC" w14:textId="4A0E20E5" w:rsidR="000449A4" w:rsidRPr="004B494C" w:rsidRDefault="000449A4" w:rsidP="000449A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Kaplan Meier curves on all-cause mortality (ACM). Patients are divided into </w:t>
      </w:r>
      <w:r>
        <w:rPr>
          <w:rFonts w:ascii="Times New Roman" w:hAnsi="Times New Roman" w:cs="Times New Roman"/>
          <w:sz w:val="20"/>
          <w:szCs w:val="20"/>
          <w:lang w:val="en-US"/>
        </w:rPr>
        <w:t>four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groups according to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a palliative and non-palliative treatment and 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their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hs-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>TnT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level </w:t>
      </w:r>
      <w:r>
        <w:rPr>
          <w:rFonts w:ascii="Times New Roman" w:hAnsi="Times New Roman" w:cs="Times New Roman"/>
          <w:sz w:val="20"/>
          <w:szCs w:val="20"/>
          <w:lang w:val="en-US"/>
        </w:rPr>
        <w:t>(&lt;/≥ 7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ng/l)</w:t>
      </w:r>
      <w:r w:rsidR="004A7B7F">
        <w:rPr>
          <w:rFonts w:ascii="Times New Roman" w:hAnsi="Times New Roman" w:cs="Times New Roman"/>
          <w:sz w:val="20"/>
          <w:szCs w:val="20"/>
          <w:lang w:val="en-US"/>
        </w:rPr>
        <w:t>, respectively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836423">
        <w:rPr>
          <w:rFonts w:ascii="Times New Roman" w:hAnsi="Times New Roman" w:cs="Times New Roman"/>
          <w:sz w:val="20"/>
          <w:szCs w:val="20"/>
          <w:lang w:val="en-US"/>
        </w:rPr>
        <w:t xml:space="preserve"> Patient numbers per group as indicated.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Logrank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>-Test p-value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for the comparison of ACM in non-palliative and palliative patients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as indicated. </w:t>
      </w:r>
    </w:p>
    <w:p w14:paraId="2E4CBE06" w14:textId="5122B682" w:rsidR="00976ED2" w:rsidRDefault="00976ED2">
      <w:pPr>
        <w:rPr>
          <w:lang w:val="en-US"/>
        </w:rPr>
      </w:pPr>
    </w:p>
    <w:p w14:paraId="3BC07A42" w14:textId="621F186E" w:rsidR="00976ED2" w:rsidRDefault="00976ED2">
      <w:pPr>
        <w:rPr>
          <w:lang w:val="en-US"/>
        </w:rPr>
      </w:pPr>
    </w:p>
    <w:p w14:paraId="5DF927B9" w14:textId="3A75D666" w:rsidR="00976ED2" w:rsidRDefault="00976ED2">
      <w:pPr>
        <w:rPr>
          <w:lang w:val="en-US"/>
        </w:rPr>
      </w:pPr>
    </w:p>
    <w:p w14:paraId="55AEDA00" w14:textId="2FEE0EC3" w:rsidR="00976ED2" w:rsidRDefault="00976ED2">
      <w:pPr>
        <w:rPr>
          <w:lang w:val="en-US"/>
        </w:rPr>
      </w:pPr>
    </w:p>
    <w:p w14:paraId="5AB923BB" w14:textId="0B9CB56C" w:rsidR="00976ED2" w:rsidRDefault="00976ED2">
      <w:pPr>
        <w:rPr>
          <w:lang w:val="en-US"/>
        </w:rPr>
      </w:pPr>
    </w:p>
    <w:p w14:paraId="15E8A6B6" w14:textId="1950499E" w:rsidR="00976ED2" w:rsidRDefault="00976ED2">
      <w:pPr>
        <w:rPr>
          <w:lang w:val="en-US"/>
        </w:rPr>
      </w:pPr>
    </w:p>
    <w:p w14:paraId="38250066" w14:textId="7E8D2643" w:rsidR="00976ED2" w:rsidRDefault="00976ED2">
      <w:pPr>
        <w:rPr>
          <w:lang w:val="en-US"/>
        </w:rPr>
      </w:pPr>
    </w:p>
    <w:p w14:paraId="0801D70C" w14:textId="49A3A0D4" w:rsidR="00976ED2" w:rsidRDefault="00976ED2">
      <w:pPr>
        <w:rPr>
          <w:lang w:val="en-US"/>
        </w:rPr>
      </w:pPr>
    </w:p>
    <w:p w14:paraId="255DCB12" w14:textId="1A443427" w:rsidR="00976ED2" w:rsidRDefault="00976ED2">
      <w:pPr>
        <w:rPr>
          <w:lang w:val="en-US"/>
        </w:rPr>
      </w:pPr>
    </w:p>
    <w:p w14:paraId="45918200" w14:textId="7A351EED" w:rsidR="00976ED2" w:rsidRDefault="00976ED2">
      <w:pPr>
        <w:rPr>
          <w:lang w:val="en-US"/>
        </w:rPr>
      </w:pPr>
    </w:p>
    <w:p w14:paraId="62F05DA3" w14:textId="3A4513A7" w:rsidR="00976ED2" w:rsidRDefault="00976ED2">
      <w:pPr>
        <w:rPr>
          <w:lang w:val="en-US"/>
        </w:rPr>
      </w:pPr>
    </w:p>
    <w:p w14:paraId="070FB48E" w14:textId="008E589F" w:rsidR="00976ED2" w:rsidRDefault="00976ED2">
      <w:pPr>
        <w:rPr>
          <w:lang w:val="en-US"/>
        </w:rPr>
      </w:pPr>
    </w:p>
    <w:p w14:paraId="6FEA859B" w14:textId="13146DD8" w:rsidR="00976ED2" w:rsidRDefault="00976ED2">
      <w:pPr>
        <w:rPr>
          <w:lang w:val="en-US"/>
        </w:rPr>
      </w:pPr>
    </w:p>
    <w:p w14:paraId="11C6B117" w14:textId="0E848CFC" w:rsidR="00976ED2" w:rsidRDefault="00976ED2">
      <w:pPr>
        <w:rPr>
          <w:lang w:val="en-US"/>
        </w:rPr>
      </w:pPr>
    </w:p>
    <w:p w14:paraId="0E2159EB" w14:textId="308352F4" w:rsidR="00976ED2" w:rsidRDefault="00976ED2">
      <w:pPr>
        <w:rPr>
          <w:lang w:val="en-US"/>
        </w:rPr>
      </w:pPr>
    </w:p>
    <w:p w14:paraId="39123887" w14:textId="387AF2E2" w:rsidR="00976ED2" w:rsidRDefault="00E45E31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4D73845" wp14:editId="62523F13">
            <wp:simplePos x="0" y="0"/>
            <wp:positionH relativeFrom="column">
              <wp:posOffset>827405</wp:posOffset>
            </wp:positionH>
            <wp:positionV relativeFrom="paragraph">
              <wp:posOffset>4445</wp:posOffset>
            </wp:positionV>
            <wp:extent cx="3718560" cy="4189095"/>
            <wp:effectExtent l="0" t="0" r="2540" b="0"/>
            <wp:wrapTight wrapText="bothSides">
              <wp:wrapPolygon edited="0">
                <wp:start x="0" y="0"/>
                <wp:lineTo x="0" y="10936"/>
                <wp:lineTo x="590" y="11525"/>
                <wp:lineTo x="443" y="13097"/>
                <wp:lineTo x="3836" y="13621"/>
                <wp:lineTo x="2582" y="14079"/>
                <wp:lineTo x="2139" y="14407"/>
                <wp:lineTo x="2139" y="14734"/>
                <wp:lineTo x="3762" y="15716"/>
                <wp:lineTo x="3836" y="17812"/>
                <wp:lineTo x="3541" y="18139"/>
                <wp:lineTo x="2951" y="18859"/>
                <wp:lineTo x="2951" y="19056"/>
                <wp:lineTo x="4205" y="19907"/>
                <wp:lineTo x="10107" y="20955"/>
                <wp:lineTo x="10328" y="21086"/>
                <wp:lineTo x="12467" y="21348"/>
                <wp:lineTo x="15787" y="21348"/>
                <wp:lineTo x="15787" y="21020"/>
                <wp:lineTo x="21541" y="19973"/>
                <wp:lineTo x="21541" y="18990"/>
                <wp:lineTo x="20803" y="18925"/>
                <wp:lineTo x="4279" y="18859"/>
                <wp:lineTo x="4279" y="16764"/>
                <wp:lineTo x="9443" y="16764"/>
                <wp:lineTo x="19033" y="16109"/>
                <wp:lineTo x="19107" y="15520"/>
                <wp:lineTo x="16820" y="14668"/>
                <wp:lineTo x="17115" y="13883"/>
                <wp:lineTo x="17189" y="13555"/>
                <wp:lineTo x="4279" y="12573"/>
                <wp:lineTo x="4279" y="11525"/>
                <wp:lineTo x="21541" y="10936"/>
                <wp:lineTo x="2154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DE68B" w14:textId="640244F3" w:rsidR="00976ED2" w:rsidRDefault="00976ED2">
      <w:pPr>
        <w:rPr>
          <w:lang w:val="en-US"/>
        </w:rPr>
      </w:pPr>
    </w:p>
    <w:p w14:paraId="461C120B" w14:textId="1709AE0C" w:rsidR="00976ED2" w:rsidRDefault="00976ED2">
      <w:pPr>
        <w:rPr>
          <w:lang w:val="en-US"/>
        </w:rPr>
      </w:pPr>
    </w:p>
    <w:p w14:paraId="4785A099" w14:textId="6C6EEA57" w:rsidR="00976ED2" w:rsidRDefault="00976ED2">
      <w:pPr>
        <w:rPr>
          <w:lang w:val="en-US"/>
        </w:rPr>
      </w:pPr>
    </w:p>
    <w:p w14:paraId="762106DC" w14:textId="6C111E7B" w:rsidR="00976ED2" w:rsidRDefault="00976ED2">
      <w:pPr>
        <w:rPr>
          <w:lang w:val="en-US"/>
        </w:rPr>
      </w:pPr>
    </w:p>
    <w:p w14:paraId="67CB3890" w14:textId="7A45CB18" w:rsidR="00976ED2" w:rsidRDefault="00976ED2">
      <w:pPr>
        <w:rPr>
          <w:lang w:val="en-US"/>
        </w:rPr>
      </w:pPr>
    </w:p>
    <w:p w14:paraId="628D4F4D" w14:textId="344DCF8E" w:rsidR="00976ED2" w:rsidRDefault="00976ED2">
      <w:pPr>
        <w:rPr>
          <w:lang w:val="en-US"/>
        </w:rPr>
      </w:pPr>
    </w:p>
    <w:p w14:paraId="282049B6" w14:textId="79B89DC3" w:rsidR="001B2F5E" w:rsidRDefault="001B2F5E">
      <w:pPr>
        <w:rPr>
          <w:lang w:val="en-US"/>
        </w:rPr>
      </w:pPr>
    </w:p>
    <w:p w14:paraId="3A892917" w14:textId="3AFA3CE2" w:rsidR="001B2F5E" w:rsidRDefault="001B2F5E">
      <w:pPr>
        <w:rPr>
          <w:lang w:val="en-US"/>
        </w:rPr>
      </w:pPr>
    </w:p>
    <w:p w14:paraId="2CFE88AA" w14:textId="3BD749C4" w:rsidR="001B2F5E" w:rsidRDefault="001B2F5E">
      <w:pPr>
        <w:rPr>
          <w:lang w:val="en-US"/>
        </w:rPr>
      </w:pPr>
    </w:p>
    <w:p w14:paraId="5A362135" w14:textId="69A4D414" w:rsidR="001B2F5E" w:rsidRDefault="001B2F5E">
      <w:pPr>
        <w:rPr>
          <w:lang w:val="en-US"/>
        </w:rPr>
      </w:pPr>
    </w:p>
    <w:p w14:paraId="7368FDB2" w14:textId="1DD98E3A" w:rsidR="001B2F5E" w:rsidRDefault="001B2F5E">
      <w:pPr>
        <w:rPr>
          <w:lang w:val="en-US"/>
        </w:rPr>
      </w:pPr>
    </w:p>
    <w:p w14:paraId="3E320496" w14:textId="1FE6CD34" w:rsidR="001B2F5E" w:rsidRDefault="001B2F5E">
      <w:pPr>
        <w:rPr>
          <w:lang w:val="en-US"/>
        </w:rPr>
      </w:pPr>
    </w:p>
    <w:p w14:paraId="745B0E24" w14:textId="643A7B81" w:rsidR="001B2F5E" w:rsidRDefault="001B2F5E">
      <w:pPr>
        <w:rPr>
          <w:lang w:val="en-US"/>
        </w:rPr>
      </w:pPr>
    </w:p>
    <w:p w14:paraId="32A0EA97" w14:textId="62547DD1" w:rsidR="001B2F5E" w:rsidRDefault="001B2F5E">
      <w:pPr>
        <w:rPr>
          <w:lang w:val="en-US"/>
        </w:rPr>
      </w:pPr>
    </w:p>
    <w:p w14:paraId="5E6BA865" w14:textId="632812FD" w:rsidR="001B2F5E" w:rsidRDefault="001B2F5E">
      <w:pPr>
        <w:rPr>
          <w:lang w:val="en-US"/>
        </w:rPr>
      </w:pPr>
    </w:p>
    <w:p w14:paraId="136D6E1F" w14:textId="2D11F236" w:rsidR="001B2F5E" w:rsidRDefault="001B2F5E">
      <w:pPr>
        <w:rPr>
          <w:lang w:val="en-US"/>
        </w:rPr>
      </w:pPr>
    </w:p>
    <w:p w14:paraId="22200964" w14:textId="3FB5B203" w:rsidR="001B2F5E" w:rsidRDefault="001B2F5E">
      <w:pPr>
        <w:rPr>
          <w:lang w:val="en-US"/>
        </w:rPr>
      </w:pPr>
    </w:p>
    <w:p w14:paraId="3E4477DB" w14:textId="63B6D756" w:rsidR="001B2F5E" w:rsidRDefault="001B2F5E">
      <w:pPr>
        <w:rPr>
          <w:lang w:val="en-US"/>
        </w:rPr>
      </w:pPr>
    </w:p>
    <w:p w14:paraId="786FE2B8" w14:textId="77599CEF" w:rsidR="001B2F5E" w:rsidRDefault="001B2F5E">
      <w:pPr>
        <w:rPr>
          <w:lang w:val="en-US"/>
        </w:rPr>
      </w:pPr>
    </w:p>
    <w:p w14:paraId="43E672D6" w14:textId="7AD058E0" w:rsidR="001B2F5E" w:rsidRDefault="001B2F5E">
      <w:pPr>
        <w:rPr>
          <w:lang w:val="en-US"/>
        </w:rPr>
      </w:pPr>
    </w:p>
    <w:p w14:paraId="25EE811D" w14:textId="49DBF333" w:rsidR="001B2F5E" w:rsidRDefault="001B2F5E">
      <w:pPr>
        <w:rPr>
          <w:lang w:val="en-US"/>
        </w:rPr>
      </w:pPr>
    </w:p>
    <w:p w14:paraId="566E6C0F" w14:textId="65344E8B" w:rsidR="001B2F5E" w:rsidRDefault="001B2F5E">
      <w:pPr>
        <w:rPr>
          <w:lang w:val="en-US"/>
        </w:rPr>
      </w:pPr>
    </w:p>
    <w:p w14:paraId="1B7C7258" w14:textId="77777777" w:rsidR="001B2F5E" w:rsidRDefault="001B2F5E">
      <w:pPr>
        <w:rPr>
          <w:lang w:val="en-US"/>
        </w:rPr>
      </w:pPr>
    </w:p>
    <w:p w14:paraId="683D8C0C" w14:textId="4AC459DA" w:rsidR="001B2F5E" w:rsidRPr="004B494C" w:rsidRDefault="001B2F5E" w:rsidP="001B2F5E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6:</w:t>
      </w:r>
    </w:p>
    <w:p w14:paraId="1C328BDE" w14:textId="75CE5DB2" w:rsidR="001B2F5E" w:rsidRPr="004B494C" w:rsidRDefault="001B2F5E" w:rsidP="001B2F5E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Kaplan Meier curves on all-cause mortality (ACM). Patients are divided into </w:t>
      </w:r>
      <w:r>
        <w:rPr>
          <w:rFonts w:ascii="Times New Roman" w:hAnsi="Times New Roman" w:cs="Times New Roman"/>
          <w:sz w:val="20"/>
          <w:szCs w:val="20"/>
          <w:lang w:val="en-US"/>
        </w:rPr>
        <w:t>two</w:t>
      </w:r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 groups according to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the change of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hs-cTnT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between the first and the second measurement (n=</w:t>
      </w:r>
      <w:r w:rsidR="001F289D">
        <w:rPr>
          <w:rFonts w:ascii="Times New Roman" w:hAnsi="Times New Roman" w:cs="Times New Roman"/>
          <w:sz w:val="20"/>
          <w:szCs w:val="20"/>
          <w:lang w:val="en-US"/>
        </w:rPr>
        <w:t>213</w:t>
      </w:r>
      <w:r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E8014A">
        <w:rPr>
          <w:rFonts w:ascii="Times New Roman" w:hAnsi="Times New Roman" w:cs="Times New Roman"/>
          <w:sz w:val="20"/>
          <w:szCs w:val="20"/>
          <w:lang w:val="en-US"/>
        </w:rPr>
        <w:t xml:space="preserve"> Patients whose </w:t>
      </w:r>
      <w:proofErr w:type="spellStart"/>
      <w:r w:rsidR="00E8014A">
        <w:rPr>
          <w:rFonts w:ascii="Times New Roman" w:hAnsi="Times New Roman" w:cs="Times New Roman"/>
          <w:sz w:val="20"/>
          <w:szCs w:val="20"/>
          <w:lang w:val="en-US"/>
        </w:rPr>
        <w:t>hs-cTnT</w:t>
      </w:r>
      <w:proofErr w:type="spellEnd"/>
      <w:r w:rsidR="00E8014A">
        <w:rPr>
          <w:rFonts w:ascii="Times New Roman" w:hAnsi="Times New Roman" w:cs="Times New Roman"/>
          <w:sz w:val="20"/>
          <w:szCs w:val="20"/>
          <w:lang w:val="en-US"/>
        </w:rPr>
        <w:t xml:space="preserve"> was below 14ng/l at the first visit and above 14ng/l at the second visit are shown in turquoise. Patients with </w:t>
      </w:r>
      <w:r w:rsidR="00C75F5C">
        <w:rPr>
          <w:rFonts w:ascii="Times New Roman" w:hAnsi="Times New Roman" w:cs="Times New Roman"/>
          <w:sz w:val="20"/>
          <w:szCs w:val="20"/>
          <w:lang w:val="en-US"/>
        </w:rPr>
        <w:t>no</w:t>
      </w:r>
      <w:r w:rsidR="00E8014A">
        <w:rPr>
          <w:rFonts w:ascii="Times New Roman" w:hAnsi="Times New Roman" w:cs="Times New Roman"/>
          <w:sz w:val="20"/>
          <w:szCs w:val="20"/>
          <w:lang w:val="en-US"/>
        </w:rPr>
        <w:t xml:space="preserve"> increase from below to above 14 ng/l are shown in red.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B494C">
        <w:rPr>
          <w:rFonts w:ascii="Times New Roman" w:hAnsi="Times New Roman" w:cs="Times New Roman"/>
          <w:sz w:val="20"/>
          <w:szCs w:val="20"/>
          <w:lang w:val="en-US"/>
        </w:rPr>
        <w:t>Logrank</w:t>
      </w:r>
      <w:proofErr w:type="spellEnd"/>
      <w:r w:rsidRPr="004B494C">
        <w:rPr>
          <w:rFonts w:ascii="Times New Roman" w:hAnsi="Times New Roman" w:cs="Times New Roman"/>
          <w:sz w:val="20"/>
          <w:szCs w:val="20"/>
          <w:lang w:val="en-US"/>
        </w:rPr>
        <w:t xml:space="preserve">-Test p-value as indicated. </w:t>
      </w:r>
    </w:p>
    <w:p w14:paraId="3C2A3FBF" w14:textId="3BDC4BE4" w:rsidR="00976ED2" w:rsidRDefault="00976ED2">
      <w:pPr>
        <w:rPr>
          <w:lang w:val="en-US"/>
        </w:rPr>
      </w:pPr>
    </w:p>
    <w:p w14:paraId="0D584AF0" w14:textId="5A2C7F84" w:rsidR="00976ED2" w:rsidRDefault="00976ED2">
      <w:pPr>
        <w:rPr>
          <w:lang w:val="en-US"/>
        </w:rPr>
      </w:pPr>
    </w:p>
    <w:p w14:paraId="7824C9CF" w14:textId="365F08C1" w:rsidR="001B2F5E" w:rsidRDefault="001B2F5E">
      <w:pPr>
        <w:rPr>
          <w:lang w:val="en-US"/>
        </w:rPr>
      </w:pPr>
    </w:p>
    <w:p w14:paraId="76DFA602" w14:textId="7CF08905" w:rsidR="001B2F5E" w:rsidRDefault="001B2F5E">
      <w:pPr>
        <w:rPr>
          <w:lang w:val="en-US"/>
        </w:rPr>
      </w:pPr>
    </w:p>
    <w:p w14:paraId="32C56D0B" w14:textId="5AF50BF2" w:rsidR="001B2F5E" w:rsidRDefault="001B2F5E">
      <w:pPr>
        <w:rPr>
          <w:lang w:val="en-US"/>
        </w:rPr>
      </w:pPr>
    </w:p>
    <w:p w14:paraId="05D831A9" w14:textId="51F5E5B4" w:rsidR="001B2F5E" w:rsidRDefault="001B2F5E">
      <w:pPr>
        <w:rPr>
          <w:lang w:val="en-US"/>
        </w:rPr>
      </w:pPr>
    </w:p>
    <w:p w14:paraId="617A04E7" w14:textId="211AFBF2" w:rsidR="001B2F5E" w:rsidRDefault="001B2F5E">
      <w:pPr>
        <w:rPr>
          <w:lang w:val="en-US"/>
        </w:rPr>
      </w:pPr>
    </w:p>
    <w:p w14:paraId="23402737" w14:textId="6F2D3A93" w:rsidR="001B2F5E" w:rsidRDefault="001B2F5E">
      <w:pPr>
        <w:rPr>
          <w:lang w:val="en-US"/>
        </w:rPr>
      </w:pPr>
    </w:p>
    <w:p w14:paraId="352D1230" w14:textId="1D1F8DC9" w:rsidR="001B2F5E" w:rsidRDefault="001B2F5E">
      <w:pPr>
        <w:rPr>
          <w:lang w:val="en-US"/>
        </w:rPr>
      </w:pPr>
    </w:p>
    <w:p w14:paraId="5E8F2365" w14:textId="77777777" w:rsidR="001B2F5E" w:rsidRDefault="001B2F5E">
      <w:pPr>
        <w:rPr>
          <w:lang w:val="en-US"/>
        </w:rPr>
      </w:pPr>
    </w:p>
    <w:p w14:paraId="165A0C88" w14:textId="179F899C" w:rsidR="00976ED2" w:rsidRDefault="00976ED2">
      <w:pPr>
        <w:rPr>
          <w:lang w:val="en-US"/>
        </w:rPr>
      </w:pPr>
    </w:p>
    <w:p w14:paraId="5E6EF518" w14:textId="103B47E7" w:rsidR="00976ED2" w:rsidRDefault="00976ED2">
      <w:pPr>
        <w:rPr>
          <w:lang w:val="en-US"/>
        </w:rPr>
      </w:pPr>
    </w:p>
    <w:p w14:paraId="4D4229A8" w14:textId="7E44E978" w:rsidR="001B2F5E" w:rsidRDefault="001B2F5E">
      <w:pPr>
        <w:rPr>
          <w:lang w:val="en-US"/>
        </w:rPr>
      </w:pPr>
    </w:p>
    <w:p w14:paraId="34BD9FD3" w14:textId="60E26B7C" w:rsidR="001B2F5E" w:rsidRDefault="001B2F5E">
      <w:pPr>
        <w:rPr>
          <w:lang w:val="en-US"/>
        </w:rPr>
      </w:pPr>
    </w:p>
    <w:p w14:paraId="69424D49" w14:textId="2F9BD02C" w:rsidR="001F289D" w:rsidRDefault="001F289D">
      <w:pPr>
        <w:rPr>
          <w:lang w:val="en-US"/>
        </w:rPr>
      </w:pPr>
    </w:p>
    <w:p w14:paraId="1914C836" w14:textId="77777777" w:rsidR="001B2F5E" w:rsidRDefault="001B2F5E">
      <w:pPr>
        <w:rPr>
          <w:lang w:val="en-US"/>
        </w:rPr>
      </w:pPr>
    </w:p>
    <w:sectPr w:rsidR="001B2F5E" w:rsidSect="00CB182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7B4131" w14:textId="77777777" w:rsidR="00FA2B9E" w:rsidRDefault="00FA2B9E" w:rsidP="00BB29A4">
      <w:r>
        <w:separator/>
      </w:r>
    </w:p>
  </w:endnote>
  <w:endnote w:type="continuationSeparator" w:id="0">
    <w:p w14:paraId="0E1E6F49" w14:textId="77777777" w:rsidR="00FA2B9E" w:rsidRDefault="00FA2B9E" w:rsidP="00BB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C3CBD" w14:textId="77777777" w:rsidR="00FA2B9E" w:rsidRDefault="00FA2B9E" w:rsidP="00BB29A4">
      <w:r>
        <w:separator/>
      </w:r>
    </w:p>
  </w:footnote>
  <w:footnote w:type="continuationSeparator" w:id="0">
    <w:p w14:paraId="1F2F7873" w14:textId="77777777" w:rsidR="00FA2B9E" w:rsidRDefault="00FA2B9E" w:rsidP="00BB2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3B45E8"/>
    <w:multiLevelType w:val="hybridMultilevel"/>
    <w:tmpl w:val="2D403E3A"/>
    <w:lvl w:ilvl="0" w:tplc="C180E1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F5BBF"/>
    <w:multiLevelType w:val="hybridMultilevel"/>
    <w:tmpl w:val="BEC6438C"/>
    <w:lvl w:ilvl="0" w:tplc="BEA8CF5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E77"/>
    <w:rsid w:val="000005C3"/>
    <w:rsid w:val="00005756"/>
    <w:rsid w:val="000449A4"/>
    <w:rsid w:val="00080528"/>
    <w:rsid w:val="000810F5"/>
    <w:rsid w:val="000C27D3"/>
    <w:rsid w:val="0011316C"/>
    <w:rsid w:val="001403AE"/>
    <w:rsid w:val="001763EB"/>
    <w:rsid w:val="00182008"/>
    <w:rsid w:val="00185790"/>
    <w:rsid w:val="00196C42"/>
    <w:rsid w:val="001A1B27"/>
    <w:rsid w:val="001A5DB5"/>
    <w:rsid w:val="001B2F5E"/>
    <w:rsid w:val="001D5448"/>
    <w:rsid w:val="001F289D"/>
    <w:rsid w:val="001F4FDF"/>
    <w:rsid w:val="001F7F8F"/>
    <w:rsid w:val="00256E77"/>
    <w:rsid w:val="00274D6F"/>
    <w:rsid w:val="002967A1"/>
    <w:rsid w:val="002A742B"/>
    <w:rsid w:val="002F75B1"/>
    <w:rsid w:val="003024A8"/>
    <w:rsid w:val="00302610"/>
    <w:rsid w:val="00315E7C"/>
    <w:rsid w:val="00316518"/>
    <w:rsid w:val="00337A99"/>
    <w:rsid w:val="00364762"/>
    <w:rsid w:val="003A40E4"/>
    <w:rsid w:val="003C24F2"/>
    <w:rsid w:val="00411B17"/>
    <w:rsid w:val="0043753B"/>
    <w:rsid w:val="004A75DC"/>
    <w:rsid w:val="004A7B7F"/>
    <w:rsid w:val="004B494C"/>
    <w:rsid w:val="004D4032"/>
    <w:rsid w:val="004E24A6"/>
    <w:rsid w:val="00506188"/>
    <w:rsid w:val="005110AA"/>
    <w:rsid w:val="005120DB"/>
    <w:rsid w:val="00567F4B"/>
    <w:rsid w:val="00581FE1"/>
    <w:rsid w:val="00592DB4"/>
    <w:rsid w:val="005D0A61"/>
    <w:rsid w:val="00603A35"/>
    <w:rsid w:val="00606827"/>
    <w:rsid w:val="00653A99"/>
    <w:rsid w:val="00680AD0"/>
    <w:rsid w:val="00696550"/>
    <w:rsid w:val="006976E3"/>
    <w:rsid w:val="006C57C5"/>
    <w:rsid w:val="006D6CEA"/>
    <w:rsid w:val="006E3556"/>
    <w:rsid w:val="006F6F6F"/>
    <w:rsid w:val="00704CDB"/>
    <w:rsid w:val="00723425"/>
    <w:rsid w:val="0075579F"/>
    <w:rsid w:val="00761691"/>
    <w:rsid w:val="00770012"/>
    <w:rsid w:val="007A071C"/>
    <w:rsid w:val="007C0FC1"/>
    <w:rsid w:val="008060DE"/>
    <w:rsid w:val="0081300B"/>
    <w:rsid w:val="008142F1"/>
    <w:rsid w:val="008156CC"/>
    <w:rsid w:val="00817359"/>
    <w:rsid w:val="00832B20"/>
    <w:rsid w:val="00836423"/>
    <w:rsid w:val="00836BF3"/>
    <w:rsid w:val="008465CB"/>
    <w:rsid w:val="008944CD"/>
    <w:rsid w:val="0089575A"/>
    <w:rsid w:val="0089715D"/>
    <w:rsid w:val="008C4ADE"/>
    <w:rsid w:val="00900E70"/>
    <w:rsid w:val="009224D8"/>
    <w:rsid w:val="00976ED2"/>
    <w:rsid w:val="009B4071"/>
    <w:rsid w:val="009B7D12"/>
    <w:rsid w:val="009C6FD6"/>
    <w:rsid w:val="00A14661"/>
    <w:rsid w:val="00A36FC9"/>
    <w:rsid w:val="00A442CB"/>
    <w:rsid w:val="00A54D31"/>
    <w:rsid w:val="00A7257A"/>
    <w:rsid w:val="00AD7BAC"/>
    <w:rsid w:val="00AE279D"/>
    <w:rsid w:val="00B1365F"/>
    <w:rsid w:val="00B31D6E"/>
    <w:rsid w:val="00B8011D"/>
    <w:rsid w:val="00BA2FB3"/>
    <w:rsid w:val="00BB29A4"/>
    <w:rsid w:val="00BC0B27"/>
    <w:rsid w:val="00C20A18"/>
    <w:rsid w:val="00C400F6"/>
    <w:rsid w:val="00C75F5C"/>
    <w:rsid w:val="00C82AEE"/>
    <w:rsid w:val="00CA7829"/>
    <w:rsid w:val="00CB182C"/>
    <w:rsid w:val="00CC1121"/>
    <w:rsid w:val="00CE16E8"/>
    <w:rsid w:val="00CE5348"/>
    <w:rsid w:val="00CF5EE3"/>
    <w:rsid w:val="00D003AB"/>
    <w:rsid w:val="00D00B85"/>
    <w:rsid w:val="00D36E6D"/>
    <w:rsid w:val="00D6176A"/>
    <w:rsid w:val="00D74F17"/>
    <w:rsid w:val="00D76EF1"/>
    <w:rsid w:val="00D77666"/>
    <w:rsid w:val="00D77CB7"/>
    <w:rsid w:val="00DE641E"/>
    <w:rsid w:val="00DF117E"/>
    <w:rsid w:val="00E01AF9"/>
    <w:rsid w:val="00E308CF"/>
    <w:rsid w:val="00E36335"/>
    <w:rsid w:val="00E45E31"/>
    <w:rsid w:val="00E61324"/>
    <w:rsid w:val="00E77CD2"/>
    <w:rsid w:val="00E8014A"/>
    <w:rsid w:val="00E84998"/>
    <w:rsid w:val="00E84FAB"/>
    <w:rsid w:val="00E86C55"/>
    <w:rsid w:val="00E97034"/>
    <w:rsid w:val="00ED4EB6"/>
    <w:rsid w:val="00F02FF9"/>
    <w:rsid w:val="00F056F2"/>
    <w:rsid w:val="00FA2440"/>
    <w:rsid w:val="00FA2B9E"/>
    <w:rsid w:val="00FC69FD"/>
    <w:rsid w:val="00FE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EC0E"/>
  <w15:chartTrackingRefBased/>
  <w15:docId w15:val="{E5420F77-6287-1649-9B04-40021691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944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944CD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C57C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725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25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257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25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257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57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57A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B29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29A4"/>
  </w:style>
  <w:style w:type="paragraph" w:styleId="Fuzeile">
    <w:name w:val="footer"/>
    <w:basedOn w:val="Standard"/>
    <w:link w:val="FuzeileZchn"/>
    <w:uiPriority w:val="99"/>
    <w:unhideWhenUsed/>
    <w:rsid w:val="00BB29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29A4"/>
  </w:style>
  <w:style w:type="table" w:styleId="Gitternetztabelle2">
    <w:name w:val="Grid Table 2"/>
    <w:basedOn w:val="NormaleTabelle"/>
    <w:uiPriority w:val="47"/>
    <w:rsid w:val="00BB29A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501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Finke</dc:creator>
  <cp:keywords/>
  <dc:description/>
  <cp:lastModifiedBy>Daniel Finke</cp:lastModifiedBy>
  <cp:revision>31</cp:revision>
  <dcterms:created xsi:type="dcterms:W3CDTF">2020-09-29T12:00:00Z</dcterms:created>
  <dcterms:modified xsi:type="dcterms:W3CDTF">2021-04-26T16:32:00Z</dcterms:modified>
</cp:coreProperties>
</file>