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C9" w:rsidRPr="005007C2" w:rsidRDefault="00274A07">
      <w:pPr>
        <w:rPr>
          <w:b/>
        </w:rPr>
      </w:pPr>
      <w:r w:rsidRPr="005007C2">
        <w:rPr>
          <w:b/>
        </w:rPr>
        <w:t>Supplemental</w:t>
      </w:r>
      <w:r w:rsidR="005007C2" w:rsidRPr="005007C2">
        <w:rPr>
          <w:b/>
        </w:rPr>
        <w:t xml:space="preserve"> Methods</w:t>
      </w:r>
    </w:p>
    <w:p w:rsidR="00274A07" w:rsidRDefault="00274A07"/>
    <w:p w:rsidR="00274A07" w:rsidRPr="00274A07" w:rsidRDefault="00274A07">
      <w:pPr>
        <w:rPr>
          <w:b/>
        </w:rPr>
      </w:pPr>
      <w:r w:rsidRPr="00274A07">
        <w:rPr>
          <w:b/>
        </w:rPr>
        <w:t>Study design</w:t>
      </w:r>
    </w:p>
    <w:p w:rsidR="00274A07" w:rsidRDefault="00274A07" w:rsidP="00274A07">
      <w:pPr>
        <w:spacing w:line="360" w:lineRule="auto"/>
        <w:jc w:val="both"/>
      </w:pPr>
      <w:r>
        <w:t>Nonconsenting donors were mobilized by the same protocol, donated stem cells using the same technology, and were offered participation in the identical regular donor follow-up provided by the German Stem Cell Donor Registry. This trial enrolled participants at German Red Cross Blood Service Baden-Württemberg-Hessen stem cell donor locales in Frankfurt (Center 1) and Ulm (Center 2).</w:t>
      </w:r>
    </w:p>
    <w:p w:rsidR="00274A07" w:rsidRDefault="00274A07" w:rsidP="00E24501">
      <w:pPr>
        <w:spacing w:line="360" w:lineRule="auto"/>
        <w:jc w:val="both"/>
      </w:pPr>
      <w:r>
        <w:t xml:space="preserve">Donors from Center 1 received the first dose </w:t>
      </w:r>
      <w:r w:rsidR="00FF734A">
        <w:t xml:space="preserve">in the morning of </w:t>
      </w:r>
      <w:r>
        <w:t xml:space="preserve">Day -4 and were collected after the ninth injection. At Center 2 donors started with the first dose </w:t>
      </w:r>
      <w:r w:rsidR="00FF734A">
        <w:t xml:space="preserve">in the evening of </w:t>
      </w:r>
      <w:r>
        <w:t>Day -</w:t>
      </w:r>
      <w:r w:rsidR="00294C1D" w:rsidRPr="00930010">
        <w:t>4</w:t>
      </w:r>
      <w:bookmarkStart w:id="0" w:name="_GoBack"/>
      <w:bookmarkEnd w:id="0"/>
      <w:r>
        <w:t xml:space="preserve"> and were consequently </w:t>
      </w:r>
      <w:proofErr w:type="gramStart"/>
      <w:r>
        <w:t>collected</w:t>
      </w:r>
      <w:proofErr w:type="gramEnd"/>
      <w:r>
        <w:t xml:space="preserve"> after eight doses. </w:t>
      </w:r>
      <w:r w:rsidR="00FF734A">
        <w:t xml:space="preserve">Two to four hours after </w:t>
      </w:r>
      <w:r>
        <w:t>the eighth (or ninth) dose, apheresis was initiated (</w:t>
      </w:r>
      <w:r w:rsidR="00FF734A">
        <w:t xml:space="preserve">morning of day </w:t>
      </w:r>
      <w:r>
        <w:t>zero) via peripheral venous access using conventional aph</w:t>
      </w:r>
      <w:r w:rsidR="002740D5">
        <w:t xml:space="preserve">eresis equipment (Spectra </w:t>
      </w:r>
      <w:proofErr w:type="spellStart"/>
      <w:r w:rsidR="002740D5">
        <w:t>Optia</w:t>
      </w:r>
      <w:proofErr w:type="spellEnd"/>
      <w:r w:rsidR="002740D5">
        <w:t xml:space="preserve"> </w:t>
      </w:r>
      <w:proofErr w:type="spellStart"/>
      <w:r>
        <w:t>MNC</w:t>
      </w:r>
      <w:proofErr w:type="spellEnd"/>
      <w:r>
        <w:t xml:space="preserve">; Terumo </w:t>
      </w:r>
      <w:proofErr w:type="spellStart"/>
      <w:r>
        <w:t>BCT</w:t>
      </w:r>
      <w:proofErr w:type="spellEnd"/>
      <w:r>
        <w:t xml:space="preserve">, Lakewood, CO) as reported </w:t>
      </w:r>
      <w:proofErr w:type="spellStart"/>
      <w:r>
        <w:t>previously.</w:t>
      </w:r>
      <w:r w:rsidR="005A7C72">
        <w:fldChar w:fldCharType="begin">
          <w:fldData xml:space="preserve">PEVuZE5vdGU+PENpdGU+PEF1dGhvcj5CZWNrZXI8L0F1dGhvcj48WWVhcj4yMDE2PC9ZZWFyPjxS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</w:fldData>
        </w:fldChar>
      </w:r>
      <w:r w:rsidR="002740D5">
        <w:instrText xml:space="preserve"> ADDIN EN.CITE </w:instrText>
      </w:r>
      <w:r w:rsidR="005A7C72">
        <w:fldChar w:fldCharType="begin">
          <w:fldData xml:space="preserve">PEVuZE5vdGU+PENpdGU+PEF1dGhvcj5CZWNrZXI8L0F1dGhvcj48WWVhcj4yMDE2PC9ZZWFyPjxS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</w:fldData>
        </w:fldChar>
      </w:r>
      <w:r w:rsidR="002740D5">
        <w:instrText xml:space="preserve"> ADDIN EN.CITE.DATA </w:instrText>
      </w:r>
      <w:r w:rsidR="005A7C72">
        <w:fldChar w:fldCharType="end"/>
      </w:r>
      <w:r w:rsidR="005A7C72">
        <w:fldChar w:fldCharType="separate"/>
      </w:r>
      <w:r w:rsidR="002740D5" w:rsidRPr="002740D5">
        <w:rPr>
          <w:noProof/>
          <w:vertAlign w:val="superscript"/>
        </w:rPr>
        <w:t>1</w:t>
      </w:r>
      <w:proofErr w:type="spellEnd"/>
      <w:r w:rsidR="005A7C72">
        <w:fldChar w:fldCharType="end"/>
      </w:r>
      <w:r>
        <w:t xml:space="preserve">  </w:t>
      </w:r>
      <w:r w:rsidR="002740D5">
        <w:t>Based on</w:t>
      </w:r>
      <w:r>
        <w:t xml:space="preserve"> the concentration of circulating </w:t>
      </w:r>
      <w:proofErr w:type="spellStart"/>
      <w:r w:rsidR="002740D5">
        <w:t>CD34</w:t>
      </w:r>
      <w:proofErr w:type="spellEnd"/>
      <w:r w:rsidR="002740D5" w:rsidRPr="002740D5">
        <w:rPr>
          <w:vertAlign w:val="superscript"/>
        </w:rPr>
        <w:t>+</w:t>
      </w:r>
      <w:r w:rsidR="002740D5">
        <w:t xml:space="preserve"> </w:t>
      </w:r>
      <w:r>
        <w:t xml:space="preserve">cells, empirical algorithms were used to predict the </w:t>
      </w:r>
      <w:r w:rsidR="002740D5">
        <w:t xml:space="preserve">necessary </w:t>
      </w:r>
      <w:r>
        <w:t>process volume</w:t>
      </w:r>
      <w:r w:rsidR="002740D5">
        <w:t xml:space="preserve"> </w:t>
      </w:r>
      <w:r>
        <w:t>to col</w:t>
      </w:r>
      <w:r w:rsidR="002740D5">
        <w:t xml:space="preserve">lect the requested dose of </w:t>
      </w:r>
      <w:proofErr w:type="spellStart"/>
      <w:r w:rsidR="002740D5">
        <w:t>CD34</w:t>
      </w:r>
      <w:proofErr w:type="spellEnd"/>
      <w:r w:rsidR="002740D5" w:rsidRPr="002740D5">
        <w:rPr>
          <w:vertAlign w:val="superscript"/>
        </w:rPr>
        <w:t>+</w:t>
      </w:r>
      <w:r>
        <w:t xml:space="preserve"> cells</w:t>
      </w:r>
      <w:r w:rsidR="002740D5">
        <w:t xml:space="preserve"> with 99.5% probability. Termination of</w:t>
      </w:r>
      <w:r>
        <w:t xml:space="preserve"> apheres</w:t>
      </w:r>
      <w:r w:rsidR="00903EFE">
        <w:t>i</w:t>
      </w:r>
      <w:r>
        <w:t xml:space="preserve">s </w:t>
      </w:r>
      <w:r w:rsidR="002740D5">
        <w:t xml:space="preserve">was done </w:t>
      </w:r>
      <w:r>
        <w:t xml:space="preserve">either when the required volume </w:t>
      </w:r>
      <w:r w:rsidR="002740D5">
        <w:t>was reached</w:t>
      </w:r>
      <w:r>
        <w:t xml:space="preserve"> or</w:t>
      </w:r>
      <w:r w:rsidR="002740D5">
        <w:t xml:space="preserve"> </w:t>
      </w:r>
      <w:r>
        <w:t xml:space="preserve">after a maximal </w:t>
      </w:r>
      <w:r w:rsidR="002740D5">
        <w:t xml:space="preserve">duration of the </w:t>
      </w:r>
      <w:r>
        <w:t xml:space="preserve">apheresis </w:t>
      </w:r>
      <w:r w:rsidR="002740D5">
        <w:t xml:space="preserve">of </w:t>
      </w:r>
      <w:r>
        <w:t xml:space="preserve">300 minutes. </w:t>
      </w:r>
      <w:r w:rsidR="00FF734A">
        <w:t xml:space="preserve">Where </w:t>
      </w:r>
      <w:r>
        <w:t xml:space="preserve">the </w:t>
      </w:r>
      <w:r w:rsidR="002740D5">
        <w:t xml:space="preserve">standard dose of </w:t>
      </w:r>
      <w:proofErr w:type="spellStart"/>
      <w:r w:rsidR="002740D5">
        <w:t>4x</w:t>
      </w:r>
      <w:r>
        <w:t>10</w:t>
      </w:r>
      <w:r w:rsidRPr="002740D5">
        <w:rPr>
          <w:vertAlign w:val="superscript"/>
        </w:rPr>
        <w:t>6</w:t>
      </w:r>
      <w:proofErr w:type="spellEnd"/>
      <w:r w:rsidR="002740D5">
        <w:t xml:space="preserve"> </w:t>
      </w:r>
      <w:proofErr w:type="spellStart"/>
      <w:r w:rsidR="002740D5">
        <w:t>CD34</w:t>
      </w:r>
      <w:proofErr w:type="spellEnd"/>
      <w:r w:rsidR="002740D5" w:rsidRPr="002740D5">
        <w:rPr>
          <w:vertAlign w:val="superscript"/>
        </w:rPr>
        <w:t>+</w:t>
      </w:r>
      <w:r>
        <w:t xml:space="preserve"> cells/kg of the recipient had not been</w:t>
      </w:r>
      <w:r w:rsidR="002740D5">
        <w:t xml:space="preserve"> </w:t>
      </w:r>
      <w:r>
        <w:t>collected</w:t>
      </w:r>
      <w:r w:rsidR="002740D5" w:rsidRPr="002740D5">
        <w:t xml:space="preserve"> </w:t>
      </w:r>
      <w:r w:rsidR="00FF734A">
        <w:t>within the</w:t>
      </w:r>
      <w:r w:rsidR="002740D5">
        <w:t xml:space="preserve"> first apheresis,</w:t>
      </w:r>
      <w:r>
        <w:t xml:space="preserve"> two additional doses of G-CSF were </w:t>
      </w:r>
      <w:r w:rsidR="00E24501">
        <w:t xml:space="preserve">administered, </w:t>
      </w:r>
      <w:r>
        <w:t>and a</w:t>
      </w:r>
      <w:r w:rsidR="00E24501">
        <w:t>n additional</w:t>
      </w:r>
      <w:r>
        <w:t xml:space="preserve"> apheresis was </w:t>
      </w:r>
      <w:r w:rsidR="00E24501">
        <w:t>done</w:t>
      </w:r>
      <w:r>
        <w:t xml:space="preserve"> </w:t>
      </w:r>
      <w:r w:rsidR="00E24501">
        <w:t>(</w:t>
      </w:r>
      <w:r>
        <w:t xml:space="preserve">Day </w:t>
      </w:r>
      <w:r w:rsidR="00FF734A">
        <w:t>+1</w:t>
      </w:r>
      <w:r w:rsidR="00E24501">
        <w:t>)</w:t>
      </w:r>
      <w:r>
        <w:t>.</w:t>
      </w:r>
    </w:p>
    <w:p w:rsidR="00E55E43" w:rsidRDefault="00274A07" w:rsidP="00274A07">
      <w:pPr>
        <w:spacing w:line="360" w:lineRule="auto"/>
      </w:pPr>
      <w:r>
        <w:t>No more than two apheresis and no more than 11 doses of</w:t>
      </w:r>
      <w:r w:rsidR="00E24501">
        <w:t xml:space="preserve">  </w:t>
      </w:r>
      <w:r>
        <w:t>G-CSF were routinely given (two donors received 12 doses</w:t>
      </w:r>
      <w:r w:rsidR="00FF734A">
        <w:t xml:space="preserve"> due to donor error</w:t>
      </w:r>
      <w:r>
        <w:t>) according to standard operating procedures of</w:t>
      </w:r>
      <w:r w:rsidR="00E24501">
        <w:t xml:space="preserve"> </w:t>
      </w:r>
      <w:r>
        <w:t>the apheresis centers, backed by the Hemotherapy Guidelines</w:t>
      </w:r>
      <w:r w:rsidR="00E24501">
        <w:t xml:space="preserve"> </w:t>
      </w:r>
      <w:r>
        <w:t>of t</w:t>
      </w:r>
      <w:r w:rsidR="00E24501">
        <w:t>he German Medical Association,</w:t>
      </w:r>
      <w:r>
        <w:t xml:space="preserve"> irrespective of</w:t>
      </w:r>
      <w:r w:rsidR="00E24501">
        <w:t xml:space="preserve"> </w:t>
      </w:r>
      <w:r>
        <w:t xml:space="preserve">the collected total stem cell </w:t>
      </w:r>
      <w:proofErr w:type="spellStart"/>
      <w:r>
        <w:t>dose.</w:t>
      </w:r>
      <w:r w:rsidR="005A7C72">
        <w:fldChar w:fldCharType="begin"/>
      </w:r>
      <w:r w:rsidR="00E55E43">
        <w:instrText xml:space="preserve"> ADDIN EN.CITE &lt;EndNote&gt;&lt;Cite&gt;&lt;Year&gt;2008&lt;/Year&gt;&lt;RecNum&gt;81&lt;/RecNum&gt;&lt;DisplayText&gt;&lt;style face="superscript"&gt;2&lt;/style&gt;&lt;/DisplayText&gt;&lt;record&gt;&lt;rec-number&gt;81&lt;/rec-number&gt;&lt;foreign-keys&gt;&lt;key app="EN" db-id="d00ft5wv8tt00ie9wpgpzv05p2dda0rr2dxr" timestamp="1615894679"&gt;81&lt;/key&gt;&lt;/foreign-keys&gt;&lt;ref-type name="Legal Rule or Regulation"&gt;50&lt;/ref-type&gt;&lt;contributors&gt;&lt;/contributors&gt;&lt;titles&gt;&lt;title&gt;National Medical Council. [Guidelines for collection of blood and blood components and for the application of blood products (hemotherapy)].&lt;/title&gt;&lt;/titles&gt;&lt;dates&gt;&lt;year&gt;2008&lt;/year&gt;&lt;/dates&gt;&lt;publisher&gt;Köln (Germany): Deutscher Ärzteverlag&lt;/publisher&gt;&lt;urls&gt;&lt;/urls&gt;&lt;/record&gt;&lt;/Cite&gt;&lt;/EndNote&gt;</w:instrText>
      </w:r>
      <w:r w:rsidR="005A7C72">
        <w:fldChar w:fldCharType="separate"/>
      </w:r>
      <w:r w:rsidR="00E55E43" w:rsidRPr="00E55E43">
        <w:rPr>
          <w:noProof/>
          <w:vertAlign w:val="superscript"/>
        </w:rPr>
        <w:t>2</w:t>
      </w:r>
      <w:proofErr w:type="spellEnd"/>
      <w:r w:rsidR="005A7C72">
        <w:fldChar w:fldCharType="end"/>
      </w:r>
      <w:r w:rsidR="00E55E43">
        <w:t xml:space="preserve"> </w:t>
      </w:r>
    </w:p>
    <w:p w:rsidR="00BE3EE8" w:rsidRDefault="00BE3EE8" w:rsidP="00BE3EE8">
      <w:pPr>
        <w:spacing w:line="360" w:lineRule="auto"/>
      </w:pPr>
      <w:r>
        <w:t>Severity of bone pain (most frequent adverse effect of G-CSF) was assessed before each apheresis. A visual analog scale from 0 to 10 was used to quantify the average and maximal bone pain. A laboratory panel was analyzed at the time of donor assessment; before apheresis; at 1, 6, and 12 months after apheresis and will be analyzed annually thereafter up to year 10. Open questionnaires were used to capture adverse events (</w:t>
      </w:r>
      <w:proofErr w:type="spellStart"/>
      <w:r>
        <w:t>AEs</w:t>
      </w:r>
      <w:proofErr w:type="spellEnd"/>
      <w:r>
        <w:t xml:space="preserve">). Severe </w:t>
      </w:r>
      <w:proofErr w:type="spellStart"/>
      <w:r>
        <w:t>AEs</w:t>
      </w:r>
      <w:proofErr w:type="spellEnd"/>
      <w:r>
        <w:t xml:space="preserve"> (</w:t>
      </w:r>
      <w:proofErr w:type="spellStart"/>
      <w:r>
        <w:t>SAE</w:t>
      </w:r>
      <w:proofErr w:type="spellEnd"/>
      <w:r>
        <w:t xml:space="preserve">) were in accordance with the Good Clinical Practice definition. </w:t>
      </w:r>
      <w:r w:rsidR="00903EFE">
        <w:t>Physicians from the participating donor centers determined relatedness of an AE to G-CSF treatment</w:t>
      </w:r>
      <w:r>
        <w:t>.</w:t>
      </w:r>
    </w:p>
    <w:p w:rsidR="00BE3EE8" w:rsidRDefault="00BE3EE8" w:rsidP="00BE3EE8">
      <w:pPr>
        <w:spacing w:line="360" w:lineRule="auto"/>
      </w:pPr>
      <w:r>
        <w:t>Efficiency of mobilization (</w:t>
      </w:r>
      <w:proofErr w:type="spellStart"/>
      <w:r>
        <w:t>CD34</w:t>
      </w:r>
      <w:proofErr w:type="spellEnd"/>
      <w:r w:rsidRPr="00BE3EE8">
        <w:rPr>
          <w:vertAlign w:val="superscript"/>
        </w:rPr>
        <w:t>+</w:t>
      </w:r>
      <w:r>
        <w:t xml:space="preserve"> cells/mL blood) as well as the </w:t>
      </w:r>
      <w:proofErr w:type="spellStart"/>
      <w:r>
        <w:t>CD34</w:t>
      </w:r>
      <w:proofErr w:type="spellEnd"/>
      <w:r w:rsidRPr="00BE3EE8">
        <w:rPr>
          <w:vertAlign w:val="superscript"/>
        </w:rPr>
        <w:t>+</w:t>
      </w:r>
      <w:r>
        <w:t xml:space="preserve"> cell dose in the apheresis product was </w:t>
      </w:r>
      <w:r w:rsidR="005C15F7">
        <w:t xml:space="preserve">analyzed </w:t>
      </w:r>
      <w:r>
        <w:t xml:space="preserve">using </w:t>
      </w:r>
      <w:r w:rsidR="005C15F7">
        <w:t xml:space="preserve">flow cytometry (according to </w:t>
      </w:r>
      <w:r>
        <w:t>the European Directorate for the Quality of</w:t>
      </w:r>
      <w:r w:rsidR="005C15F7">
        <w:t xml:space="preserve"> </w:t>
      </w:r>
      <w:r>
        <w:t>Medicines</w:t>
      </w:r>
      <w:r w:rsidR="005C15F7">
        <w:t xml:space="preserve"> and Health Care).</w:t>
      </w:r>
      <w:r w:rsidR="005A7C72">
        <w:fldChar w:fldCharType="begin"/>
      </w:r>
      <w:r w:rsidR="005C15F7">
        <w:instrText xml:space="preserve"> ADDIN EN.CITE &lt;EndNote&gt;&lt;Cite&gt;&lt;Author&gt;Dauber&lt;/Author&gt;&lt;Year&gt;2011&lt;/Year&gt;&lt;RecNum&gt;82&lt;/RecNum&gt;&lt;DisplayText&gt;&lt;style face="superscript"&gt;3&lt;/style&gt;&lt;/DisplayText&gt;&lt;record&gt;&lt;rec-number&gt;82&lt;/rec-number&gt;&lt;foreign-keys&gt;&lt;key app="EN" db-id="d00ft5wv8tt00ie9wpgpzv05p2dda0rr2dxr" timestamp="1615900022"&gt;82&lt;/key&gt;&lt;/foreign-keys&gt;&lt;ref-type name="Journal Article"&gt;17&lt;/ref-type&gt;&lt;contributors&gt;&lt;authors&gt;&lt;author&gt;Dauber, K.&lt;/author&gt;&lt;author&gt;Becker, D.&lt;/author&gt;&lt;author&gt;Odendahl, M.&lt;/author&gt;&lt;author&gt;Seifried, E.&lt;/author&gt;&lt;author&gt;Bonig, H.&lt;/author&gt;&lt;author&gt;Tonn, T.&lt;/author&gt;&lt;/authors&gt;&lt;/contributors&gt;&lt;auth-address&gt;German Red Cross Blood Service and Institute for Transfusion Medicine and Immunohematology, Goethe University, Frankfurt, Germany.&lt;/auth-address&gt;&lt;titles&gt;&lt;title&gt;Enumeration of viable CD34(+) cells by flow cytometry in blood, bone marrow and cord blood: results of a study of the novel BD stem cell enumeration kit&lt;/title&gt;&lt;secondary-title&gt;Cytotherapy&lt;/secondary-title&gt;&lt;/titles&gt;&lt;periodical&gt;&lt;full-title&gt;Cytotherapy&lt;/full-title&gt;&lt;/periodical&gt;&lt;pages&gt;449-58&lt;/pages&gt;&lt;volume&gt;13&lt;/volume&gt;&lt;number&gt;4&lt;/number&gt;&lt;keywords&gt;&lt;keyword&gt;Antigens, CD34&lt;/keyword&gt;&lt;keyword&gt;Bone Marrow Cells/*cytology/*metabolism&lt;/keyword&gt;&lt;keyword&gt;Cell Count/*methods&lt;/keyword&gt;&lt;keyword&gt;Fetal Blood/*cytology/*metabolism&lt;/keyword&gt;&lt;keyword&gt;Flow Cytometry/*methods&lt;/keyword&gt;&lt;keyword&gt;Humans&lt;/keyword&gt;&lt;keyword&gt;Stem Cells/*cytology/*metabolism&lt;/keyword&gt;&lt;/keywords&gt;&lt;dates&gt;&lt;year&gt;2011&lt;/year&gt;&lt;pub-dates&gt;&lt;date&gt;Apr&lt;/date&gt;&lt;/pub-dates&gt;&lt;/dates&gt;&lt;isbn&gt;1477-2566 (Electronic)&amp;#xD;1465-3249 (Linking)&lt;/isbn&gt;&lt;accession-num&gt;21077730&lt;/accession-num&gt;&lt;urls&gt;&lt;related-urls&gt;&lt;url&gt;https://www.ncbi.nlm.nih.gov/pubmed/21077730&lt;/url&gt;&lt;/related-urls&gt;&lt;/urls&gt;&lt;electronic-resource-num&gt;10.3109/14653249.2010.529894&lt;/electronic-resource-num&gt;&lt;/record&gt;&lt;/Cite&gt;&lt;/EndNote&gt;</w:instrText>
      </w:r>
      <w:r w:rsidR="005A7C72">
        <w:fldChar w:fldCharType="separate"/>
      </w:r>
      <w:proofErr w:type="gramStart"/>
      <w:r w:rsidR="005C15F7" w:rsidRPr="005C15F7">
        <w:rPr>
          <w:noProof/>
          <w:vertAlign w:val="superscript"/>
        </w:rPr>
        <w:t>3</w:t>
      </w:r>
      <w:r w:rsidR="005A7C72">
        <w:fldChar w:fldCharType="end"/>
      </w:r>
      <w:r>
        <w:t xml:space="preserve"> Standard automated</w:t>
      </w:r>
      <w:r w:rsidR="005C15F7">
        <w:t xml:space="preserve"> </w:t>
      </w:r>
      <w:r>
        <w:t>laboratory equipment in accredited laboratories</w:t>
      </w:r>
      <w:proofErr w:type="gramEnd"/>
      <w:r w:rsidR="005C15F7">
        <w:t xml:space="preserve"> </w:t>
      </w:r>
      <w:r>
        <w:t>was used for the assessment of all other laboratory parameters.</w:t>
      </w:r>
    </w:p>
    <w:p w:rsidR="00DE22AF" w:rsidRDefault="00DE22AF" w:rsidP="00BE3EE8">
      <w:pPr>
        <w:spacing w:line="360" w:lineRule="auto"/>
      </w:pPr>
    </w:p>
    <w:p w:rsidR="00605A3A" w:rsidRDefault="00605A3A" w:rsidP="00021462">
      <w:pPr>
        <w:spacing w:line="360" w:lineRule="auto"/>
        <w:rPr>
          <w:b/>
        </w:rPr>
      </w:pPr>
    </w:p>
    <w:p w:rsidR="00605A3A" w:rsidRDefault="00021462" w:rsidP="00021462">
      <w:pPr>
        <w:spacing w:line="360" w:lineRule="auto"/>
        <w:rPr>
          <w:b/>
        </w:rPr>
      </w:pPr>
      <w:r w:rsidRPr="00605A3A">
        <w:rPr>
          <w:b/>
        </w:rPr>
        <w:lastRenderedPageBreak/>
        <w:t xml:space="preserve">Table </w:t>
      </w:r>
      <w:proofErr w:type="spellStart"/>
      <w:r w:rsidRPr="00605A3A">
        <w:rPr>
          <w:b/>
        </w:rPr>
        <w:t>S1</w:t>
      </w:r>
      <w:proofErr w:type="spellEnd"/>
      <w:r w:rsidR="00605A3A">
        <w:rPr>
          <w:b/>
        </w:rPr>
        <w:t>:</w:t>
      </w:r>
      <w:r w:rsidR="00605A3A" w:rsidRPr="00605A3A">
        <w:rPr>
          <w:b/>
        </w:rPr>
        <w:t xml:space="preserve"> Incidence of malignancies during follow-up</w:t>
      </w:r>
    </w:p>
    <w:p w:rsidR="00021462" w:rsidRDefault="00021462" w:rsidP="00021462">
      <w:pPr>
        <w:spacing w:line="360" w:lineRule="auto"/>
        <w:rPr>
          <w:b/>
        </w:rPr>
      </w:pPr>
      <w:r w:rsidRPr="00AD4FD6">
        <w:t>Comparison of incidence</w:t>
      </w:r>
      <w:r>
        <w:t xml:space="preserve"> rates of malignancies during the study with those of the German population</w:t>
      </w:r>
      <w:r w:rsidR="009900DC">
        <w:t xml:space="preserve"> in 2019</w:t>
      </w:r>
      <w:r>
        <w:t xml:space="preserve"> (using a </w:t>
      </w:r>
      <w:proofErr w:type="spellStart"/>
      <w:r>
        <w:t>Chi</w:t>
      </w:r>
      <w:r w:rsidRPr="00AD4FD6">
        <w:rPr>
          <w:vertAlign w:val="superscript"/>
        </w:rPr>
        <w:t>2</w:t>
      </w:r>
      <w:proofErr w:type="spellEnd"/>
      <w:r>
        <w:t xml:space="preserve">-test). Based on the incidence rate of the different diseases for the German population according to the German cancer registry the expected number for our cohort </w:t>
      </w:r>
      <w:r w:rsidR="005007C2">
        <w:t xml:space="preserve">is calculated </w:t>
      </w:r>
      <w:r>
        <w:t xml:space="preserve">over the cumulative observation time corrected for the time of discontinuation, if applicable, and assuming largely age-independent, linear distribution of cancer </w:t>
      </w:r>
      <w:proofErr w:type="spellStart"/>
      <w:r>
        <w:t>occurrence.</w:t>
      </w:r>
      <w:r w:rsidR="005A7C72">
        <w:fldChar w:fldCharType="begin"/>
      </w:r>
      <w:r>
        <w:instrText xml:space="preserve"> ADDIN EN.CITE &lt;EndNote&gt;&lt;Cite&gt;&lt;Year&gt;Accessed 19 March 2021&lt;/Year&gt;&lt;RecNum&gt;93&lt;/RecNum&gt;&lt;DisplayText&gt;&lt;style face="superscript"&gt;4&lt;/style&gt;&lt;/DisplayText&gt;&lt;record&gt;&lt;rec-number&gt;93&lt;/rec-number&gt;&lt;foreign-keys&gt;&lt;key app="EN" db-id="d00ft5wv8tt00ie9wpgpzv05p2dda0rr2dxr" timestamp="1616159610"&gt;93&lt;/key&gt;&lt;/foreign-keys&gt;&lt;ref-type name="Online Database"&gt;45&lt;/ref-type&gt;&lt;contributors&gt;&lt;/contributors&gt;&lt;titles&gt;&lt;title&gt;https://www.krebsdaten.de/Krebs/EN/Home/homepage_node.html&lt;/title&gt;&lt;/titles&gt;&lt;dates&gt;&lt;year&gt;Accessed 19 March 2021&lt;/year&gt;&lt;/dates&gt;&lt;urls&gt;&lt;related-urls&gt;&lt;url&gt;https://www.krebsdaten.de/Krebs/EN/Home/homepage_node.html&lt;/url&gt;&lt;/related-urls&gt;&lt;/urls&gt;&lt;/record&gt;&lt;/Cite&gt;&lt;/EndNote&gt;</w:instrText>
      </w:r>
      <w:r w:rsidR="005A7C72">
        <w:fldChar w:fldCharType="separate"/>
      </w:r>
      <w:r w:rsidRPr="00B93FF5">
        <w:rPr>
          <w:noProof/>
          <w:vertAlign w:val="superscript"/>
        </w:rPr>
        <w:t>4</w:t>
      </w:r>
      <w:proofErr w:type="spellEnd"/>
      <w:r w:rsidR="005A7C72">
        <w:fldChar w:fldCharType="end"/>
      </w:r>
      <w:r>
        <w:rPr>
          <w:b/>
        </w:rPr>
        <w:t xml:space="preserve"> </w:t>
      </w:r>
    </w:p>
    <w:p w:rsidR="00021462" w:rsidRDefault="00021462" w:rsidP="00021462">
      <w:pPr>
        <w:spacing w:line="360" w:lineRule="auto"/>
        <w:rPr>
          <w:b/>
        </w:rPr>
      </w:pPr>
    </w:p>
    <w:tbl>
      <w:tblPr>
        <w:tblW w:w="9821" w:type="dxa"/>
        <w:jc w:val="center"/>
        <w:tblCellMar>
          <w:left w:w="60" w:type="dxa"/>
          <w:right w:w="60" w:type="dxa"/>
        </w:tblCellMar>
        <w:tblLook w:val="0000"/>
      </w:tblPr>
      <w:tblGrid>
        <w:gridCol w:w="3091"/>
        <w:gridCol w:w="1477"/>
        <w:gridCol w:w="1584"/>
        <w:gridCol w:w="284"/>
        <w:gridCol w:w="1456"/>
        <w:gridCol w:w="505"/>
        <w:gridCol w:w="309"/>
        <w:gridCol w:w="1019"/>
        <w:gridCol w:w="96"/>
      </w:tblGrid>
      <w:tr w:rsidR="00021462" w:rsidRPr="00954B4B" w:rsidTr="009900DC">
        <w:trPr>
          <w:gridAfter w:val="1"/>
          <w:wAfter w:w="95" w:type="dxa"/>
          <w:cantSplit/>
          <w:trHeight w:val="1836"/>
          <w:tblHeader/>
          <w:jc w:val="center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1462" w:rsidRPr="00954B4B" w:rsidRDefault="003453B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Observed number of cases in the study population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1462" w:rsidRPr="00954B4B" w:rsidRDefault="00021462" w:rsidP="009900DC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Annualized incidence rate in</w:t>
            </w:r>
          </w:p>
          <w:p w:rsidR="00021462" w:rsidRPr="00954B4B" w:rsidRDefault="00021462" w:rsidP="009900DC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Germany (per 100.000)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Expected number</w:t>
            </w:r>
          </w:p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of cases in the study population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p-value</w:t>
            </w:r>
          </w:p>
        </w:tc>
      </w:tr>
      <w:tr w:rsidR="00021462" w:rsidRPr="00954B4B" w:rsidTr="009900DC">
        <w:trPr>
          <w:cantSplit/>
          <w:trHeight w:val="802"/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Malignant skin melanoma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24.22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9900D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 w:themeColor="text1"/>
              </w:rPr>
              <w:t xml:space="preserve">           </w:t>
            </w:r>
            <w:r w:rsidR="009900DC">
              <w:rPr>
                <w:color w:val="000000" w:themeColor="text1"/>
              </w:rPr>
              <w:t xml:space="preserve">         </w:t>
            </w:r>
            <w:r w:rsidRPr="00954B4B">
              <w:rPr>
                <w:color w:val="000000" w:themeColor="text1"/>
              </w:rPr>
              <w:t>0.193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605A3A" w:rsidRDefault="00021462" w:rsidP="00021462">
            <w:pPr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605A3A">
              <w:rPr>
                <w:b/>
                <w:color w:val="000000"/>
              </w:rPr>
              <w:t>&lt;0.0001</w:t>
            </w:r>
          </w:p>
        </w:tc>
      </w:tr>
      <w:tr w:rsidR="00021462" w:rsidRPr="00954B4B" w:rsidTr="009900DC">
        <w:trPr>
          <w:cantSplit/>
          <w:trHeight w:val="478"/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Hodgkin's lymphoma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2.89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  </w:t>
            </w:r>
            <w:r w:rsidR="009900DC">
              <w:rPr>
                <w:color w:val="000000"/>
              </w:rPr>
              <w:t xml:space="preserve">        </w:t>
            </w:r>
            <w:r w:rsidRPr="00954B4B">
              <w:rPr>
                <w:color w:val="000000"/>
              </w:rPr>
              <w:t>0.023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605A3A" w:rsidRDefault="00021462" w:rsidP="00021462">
            <w:pPr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605A3A">
              <w:rPr>
                <w:b/>
                <w:color w:val="000000"/>
              </w:rPr>
              <w:t>&lt;0.0001</w:t>
            </w:r>
          </w:p>
        </w:tc>
      </w:tr>
      <w:tr w:rsidR="00021462" w:rsidRPr="00954B4B" w:rsidTr="009900DC">
        <w:trPr>
          <w:cantSplit/>
          <w:trHeight w:val="789"/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Non-Hodgkin's lymphoma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20.78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  </w:t>
            </w:r>
            <w:r w:rsidR="009900DC">
              <w:rPr>
                <w:color w:val="000000"/>
              </w:rPr>
              <w:t xml:space="preserve">        </w:t>
            </w:r>
            <w:r w:rsidRPr="00954B4B">
              <w:rPr>
                <w:color w:val="000000"/>
              </w:rPr>
              <w:t>0.166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0.6835</w:t>
            </w:r>
          </w:p>
        </w:tc>
      </w:tr>
      <w:tr w:rsidR="00021462" w:rsidRPr="00954B4B" w:rsidTr="009900DC">
        <w:trPr>
          <w:cantSplit/>
          <w:trHeight w:val="478"/>
          <w:jc w:val="center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Multiple myeloma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9.42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9900DC" w:rsidP="009900D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021462" w:rsidRPr="00954B4B">
              <w:rPr>
                <w:color w:val="000000"/>
              </w:rPr>
              <w:t>0.075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0.7837</w:t>
            </w:r>
          </w:p>
        </w:tc>
      </w:tr>
      <w:tr w:rsidR="00021462" w:rsidRPr="00954B4B" w:rsidTr="009900DC">
        <w:trPr>
          <w:cantSplit/>
          <w:trHeight w:val="1759"/>
          <w:jc w:val="center"/>
        </w:trPr>
        <w:tc>
          <w:tcPr>
            <w:tcW w:w="30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Myelodysplastic, myeloproliferative, and other hematopoietic neoplasms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4.40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9900DC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 0.035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0.8512</w:t>
            </w:r>
          </w:p>
        </w:tc>
      </w:tr>
      <w:tr w:rsidR="00021462" w:rsidRPr="00954B4B" w:rsidTr="009900DC">
        <w:trPr>
          <w:cantSplit/>
          <w:trHeight w:val="802"/>
          <w:jc w:val="center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Thyroid cancer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3.02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9900DC" w:rsidP="00954B4B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021462" w:rsidRPr="00954B4B">
              <w:rPr>
                <w:color w:val="000000"/>
              </w:rPr>
              <w:t>0.023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1462" w:rsidRPr="00605A3A" w:rsidRDefault="00021462" w:rsidP="00021462">
            <w:pPr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605A3A">
              <w:rPr>
                <w:b/>
                <w:color w:val="000000"/>
              </w:rPr>
              <w:t>&lt;0.0001</w:t>
            </w:r>
          </w:p>
        </w:tc>
      </w:tr>
    </w:tbl>
    <w:p w:rsidR="00021462" w:rsidRPr="00954B4B" w:rsidRDefault="00021462" w:rsidP="00021462">
      <w:pPr>
        <w:spacing w:line="360" w:lineRule="auto"/>
        <w:rPr>
          <w:b/>
        </w:rPr>
      </w:pPr>
    </w:p>
    <w:p w:rsidR="00021462" w:rsidRDefault="00021462" w:rsidP="00021462">
      <w:pPr>
        <w:spacing w:line="360" w:lineRule="auto"/>
        <w:rPr>
          <w:b/>
        </w:rPr>
      </w:pPr>
    </w:p>
    <w:p w:rsidR="00021462" w:rsidRDefault="00021462" w:rsidP="00021462">
      <w:pPr>
        <w:spacing w:line="360" w:lineRule="auto"/>
      </w:pPr>
    </w:p>
    <w:p w:rsidR="00021462" w:rsidRDefault="00021462" w:rsidP="00021462">
      <w:pPr>
        <w:spacing w:line="360" w:lineRule="auto"/>
      </w:pPr>
    </w:p>
    <w:p w:rsidR="00021462" w:rsidRDefault="00021462" w:rsidP="00021462">
      <w:pPr>
        <w:spacing w:line="360" w:lineRule="auto"/>
      </w:pPr>
    </w:p>
    <w:p w:rsidR="00021462" w:rsidRDefault="00021462" w:rsidP="00021462">
      <w:pPr>
        <w:spacing w:line="360" w:lineRule="auto"/>
      </w:pPr>
    </w:p>
    <w:p w:rsidR="00605A3A" w:rsidRPr="00605A3A" w:rsidRDefault="00021462" w:rsidP="00021462">
      <w:pPr>
        <w:spacing w:line="360" w:lineRule="auto"/>
        <w:rPr>
          <w:b/>
        </w:rPr>
      </w:pPr>
      <w:r w:rsidRPr="00605A3A">
        <w:rPr>
          <w:b/>
        </w:rPr>
        <w:lastRenderedPageBreak/>
        <w:t xml:space="preserve">Table </w:t>
      </w:r>
      <w:proofErr w:type="spellStart"/>
      <w:r w:rsidRPr="00605A3A">
        <w:rPr>
          <w:b/>
        </w:rPr>
        <w:t>S2</w:t>
      </w:r>
      <w:proofErr w:type="spellEnd"/>
      <w:r w:rsidR="00605A3A">
        <w:rPr>
          <w:b/>
        </w:rPr>
        <w:t>:</w:t>
      </w:r>
      <w:r w:rsidR="00605A3A" w:rsidRPr="00605A3A">
        <w:rPr>
          <w:b/>
        </w:rPr>
        <w:t xml:space="preserve"> Power analysis for ability to detect differences in cancer incidence between donors and the general population</w:t>
      </w:r>
    </w:p>
    <w:p w:rsidR="00021462" w:rsidRDefault="00021462" w:rsidP="00021462">
      <w:pPr>
        <w:spacing w:line="360" w:lineRule="auto"/>
        <w:rPr>
          <w:b/>
        </w:rPr>
      </w:pPr>
      <w:r>
        <w:t xml:space="preserve">Post hoc power analysis for the comparison of incidence rates shows that the </w:t>
      </w:r>
      <w:r w:rsidR="00A04DBE">
        <w:t xml:space="preserve">power is not sufficient to show a significant difference between both groups </w:t>
      </w:r>
      <w:r>
        <w:t>(alpha error 0 0.05; power = 0.95).</w:t>
      </w:r>
    </w:p>
    <w:p w:rsidR="00021462" w:rsidRDefault="00021462" w:rsidP="00021462">
      <w:pPr>
        <w:spacing w:line="360" w:lineRule="auto"/>
        <w:rPr>
          <w:b/>
        </w:rPr>
      </w:pPr>
    </w:p>
    <w:tbl>
      <w:tblPr>
        <w:tblW w:w="6504" w:type="dxa"/>
        <w:jc w:val="center"/>
        <w:tblCellMar>
          <w:left w:w="60" w:type="dxa"/>
          <w:right w:w="60" w:type="dxa"/>
        </w:tblCellMar>
        <w:tblLook w:val="0000"/>
      </w:tblPr>
      <w:tblGrid>
        <w:gridCol w:w="4111"/>
        <w:gridCol w:w="1231"/>
        <w:gridCol w:w="140"/>
        <w:gridCol w:w="239"/>
        <w:gridCol w:w="783"/>
      </w:tblGrid>
      <w:tr w:rsidR="00021462" w:rsidTr="00021462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       Disease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1462" w:rsidRPr="00954B4B" w:rsidRDefault="008F3294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Incidence rate in Germany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Post hoc power 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Malignant skin melanoma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24.22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0.595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Hodgkin's lymphoma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0.632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Non-Hodgkin's lymphoma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20.78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0.044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Multiple myeloma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9.42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0.010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Myelodysplastic, myeloproliferative, and other hematopoietic neoplasms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4.40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0.125</w:t>
            </w:r>
          </w:p>
        </w:tc>
      </w:tr>
      <w:tr w:rsidR="00021462" w:rsidTr="0002146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Thyroid cancer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3.02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462" w:rsidRPr="00954B4B" w:rsidRDefault="00021462" w:rsidP="00021462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0.632</w:t>
            </w:r>
          </w:p>
        </w:tc>
      </w:tr>
    </w:tbl>
    <w:p w:rsidR="00A04DBE" w:rsidRDefault="00A04DBE" w:rsidP="00274A07">
      <w:pPr>
        <w:spacing w:line="360" w:lineRule="auto"/>
      </w:pPr>
    </w:p>
    <w:p w:rsidR="00A04DBE" w:rsidRDefault="00A04DBE" w:rsidP="00274A07">
      <w:pPr>
        <w:spacing w:line="360" w:lineRule="auto"/>
      </w:pPr>
    </w:p>
    <w:p w:rsidR="00605A3A" w:rsidRDefault="00605A3A" w:rsidP="00274A07">
      <w:pPr>
        <w:spacing w:line="360" w:lineRule="auto"/>
      </w:pPr>
    </w:p>
    <w:p w:rsidR="00605A3A" w:rsidRDefault="00801C9A" w:rsidP="00274A07">
      <w:pPr>
        <w:spacing w:line="360" w:lineRule="auto"/>
        <w:rPr>
          <w:b/>
        </w:rPr>
      </w:pPr>
      <w:r w:rsidRPr="005007C2">
        <w:rPr>
          <w:b/>
        </w:rPr>
        <w:t xml:space="preserve">Table </w:t>
      </w:r>
      <w:proofErr w:type="spellStart"/>
      <w:r w:rsidR="00C12250" w:rsidRPr="005007C2">
        <w:rPr>
          <w:b/>
        </w:rPr>
        <w:t>S3</w:t>
      </w:r>
      <w:proofErr w:type="spellEnd"/>
      <w:r w:rsidR="00605A3A">
        <w:rPr>
          <w:b/>
        </w:rPr>
        <w:t>:</w:t>
      </w:r>
      <w:r w:rsidR="001D7FC4" w:rsidRPr="005007C2">
        <w:rPr>
          <w:b/>
        </w:rPr>
        <w:t xml:space="preserve"> </w:t>
      </w:r>
      <w:r w:rsidR="005007C2" w:rsidRPr="005007C2">
        <w:rPr>
          <w:b/>
        </w:rPr>
        <w:t xml:space="preserve">Association of </w:t>
      </w:r>
      <w:r w:rsidR="005007C2">
        <w:rPr>
          <w:b/>
        </w:rPr>
        <w:t xml:space="preserve">mobilization-related </w:t>
      </w:r>
      <w:r w:rsidR="005007C2" w:rsidRPr="005007C2">
        <w:rPr>
          <w:b/>
        </w:rPr>
        <w:t xml:space="preserve">adverse events </w:t>
      </w:r>
      <w:r w:rsidR="005007C2">
        <w:rPr>
          <w:b/>
        </w:rPr>
        <w:t>and</w:t>
      </w:r>
      <w:r w:rsidR="005007C2" w:rsidRPr="005007C2">
        <w:rPr>
          <w:b/>
        </w:rPr>
        <w:t xml:space="preserve"> SF-12 physical health score</w:t>
      </w:r>
      <w:r w:rsidR="005007C2">
        <w:rPr>
          <w:b/>
        </w:rPr>
        <w:t xml:space="preserve"> at the time of apheresis</w:t>
      </w:r>
    </w:p>
    <w:p w:rsidR="002740D5" w:rsidRDefault="001D7FC4" w:rsidP="00274A07">
      <w:pPr>
        <w:spacing w:line="360" w:lineRule="auto"/>
      </w:pPr>
      <w:r w:rsidRPr="001D7FC4">
        <w:t xml:space="preserve">SF-12 physical health score at apheresis in donors with </w:t>
      </w:r>
      <w:r w:rsidR="005007C2">
        <w:t xml:space="preserve">certain </w:t>
      </w:r>
      <w:proofErr w:type="spellStart"/>
      <w:r w:rsidR="00C12250">
        <w:t>AEs</w:t>
      </w:r>
      <w:proofErr w:type="spellEnd"/>
      <w:r w:rsidR="00C12250">
        <w:t xml:space="preserve"> compared to donors</w:t>
      </w:r>
      <w:r>
        <w:t xml:space="preserve"> </w:t>
      </w:r>
      <w:r w:rsidR="005007C2">
        <w:t>not experiencing these</w:t>
      </w:r>
      <w:r>
        <w:t xml:space="preserve"> </w:t>
      </w:r>
      <w:proofErr w:type="spellStart"/>
      <w:r>
        <w:t>AEs</w:t>
      </w:r>
      <w:proofErr w:type="spellEnd"/>
      <w:r>
        <w:t xml:space="preserve">. </w:t>
      </w:r>
      <w:r w:rsidR="00C12250">
        <w:t xml:space="preserve">A significant reduction in physical health score </w:t>
      </w:r>
      <w:r w:rsidR="005007C2">
        <w:t xml:space="preserve">is observed </w:t>
      </w:r>
      <w:r w:rsidR="00C12250">
        <w:t xml:space="preserve">in donors </w:t>
      </w:r>
      <w:r w:rsidR="005007C2">
        <w:t xml:space="preserve">experiencing bone pain, which is an almost universal, albeit highly transient adverse effect of </w:t>
      </w:r>
      <w:proofErr w:type="spellStart"/>
      <w:r w:rsidR="00C12250">
        <w:t>filgrastim</w:t>
      </w:r>
      <w:proofErr w:type="spellEnd"/>
      <w:r w:rsidR="005007C2">
        <w:t xml:space="preserve"> in healthy donors</w:t>
      </w:r>
      <w:r w:rsidR="00C12250">
        <w:t xml:space="preserve">. </w:t>
      </w:r>
      <w:r w:rsidR="005007C2">
        <w:br/>
      </w:r>
      <w:r w:rsidRPr="001D7FC4">
        <w:rPr>
          <w:b/>
        </w:rPr>
        <w:t>AE:</w:t>
      </w:r>
      <w:r>
        <w:t xml:space="preserve"> adverse event; </w:t>
      </w:r>
      <w:r w:rsidRPr="001D7FC4">
        <w:rPr>
          <w:b/>
        </w:rPr>
        <w:t>SD:</w:t>
      </w:r>
      <w:r>
        <w:t xml:space="preserve"> </w:t>
      </w:r>
      <w:r w:rsidRPr="00DE22AF">
        <w:t>Standard deviation</w:t>
      </w:r>
      <w:r>
        <w:t>.</w:t>
      </w:r>
    </w:p>
    <w:tbl>
      <w:tblPr>
        <w:tblW w:w="0" w:type="auto"/>
        <w:jc w:val="center"/>
        <w:tblCellMar>
          <w:left w:w="60" w:type="dxa"/>
          <w:right w:w="60" w:type="dxa"/>
        </w:tblCellMar>
        <w:tblLook w:val="0000"/>
      </w:tblPr>
      <w:tblGrid>
        <w:gridCol w:w="2803"/>
        <w:gridCol w:w="656"/>
        <w:gridCol w:w="914"/>
        <w:gridCol w:w="737"/>
        <w:gridCol w:w="1010"/>
        <w:gridCol w:w="632"/>
        <w:gridCol w:w="510"/>
        <w:gridCol w:w="1288"/>
      </w:tblGrid>
      <w:tr w:rsidR="00E7291C" w:rsidTr="00E20D37">
        <w:trPr>
          <w:cantSplit/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7291C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                                          </w:t>
            </w:r>
            <w:r w:rsidR="00E7291C" w:rsidRPr="00954B4B">
              <w:rPr>
                <w:b/>
                <w:bCs/>
                <w:color w:val="000000"/>
              </w:rPr>
              <w:t xml:space="preserve">                     </w:t>
            </w:r>
            <w:r w:rsidRPr="00954B4B">
              <w:rPr>
                <w:b/>
                <w:bCs/>
                <w:color w:val="000000"/>
              </w:rPr>
              <w:t>Donors with AE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1C9A" w:rsidRPr="00954B4B" w:rsidRDefault="00801C9A" w:rsidP="00801C9A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 </w:t>
            </w:r>
            <w:r w:rsidR="00E7291C" w:rsidRPr="00954B4B">
              <w:rPr>
                <w:b/>
                <w:bCs/>
                <w:color w:val="000000"/>
              </w:rPr>
              <w:t xml:space="preserve"> </w:t>
            </w:r>
            <w:r w:rsidRPr="00954B4B">
              <w:rPr>
                <w:b/>
                <w:bCs/>
                <w:color w:val="000000"/>
              </w:rPr>
              <w:t xml:space="preserve"> </w:t>
            </w:r>
            <w:r w:rsidR="00E7291C" w:rsidRPr="00954B4B">
              <w:rPr>
                <w:b/>
                <w:bCs/>
                <w:color w:val="000000"/>
              </w:rPr>
              <w:t xml:space="preserve">    </w:t>
            </w:r>
            <w:r w:rsidRPr="00954B4B">
              <w:rPr>
                <w:b/>
                <w:bCs/>
                <w:color w:val="000000"/>
              </w:rPr>
              <w:t>Donors without AE</w:t>
            </w:r>
            <w:r w:rsidR="00E7291C" w:rsidRPr="00954B4B">
              <w:rPr>
                <w:b/>
                <w:bCs/>
                <w:color w:val="000000"/>
              </w:rPr>
              <w:t xml:space="preserve"> </w:t>
            </w:r>
          </w:p>
        </w:tc>
      </w:tr>
      <w:tr w:rsidR="00E7291C" w:rsidTr="00801C9A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Specific </w:t>
            </w:r>
            <w:r w:rsidR="00801C9A" w:rsidRPr="00954B4B">
              <w:rPr>
                <w:b/>
                <w:bCs/>
                <w:color w:val="000000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          </w:t>
            </w:r>
            <w:r w:rsidR="00801C9A" w:rsidRPr="00954B4B">
              <w:rPr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        p-value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Back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0.5425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FF734A" w:rsidP="00E20D37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Hypokalemia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0.3241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Bone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    </w:t>
            </w:r>
            <w:r w:rsidR="00801C9A" w:rsidRPr="00954B4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605A3A" w:rsidRDefault="00E7291C" w:rsidP="00E20D37">
            <w:pPr>
              <w:adjustRightInd w:val="0"/>
              <w:spacing w:before="60" w:after="60"/>
              <w:jc w:val="center"/>
              <w:rPr>
                <w:b/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605A3A">
              <w:rPr>
                <w:b/>
                <w:color w:val="000000"/>
              </w:rPr>
              <w:t>0.0476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Headache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0.0759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ind w:left="340"/>
              <w:rPr>
                <w:color w:val="000000"/>
              </w:rPr>
            </w:pPr>
            <w:r w:rsidRPr="00954B4B">
              <w:rPr>
                <w:color w:val="000000"/>
              </w:rPr>
              <w:t>Pain in extremity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   </w:t>
            </w:r>
            <w:r w:rsidR="00801C9A" w:rsidRPr="00954B4B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801C9A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1C9A" w:rsidRPr="00954B4B" w:rsidRDefault="00E7291C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    </w:t>
            </w:r>
            <w:r w:rsidR="008F3294">
              <w:rPr>
                <w:color w:val="000000"/>
              </w:rPr>
              <w:t xml:space="preserve"> </w:t>
            </w:r>
            <w:r w:rsidRPr="00954B4B">
              <w:rPr>
                <w:color w:val="000000"/>
              </w:rPr>
              <w:t xml:space="preserve">  </w:t>
            </w:r>
            <w:r w:rsidR="00801C9A" w:rsidRPr="00954B4B">
              <w:rPr>
                <w:color w:val="000000"/>
              </w:rPr>
              <w:t>0.6211</w:t>
            </w:r>
          </w:p>
        </w:tc>
      </w:tr>
      <w:tr w:rsidR="00E7291C" w:rsidTr="00801C9A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C9A" w:rsidRDefault="00801C9A" w:rsidP="00E20D37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</w:tbl>
    <w:p w:rsidR="00801C9A" w:rsidRDefault="00801C9A" w:rsidP="00274A07">
      <w:pPr>
        <w:spacing w:line="360" w:lineRule="auto"/>
      </w:pPr>
    </w:p>
    <w:p w:rsidR="00605A3A" w:rsidRDefault="000C25D8" w:rsidP="000C25D8">
      <w:pPr>
        <w:spacing w:line="360" w:lineRule="auto"/>
        <w:rPr>
          <w:b/>
        </w:rPr>
      </w:pPr>
      <w:r w:rsidRPr="005007C2">
        <w:rPr>
          <w:b/>
        </w:rPr>
        <w:lastRenderedPageBreak/>
        <w:t xml:space="preserve">Table </w:t>
      </w:r>
      <w:proofErr w:type="spellStart"/>
      <w:r w:rsidRPr="005007C2">
        <w:rPr>
          <w:b/>
        </w:rPr>
        <w:t>S</w:t>
      </w:r>
      <w:r w:rsidR="00B43698" w:rsidRPr="005007C2">
        <w:rPr>
          <w:b/>
        </w:rPr>
        <w:t>4</w:t>
      </w:r>
      <w:proofErr w:type="spellEnd"/>
      <w:r w:rsidR="00605A3A">
        <w:rPr>
          <w:b/>
        </w:rPr>
        <w:t>:</w:t>
      </w:r>
      <w:r w:rsidR="007032A6" w:rsidRPr="005007C2">
        <w:rPr>
          <w:b/>
        </w:rPr>
        <w:t xml:space="preserve"> </w:t>
      </w:r>
      <w:r w:rsidR="005007C2" w:rsidRPr="005007C2">
        <w:rPr>
          <w:b/>
        </w:rPr>
        <w:t>Association of adverse events and long-term participation in the study</w:t>
      </w:r>
    </w:p>
    <w:p w:rsidR="000C25D8" w:rsidRDefault="00605A3A" w:rsidP="000C25D8">
      <w:pPr>
        <w:spacing w:line="360" w:lineRule="auto"/>
      </w:pPr>
      <w:r>
        <w:t>We hypothesized that a</w:t>
      </w:r>
      <w:r w:rsidR="007032A6">
        <w:t xml:space="preserve">dverse events </w:t>
      </w:r>
      <w:r>
        <w:t xml:space="preserve">in the post-mobilization period </w:t>
      </w:r>
      <w:r w:rsidR="007032A6">
        <w:t>m</w:t>
      </w:r>
      <w:r>
        <w:t>ight</w:t>
      </w:r>
      <w:r w:rsidR="007032A6">
        <w:t xml:space="preserve"> </w:t>
      </w:r>
      <w:r>
        <w:t>negatively affect willingness to provide long-term follow-up</w:t>
      </w:r>
      <w:r w:rsidR="007032A6">
        <w:t xml:space="preserve">. In order to address a possible connection we analyzed the occurrence of adverse events after the mobilization period in participants who complete 5 years and those who did not (using Fisher’s exact test). </w:t>
      </w:r>
      <w:r w:rsidR="000C25D8">
        <w:t xml:space="preserve"> </w:t>
      </w:r>
      <w:r>
        <w:t xml:space="preserve">Donors experiencing any serious AE were, if </w:t>
      </w:r>
      <w:proofErr w:type="gramStart"/>
      <w:r>
        <w:t>anything,</w:t>
      </w:r>
      <w:proofErr w:type="gramEnd"/>
      <w:r>
        <w:t xml:space="preserve"> over-represented in the completer cohort (not statistically significant)</w:t>
      </w:r>
      <w:r w:rsidR="00527AD0">
        <w:t xml:space="preserve">. </w:t>
      </w:r>
      <w:r>
        <w:t>Frequency is</w:t>
      </w:r>
      <w:r w:rsidR="000F75CA">
        <w:t xml:space="preserve"> given in round brackets, interquartile range in square brackets. </w:t>
      </w:r>
      <w:r w:rsidR="00527AD0" w:rsidRPr="00954B4B">
        <w:rPr>
          <w:b/>
        </w:rPr>
        <w:t>AE:</w:t>
      </w:r>
      <w:r w:rsidR="00527AD0">
        <w:t xml:space="preserve"> adverse events, </w:t>
      </w:r>
      <w:proofErr w:type="spellStart"/>
      <w:r w:rsidR="00527AD0" w:rsidRPr="00954B4B">
        <w:rPr>
          <w:b/>
        </w:rPr>
        <w:t>SAE</w:t>
      </w:r>
      <w:proofErr w:type="spellEnd"/>
      <w:r w:rsidR="00527AD0" w:rsidRPr="00954B4B">
        <w:rPr>
          <w:b/>
        </w:rPr>
        <w:t>:</w:t>
      </w:r>
      <w:r w:rsidR="00527AD0">
        <w:t xml:space="preserve"> serious adverse events.</w:t>
      </w:r>
    </w:p>
    <w:tbl>
      <w:tblPr>
        <w:tblW w:w="0" w:type="auto"/>
        <w:jc w:val="center"/>
        <w:tblCellMar>
          <w:left w:w="60" w:type="dxa"/>
          <w:right w:w="60" w:type="dxa"/>
        </w:tblCellMar>
        <w:tblLook w:val="0000"/>
      </w:tblPr>
      <w:tblGrid>
        <w:gridCol w:w="3726"/>
        <w:gridCol w:w="1537"/>
        <w:gridCol w:w="201"/>
        <w:gridCol w:w="1716"/>
        <w:gridCol w:w="1316"/>
        <w:gridCol w:w="864"/>
      </w:tblGrid>
      <w:tr w:rsidR="000F75CA" w:rsidTr="000F75CA">
        <w:trPr>
          <w:cantSplit/>
          <w:tblHeader/>
          <w:jc w:val="center"/>
        </w:trPr>
        <w:tc>
          <w:tcPr>
            <w:tcW w:w="37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0F75CA" w:rsidRDefault="000C25D8" w:rsidP="00E20D37">
            <w:pPr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0F75CA" w:rsidRDefault="000F75CA" w:rsidP="000F75CA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F75CA">
              <w:rPr>
                <w:b/>
                <w:bCs/>
                <w:color w:val="000000"/>
              </w:rPr>
              <w:t>Completer</w:t>
            </w:r>
            <w:r w:rsidRPr="000F75CA">
              <w:rPr>
                <w:b/>
                <w:bCs/>
                <w:color w:val="000000"/>
              </w:rPr>
              <w:br/>
              <w:t>n=145</w:t>
            </w:r>
            <w:r w:rsidR="00AB3E3B" w:rsidRPr="000F75CA"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0F75CA" w:rsidRDefault="000F75CA" w:rsidP="00AB3E3B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F75CA">
              <w:rPr>
                <w:b/>
                <w:bCs/>
                <w:color w:val="000000"/>
              </w:rPr>
              <w:t>Non-completer</w:t>
            </w:r>
            <w:r w:rsidRPr="000F75CA">
              <w:rPr>
                <w:b/>
                <w:bCs/>
                <w:color w:val="000000"/>
              </w:rPr>
              <w:br/>
              <w:t>n=97</w:t>
            </w:r>
            <w:r w:rsidR="000C25D8" w:rsidRPr="000F75CA">
              <w:rPr>
                <w:b/>
                <w:bCs/>
                <w:color w:val="000000"/>
              </w:rPr>
              <w:br/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0F75CA" w:rsidRDefault="00AB3E3B" w:rsidP="00AB3E3B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F75CA">
              <w:rPr>
                <w:b/>
                <w:bCs/>
                <w:color w:val="000000"/>
              </w:rPr>
              <w:t>All donors</w:t>
            </w:r>
            <w:r w:rsidR="000C25D8" w:rsidRPr="000F75CA">
              <w:rPr>
                <w:b/>
                <w:bCs/>
                <w:color w:val="000000"/>
              </w:rPr>
              <w:br/>
            </w:r>
            <w:r w:rsidRPr="000F75CA">
              <w:rPr>
                <w:b/>
                <w:bCs/>
                <w:color w:val="000000"/>
              </w:rPr>
              <w:t>n</w:t>
            </w:r>
            <w:r w:rsidR="000C25D8" w:rsidRPr="000F75CA">
              <w:rPr>
                <w:b/>
                <w:bCs/>
                <w:color w:val="000000"/>
              </w:rPr>
              <w:t xml:space="preserve">=242 </w:t>
            </w:r>
            <w:r w:rsidR="000C25D8" w:rsidRPr="000F75CA">
              <w:rPr>
                <w:b/>
                <w:bCs/>
                <w:color w:val="000000"/>
              </w:rPr>
              <w:br/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0F75CA" w:rsidRDefault="00AB3E3B" w:rsidP="00E20D37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F75CA">
              <w:rPr>
                <w:b/>
                <w:bCs/>
                <w:color w:val="000000"/>
              </w:rPr>
              <w:t>p</w:t>
            </w:r>
            <w:r w:rsidR="000C25D8" w:rsidRPr="000F75CA">
              <w:rPr>
                <w:b/>
                <w:bCs/>
                <w:color w:val="000000"/>
              </w:rPr>
              <w:t>-value</w:t>
            </w:r>
          </w:p>
        </w:tc>
      </w:tr>
      <w:tr w:rsidR="000F75CA" w:rsidTr="000F75CA">
        <w:trPr>
          <w:cantSplit/>
          <w:jc w:val="center"/>
        </w:trPr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Any AE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F75CA" w:rsidRPr="00954B4B">
              <w:rPr>
                <w:color w:val="000000"/>
              </w:rPr>
              <w:t>88 (60.7%)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F75CA" w:rsidRPr="00954B4B">
              <w:rPr>
                <w:color w:val="000000"/>
              </w:rPr>
              <w:t>37 (38.1%)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125 (51.7%)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F75CA">
              <w:rPr>
                <w:color w:val="000000"/>
              </w:rPr>
              <w:t>[52.2-68.7</w:t>
            </w:r>
            <w:r w:rsidR="000F75CA" w:rsidRPr="00954B4B">
              <w:rPr>
                <w:color w:val="000000"/>
              </w:rPr>
              <w:t xml:space="preserve">]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F75CA">
              <w:rPr>
                <w:color w:val="000000"/>
              </w:rPr>
              <w:t>[28.5-48.6</w:t>
            </w:r>
            <w:r w:rsidR="000F75CA" w:rsidRPr="00954B4B">
              <w:rPr>
                <w:color w:val="000000"/>
              </w:rPr>
              <w:t>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[45.2-58.1</w:t>
            </w:r>
            <w:r w:rsidR="000C25D8"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A</w:t>
            </w:r>
            <w:r w:rsidR="000C25D8" w:rsidRPr="00954B4B">
              <w:rPr>
                <w:color w:val="000000"/>
              </w:rPr>
              <w:t>ny serious AE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31 (21.4%)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7 (7.2%)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38 (15.7%)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0C25D8" w:rsidRPr="00954B4B">
              <w:rPr>
                <w:color w:val="000000"/>
              </w:rPr>
              <w:t>0.089</w:t>
            </w: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[15.0-29.0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[3.0-14.3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0F75CA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[11.4-20.9</w:t>
            </w:r>
            <w:r w:rsidR="000C25D8"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AE related to G-CSF treatment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12 (8.3%)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 (2.1%)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14 (5.8%)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0C25D8" w:rsidRPr="00954B4B">
              <w:rPr>
                <w:color w:val="000000"/>
              </w:rPr>
              <w:t>0.228</w:t>
            </w: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[4.3-14.0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[0.3-7.3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[3.2-9.5</w:t>
            </w:r>
            <w:r w:rsidR="000C25D8"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S</w:t>
            </w:r>
            <w:r w:rsidR="000C25D8" w:rsidRPr="00954B4B">
              <w:rPr>
                <w:color w:val="000000"/>
              </w:rPr>
              <w:t>erious AE related to G-CSF treatment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 (2.1%)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 (0.0%)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3 (1.2%)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0C25D8" w:rsidRPr="00954B4B">
              <w:rPr>
                <w:color w:val="000000"/>
              </w:rPr>
              <w:t>0.554</w:t>
            </w: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[0.4-5.9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[0.0-3.7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[0.3-3.6</w:t>
            </w:r>
            <w:r w:rsidR="000C25D8"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AE of special interest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 (1.4%)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 (0.0%)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2 (0.8%)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0C25D8" w:rsidRPr="00954B4B">
              <w:rPr>
                <w:color w:val="000000"/>
              </w:rPr>
              <w:t>1.000</w:t>
            </w:r>
          </w:p>
        </w:tc>
      </w:tr>
      <w:tr w:rsidR="000F75CA" w:rsidTr="00AB3E3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[0.2-4.9]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[0.0-3.7]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[</w:t>
            </w:r>
            <w:r w:rsidR="000F75CA">
              <w:rPr>
                <w:color w:val="000000"/>
              </w:rPr>
              <w:t>0.1-3.0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0F75CA" w:rsidTr="00954B4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  <w:r w:rsidRPr="00954B4B">
              <w:rPr>
                <w:color w:val="000000"/>
              </w:rPr>
              <w:t>AE related to apheresis procedure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25D8" w:rsidRPr="00954B4B" w:rsidRDefault="000F75CA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 (1.0%)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1 (0.4%)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25D8" w:rsidRPr="00954B4B" w:rsidRDefault="00AB3E3B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0C25D8" w:rsidRPr="00954B4B">
              <w:rPr>
                <w:color w:val="000000"/>
              </w:rPr>
              <w:t>0.296</w:t>
            </w:r>
          </w:p>
        </w:tc>
      </w:tr>
      <w:tr w:rsidR="000F75CA" w:rsidTr="00954B4B">
        <w:trPr>
          <w:cantSplit/>
          <w:jc w:val="center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E20D37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[0.0-2.5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6F005C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[0.0-5</w:t>
            </w:r>
            <w:r>
              <w:rPr>
                <w:color w:val="000000"/>
              </w:rPr>
              <w:t>.6</w:t>
            </w:r>
            <w:r w:rsidRPr="00954B4B">
              <w:rPr>
                <w:color w:val="000000"/>
              </w:rPr>
              <w:t>]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954B4B" w:rsidRDefault="006F005C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[0.0-2.3</w:t>
            </w:r>
            <w:r w:rsidR="000C25D8" w:rsidRPr="00954B4B">
              <w:rPr>
                <w:color w:val="000000"/>
              </w:rPr>
              <w:t>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5D8" w:rsidRPr="00954B4B" w:rsidRDefault="000C25D8" w:rsidP="00AB3E3B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0C25D8" w:rsidRDefault="000C25D8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954B4B" w:rsidRDefault="00954B4B" w:rsidP="00274A07">
      <w:pPr>
        <w:spacing w:line="360" w:lineRule="auto"/>
      </w:pPr>
    </w:p>
    <w:p w:rsidR="00605A3A" w:rsidRDefault="00605A3A" w:rsidP="00274A07">
      <w:pPr>
        <w:spacing w:line="360" w:lineRule="auto"/>
      </w:pPr>
    </w:p>
    <w:p w:rsidR="00605A3A" w:rsidRPr="00605A3A" w:rsidRDefault="00125E46" w:rsidP="00274A07">
      <w:pPr>
        <w:spacing w:line="360" w:lineRule="auto"/>
        <w:rPr>
          <w:b/>
        </w:rPr>
      </w:pPr>
      <w:r w:rsidRPr="00605A3A">
        <w:rPr>
          <w:b/>
        </w:rPr>
        <w:lastRenderedPageBreak/>
        <w:t xml:space="preserve">Table </w:t>
      </w:r>
      <w:proofErr w:type="spellStart"/>
      <w:r w:rsidRPr="00605A3A">
        <w:rPr>
          <w:b/>
        </w:rPr>
        <w:t>S</w:t>
      </w:r>
      <w:r w:rsidR="00B43698" w:rsidRPr="00605A3A">
        <w:rPr>
          <w:b/>
        </w:rPr>
        <w:t>5</w:t>
      </w:r>
      <w:proofErr w:type="spellEnd"/>
      <w:r w:rsidR="00605A3A" w:rsidRPr="00605A3A">
        <w:rPr>
          <w:b/>
        </w:rPr>
        <w:t xml:space="preserve">: Association of SF-12 score with number of </w:t>
      </w:r>
      <w:proofErr w:type="spellStart"/>
      <w:r w:rsidR="00605A3A" w:rsidRPr="00605A3A">
        <w:rPr>
          <w:b/>
        </w:rPr>
        <w:t>aphereses</w:t>
      </w:r>
      <w:proofErr w:type="spellEnd"/>
    </w:p>
    <w:p w:rsidR="00125E46" w:rsidRDefault="00125E46" w:rsidP="00274A07">
      <w:pPr>
        <w:spacing w:line="360" w:lineRule="auto"/>
        <w:rPr>
          <w:b/>
        </w:rPr>
      </w:pPr>
      <w:r w:rsidRPr="00125E46">
        <w:t xml:space="preserve">Comparing SF-12 scores </w:t>
      </w:r>
      <w:r w:rsidR="00FF734A">
        <w:t xml:space="preserve">one month after apheresis </w:t>
      </w:r>
      <w:r w:rsidRPr="00125E46">
        <w:t xml:space="preserve">in donors </w:t>
      </w:r>
      <w:r w:rsidR="00FF734A">
        <w:t>subjected to</w:t>
      </w:r>
      <w:r w:rsidR="00FF734A" w:rsidRPr="00125E46">
        <w:t xml:space="preserve"> </w:t>
      </w:r>
      <w:r w:rsidRPr="00125E46">
        <w:t xml:space="preserve">one versus two </w:t>
      </w:r>
      <w:proofErr w:type="spellStart"/>
      <w:r w:rsidR="00FF734A" w:rsidRPr="00125E46">
        <w:t>apheres</w:t>
      </w:r>
      <w:r w:rsidR="003453B2">
        <w:t>e</w:t>
      </w:r>
      <w:r w:rsidR="00FF734A" w:rsidRPr="00125E46">
        <w:t>s</w:t>
      </w:r>
      <w:proofErr w:type="spellEnd"/>
      <w:r w:rsidR="00527AD0">
        <w:t xml:space="preserve"> using </w:t>
      </w:r>
      <w:r>
        <w:t>t-test</w:t>
      </w:r>
      <w:r w:rsidR="00527AD0">
        <w:t xml:space="preserve"> did not show any significant differences in physical and mental health score between both groups. SF-12 scores were available for 177 participants who had a single apheresis and 15 participants who had two </w:t>
      </w:r>
      <w:proofErr w:type="spellStart"/>
      <w:r w:rsidR="00527AD0">
        <w:t>apheres</w:t>
      </w:r>
      <w:r w:rsidR="003453B2">
        <w:t>e</w:t>
      </w:r>
      <w:r w:rsidR="00527AD0">
        <w:t>s</w:t>
      </w:r>
      <w:proofErr w:type="spellEnd"/>
      <w:r w:rsidR="00527AD0">
        <w:t xml:space="preserve">. </w:t>
      </w:r>
      <w:r w:rsidR="00527AD0" w:rsidRPr="00E83D10">
        <w:rPr>
          <w:b/>
        </w:rPr>
        <w:t>SD:</w:t>
      </w:r>
      <w:r w:rsidR="00527AD0">
        <w:t xml:space="preserve"> standard deviation</w:t>
      </w:r>
      <w:r w:rsidR="008273DA">
        <w:t xml:space="preserve">, </w:t>
      </w:r>
      <w:proofErr w:type="spellStart"/>
      <w:r w:rsidR="008273DA" w:rsidRPr="008273DA">
        <w:rPr>
          <w:b/>
        </w:rPr>
        <w:t>IQR</w:t>
      </w:r>
      <w:proofErr w:type="spellEnd"/>
      <w:r w:rsidR="008273DA" w:rsidRPr="008273DA">
        <w:rPr>
          <w:b/>
        </w:rPr>
        <w:t>:</w:t>
      </w:r>
      <w:r w:rsidR="008273DA">
        <w:t xml:space="preserve"> interquartile range</w:t>
      </w:r>
      <w:r w:rsidR="00527AD0">
        <w:t>.</w:t>
      </w:r>
    </w:p>
    <w:tbl>
      <w:tblPr>
        <w:tblW w:w="8642" w:type="dxa"/>
        <w:jc w:val="center"/>
        <w:tblCellMar>
          <w:left w:w="60" w:type="dxa"/>
          <w:right w:w="60" w:type="dxa"/>
        </w:tblCellMar>
        <w:tblLook w:val="0000"/>
      </w:tblPr>
      <w:tblGrid>
        <w:gridCol w:w="2457"/>
        <w:gridCol w:w="1739"/>
        <w:gridCol w:w="1776"/>
        <w:gridCol w:w="1739"/>
        <w:gridCol w:w="931"/>
      </w:tblGrid>
      <w:tr w:rsidR="00125E46" w:rsidRPr="00903EFE" w:rsidTr="008273DA">
        <w:trPr>
          <w:cantSplit/>
          <w:trHeight w:val="735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25E46" w:rsidRPr="00954B4B" w:rsidRDefault="00125E46" w:rsidP="00E20D37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25E46" w:rsidRPr="00954B4B" w:rsidRDefault="00125E46" w:rsidP="00125E46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One apheresis</w:t>
            </w:r>
            <w:r w:rsidRPr="00954B4B">
              <w:rPr>
                <w:b/>
                <w:bCs/>
                <w:color w:val="000000"/>
              </w:rPr>
              <w:br/>
              <w:t>(n=220)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25E46" w:rsidRPr="00954B4B" w:rsidRDefault="00125E46" w:rsidP="00FF734A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 xml:space="preserve">Two </w:t>
            </w:r>
            <w:proofErr w:type="spellStart"/>
            <w:r w:rsidR="00FF734A" w:rsidRPr="00954B4B">
              <w:rPr>
                <w:b/>
                <w:bCs/>
                <w:color w:val="000000"/>
              </w:rPr>
              <w:t>aphereses</w:t>
            </w:r>
            <w:proofErr w:type="spellEnd"/>
            <w:r w:rsidRPr="00954B4B">
              <w:rPr>
                <w:b/>
                <w:bCs/>
                <w:color w:val="000000"/>
              </w:rPr>
              <w:br/>
              <w:t>(n=22)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25E46" w:rsidRPr="00954B4B" w:rsidRDefault="00125E46" w:rsidP="00125E46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Total</w:t>
            </w:r>
            <w:r w:rsidRPr="00954B4B">
              <w:rPr>
                <w:b/>
                <w:bCs/>
                <w:color w:val="000000"/>
              </w:rPr>
              <w:br/>
              <w:t>(n=242)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25E46" w:rsidRPr="00954B4B" w:rsidRDefault="00125E46" w:rsidP="00125E46">
            <w:pPr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p-value</w:t>
            </w:r>
          </w:p>
        </w:tc>
      </w:tr>
      <w:tr w:rsidR="00125E46" w:rsidRPr="00903EFE" w:rsidTr="008273DA">
        <w:trPr>
          <w:cantSplit/>
          <w:trHeight w:val="41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keepNext/>
              <w:adjustRightInd w:val="0"/>
              <w:spacing w:before="60" w:after="60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125E46" w:rsidRPr="00903EFE" w:rsidTr="008273DA">
        <w:trPr>
          <w:cantSplit/>
          <w:trHeight w:val="4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Physical health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125E46" w:rsidRPr="00903EFE" w:rsidTr="008273DA">
        <w:trPr>
          <w:cantSplit/>
          <w:trHeight w:val="4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ind w:left="567"/>
              <w:rPr>
                <w:color w:val="000000"/>
              </w:rPr>
            </w:pPr>
            <w:r w:rsidRPr="00954B4B">
              <w:rPr>
                <w:color w:val="000000"/>
              </w:rPr>
              <w:t>Mean</w:t>
            </w:r>
            <w:r w:rsidR="00903EFE">
              <w:rPr>
                <w:color w:val="000000"/>
              </w:rPr>
              <w:t xml:space="preserve">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55.2</w:t>
            </w:r>
            <w:r w:rsidR="00903EFE">
              <w:rPr>
                <w:color w:val="000000"/>
              </w:rPr>
              <w:t xml:space="preserve"> ± 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55.7</w:t>
            </w:r>
            <w:r w:rsidR="00903EFE">
              <w:rPr>
                <w:color w:val="000000"/>
              </w:rPr>
              <w:t xml:space="preserve"> 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55.3</w:t>
            </w:r>
            <w:r w:rsidR="00903EFE">
              <w:rPr>
                <w:color w:val="000000"/>
              </w:rPr>
              <w:t xml:space="preserve"> ± 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C36A7E" w:rsidP="00C36A7E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125E46" w:rsidRPr="00954B4B">
              <w:rPr>
                <w:color w:val="000000"/>
              </w:rPr>
              <w:t>0.682</w:t>
            </w:r>
          </w:p>
        </w:tc>
      </w:tr>
      <w:tr w:rsidR="00125E46" w:rsidRPr="00903EFE" w:rsidTr="008273DA">
        <w:trPr>
          <w:cantSplit/>
          <w:trHeight w:val="4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ind w:left="567"/>
              <w:rPr>
                <w:color w:val="000000"/>
              </w:rPr>
            </w:pPr>
            <w:r w:rsidRPr="00954B4B">
              <w:rPr>
                <w:color w:val="000000"/>
              </w:rPr>
              <w:t>Median</w:t>
            </w:r>
            <w:r w:rsidR="008273DA">
              <w:rPr>
                <w:color w:val="000000"/>
              </w:rPr>
              <w:t xml:space="preserve"> (</w:t>
            </w:r>
            <w:proofErr w:type="spellStart"/>
            <w:r w:rsidR="008273DA">
              <w:rPr>
                <w:color w:val="000000"/>
              </w:rPr>
              <w:t>IQR</w:t>
            </w:r>
            <w:proofErr w:type="spellEnd"/>
            <w:r w:rsidR="008273D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57.1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54.1</w:t>
            </w:r>
            <w:r w:rsidR="008273DA">
              <w:rPr>
                <w:color w:val="000000"/>
              </w:rPr>
              <w:t>/58.1)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55.9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54.3</w:t>
            </w:r>
            <w:r w:rsidR="008273DA">
              <w:rPr>
                <w:color w:val="000000"/>
              </w:rPr>
              <w:t>/57.1)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57.1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54.3</w:t>
            </w:r>
            <w:r w:rsidR="008273DA">
              <w:rPr>
                <w:color w:val="000000"/>
              </w:rPr>
              <w:t>/57.8)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125E46" w:rsidRPr="00903EFE" w:rsidTr="008273DA">
        <w:trPr>
          <w:cantSplit/>
          <w:trHeight w:val="427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keepNext/>
              <w:adjustRightInd w:val="0"/>
              <w:spacing w:before="60" w:after="60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125E46" w:rsidRPr="00903EFE" w:rsidTr="008273DA">
        <w:trPr>
          <w:cantSplit/>
          <w:trHeight w:val="4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954B4B">
              <w:rPr>
                <w:b/>
                <w:bCs/>
                <w:color w:val="000000"/>
              </w:rPr>
              <w:t>Mental health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125E46" w:rsidRPr="00903EFE" w:rsidTr="008273DA">
        <w:trPr>
          <w:cantSplit/>
          <w:trHeight w:val="439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ind w:left="567"/>
              <w:rPr>
                <w:color w:val="000000"/>
              </w:rPr>
            </w:pPr>
            <w:r w:rsidRPr="00954B4B">
              <w:rPr>
                <w:color w:val="000000"/>
              </w:rPr>
              <w:t>Mean</w:t>
            </w:r>
            <w:r w:rsidR="00903EFE">
              <w:rPr>
                <w:color w:val="000000"/>
              </w:rPr>
              <w:t xml:space="preserve"> ± SD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54.9</w:t>
            </w:r>
            <w:r w:rsidR="00903EFE">
              <w:rPr>
                <w:color w:val="000000"/>
              </w:rPr>
              <w:t xml:space="preserve"> ± 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54.0</w:t>
            </w:r>
            <w:r w:rsidR="00903EFE">
              <w:rPr>
                <w:color w:val="000000"/>
              </w:rPr>
              <w:t xml:space="preserve"> ± 5.5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54.8</w:t>
            </w:r>
            <w:r w:rsidR="00903EFE">
              <w:rPr>
                <w:color w:val="000000"/>
              </w:rPr>
              <w:t xml:space="preserve"> ± 6.5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125E46" w:rsidRPr="00954B4B" w:rsidRDefault="00C36A7E" w:rsidP="00C36A7E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 xml:space="preserve">   </w:t>
            </w:r>
            <w:r w:rsidR="00125E46" w:rsidRPr="00954B4B">
              <w:rPr>
                <w:color w:val="000000"/>
              </w:rPr>
              <w:t>0.628</w:t>
            </w:r>
          </w:p>
        </w:tc>
      </w:tr>
      <w:tr w:rsidR="00125E46" w:rsidRPr="00903EFE" w:rsidTr="008273DA">
        <w:trPr>
          <w:cantSplit/>
          <w:trHeight w:val="43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ind w:left="567"/>
              <w:rPr>
                <w:color w:val="000000"/>
              </w:rPr>
            </w:pPr>
            <w:r w:rsidRPr="00954B4B">
              <w:rPr>
                <w:color w:val="000000"/>
              </w:rPr>
              <w:t>Median</w:t>
            </w:r>
            <w:r w:rsidR="008273DA">
              <w:rPr>
                <w:color w:val="000000"/>
              </w:rPr>
              <w:t xml:space="preserve"> (</w:t>
            </w:r>
            <w:proofErr w:type="spellStart"/>
            <w:r w:rsidR="008273DA">
              <w:rPr>
                <w:color w:val="000000"/>
              </w:rPr>
              <w:t>IQR</w:t>
            </w:r>
            <w:proofErr w:type="spellEnd"/>
            <w:r w:rsidR="008273DA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57.4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53.0</w:t>
            </w:r>
            <w:r w:rsidR="008273DA">
              <w:rPr>
                <w:color w:val="000000"/>
              </w:rPr>
              <w:t>/58.2)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57.4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52.4</w:t>
            </w:r>
            <w:r w:rsidR="008273DA">
              <w:rPr>
                <w:color w:val="000000"/>
              </w:rPr>
              <w:t>/57.5)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54B4B">
              <w:rPr>
                <w:color w:val="000000"/>
              </w:rPr>
              <w:t>57.4</w:t>
            </w:r>
            <w:r w:rsidR="008273DA">
              <w:rPr>
                <w:color w:val="000000"/>
              </w:rPr>
              <w:t xml:space="preserve"> (</w:t>
            </w:r>
            <w:r w:rsidR="008273DA" w:rsidRPr="00954B4B">
              <w:rPr>
                <w:color w:val="000000"/>
              </w:rPr>
              <w:t>52.9</w:t>
            </w:r>
            <w:r w:rsidR="008273DA">
              <w:rPr>
                <w:color w:val="000000"/>
              </w:rPr>
              <w:t>/58.1)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5E46" w:rsidRPr="00954B4B" w:rsidRDefault="00125E46" w:rsidP="00E20D37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125E46" w:rsidRDefault="00125E46" w:rsidP="00274A07">
      <w:pPr>
        <w:spacing w:line="360" w:lineRule="auto"/>
        <w:rPr>
          <w:b/>
        </w:rPr>
      </w:pPr>
    </w:p>
    <w:p w:rsidR="00125E46" w:rsidRDefault="00125E46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0D37" w:rsidRDefault="00E20D37" w:rsidP="00274A07">
      <w:pPr>
        <w:spacing w:line="360" w:lineRule="auto"/>
        <w:rPr>
          <w:b/>
        </w:rPr>
      </w:pPr>
    </w:p>
    <w:p w:rsidR="00E262C7" w:rsidRDefault="00E262C7" w:rsidP="00274A07">
      <w:pPr>
        <w:spacing w:line="360" w:lineRule="auto"/>
        <w:rPr>
          <w:b/>
        </w:rPr>
      </w:pPr>
    </w:p>
    <w:p w:rsidR="00954B4B" w:rsidRDefault="00954B4B" w:rsidP="00274A07">
      <w:pPr>
        <w:spacing w:line="360" w:lineRule="auto"/>
        <w:rPr>
          <w:b/>
        </w:rPr>
      </w:pPr>
    </w:p>
    <w:p w:rsidR="00954B4B" w:rsidRDefault="00954B4B" w:rsidP="00274A07">
      <w:pPr>
        <w:spacing w:line="360" w:lineRule="auto"/>
        <w:rPr>
          <w:b/>
        </w:rPr>
      </w:pPr>
    </w:p>
    <w:p w:rsidR="002740D5" w:rsidRPr="00E7291C" w:rsidRDefault="002740D5" w:rsidP="00274A07">
      <w:pPr>
        <w:spacing w:line="360" w:lineRule="auto"/>
        <w:rPr>
          <w:b/>
        </w:rPr>
      </w:pPr>
      <w:r w:rsidRPr="00E7291C">
        <w:rPr>
          <w:b/>
        </w:rPr>
        <w:t>Literature</w:t>
      </w:r>
    </w:p>
    <w:p w:rsidR="002740D5" w:rsidRDefault="002740D5" w:rsidP="00274A07">
      <w:pPr>
        <w:spacing w:line="360" w:lineRule="auto"/>
      </w:pPr>
    </w:p>
    <w:p w:rsidR="00954B4B" w:rsidRPr="00954B4B" w:rsidRDefault="005A7C72" w:rsidP="00954B4B">
      <w:pPr>
        <w:pStyle w:val="EndNoteBibliography"/>
        <w:spacing w:after="0"/>
      </w:pPr>
      <w:r>
        <w:fldChar w:fldCharType="begin"/>
      </w:r>
      <w:r w:rsidR="002740D5">
        <w:instrText xml:space="preserve"> ADDIN EN.REFLIST </w:instrText>
      </w:r>
      <w:r>
        <w:fldChar w:fldCharType="separate"/>
      </w:r>
      <w:r w:rsidR="00954B4B" w:rsidRPr="00954B4B">
        <w:t>1.</w:t>
      </w:r>
      <w:r w:rsidR="00954B4B" w:rsidRPr="00954B4B">
        <w:tab/>
        <w:t xml:space="preserve">Becker P, Schwebig A, Brauninger S, et al. Healthy donor hematopoietic stem cell mobilization with biosimilar granulocyte-colony-stimulating factor: safety, efficacy, and graft performance. </w:t>
      </w:r>
      <w:r w:rsidR="00954B4B" w:rsidRPr="00954B4B">
        <w:rPr>
          <w:i/>
        </w:rPr>
        <w:t>Transfusion</w:t>
      </w:r>
      <w:r w:rsidR="00954B4B" w:rsidRPr="00954B4B">
        <w:t>. 2016;56(12):3055-3064.</w:t>
      </w:r>
    </w:p>
    <w:p w:rsidR="00954B4B" w:rsidRPr="00954B4B" w:rsidRDefault="00954B4B" w:rsidP="00954B4B">
      <w:pPr>
        <w:pStyle w:val="EndNoteBibliography"/>
        <w:spacing w:after="0"/>
      </w:pPr>
      <w:r w:rsidRPr="00954B4B">
        <w:t>2.</w:t>
      </w:r>
      <w:r w:rsidRPr="00954B4B">
        <w:tab/>
        <w:t>National Medical Council. [Guidelines for collection of blood and blood components and for the application of blood products (hemotherapy)]. Köln (Germany): Deutscher Ärzteverlag; 2008.</w:t>
      </w:r>
    </w:p>
    <w:p w:rsidR="00954B4B" w:rsidRPr="00954B4B" w:rsidRDefault="00954B4B" w:rsidP="00954B4B">
      <w:pPr>
        <w:pStyle w:val="EndNoteBibliography"/>
        <w:spacing w:after="0"/>
      </w:pPr>
      <w:r w:rsidRPr="00954B4B">
        <w:t>3.</w:t>
      </w:r>
      <w:r w:rsidRPr="00954B4B">
        <w:tab/>
        <w:t xml:space="preserve">Dauber K, Becker D, Odendahl M, Seifried E, Bonig H, Tonn T. Enumeration of viable CD34(+) cells by flow cytometry in blood, bone marrow and cord blood: results of a study of the novel BD stem cell enumeration kit. </w:t>
      </w:r>
      <w:r w:rsidRPr="00954B4B">
        <w:rPr>
          <w:i/>
        </w:rPr>
        <w:t>Cytotherapy</w:t>
      </w:r>
      <w:r w:rsidRPr="00954B4B">
        <w:t>. 2011;13(4):449-458.</w:t>
      </w:r>
    </w:p>
    <w:p w:rsidR="00954B4B" w:rsidRPr="00954B4B" w:rsidRDefault="00954B4B" w:rsidP="00954B4B">
      <w:pPr>
        <w:pStyle w:val="EndNoteBibliography"/>
      </w:pPr>
      <w:r w:rsidRPr="00954B4B">
        <w:t>4.</w:t>
      </w:r>
      <w:r w:rsidRPr="00954B4B">
        <w:tab/>
      </w:r>
      <w:hyperlink r:id="rId9" w:history="1">
        <w:r w:rsidRPr="00954B4B">
          <w:rPr>
            <w:rStyle w:val="Hyperlink"/>
          </w:rPr>
          <w:t>https://www.krebsdaten.de/Krebs/EN/Home/homepage_node.html</w:t>
        </w:r>
      </w:hyperlink>
      <w:r w:rsidRPr="00954B4B">
        <w:t>; Accessed 19 March 2021.</w:t>
      </w:r>
    </w:p>
    <w:p w:rsidR="00274A07" w:rsidRPr="00F31F85" w:rsidRDefault="005A7C72" w:rsidP="00274A07">
      <w:pPr>
        <w:spacing w:line="360" w:lineRule="auto"/>
      </w:pPr>
      <w:r>
        <w:fldChar w:fldCharType="end"/>
      </w:r>
    </w:p>
    <w:sectPr w:rsidR="00274A07" w:rsidRPr="00F31F85" w:rsidSect="00C4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00361A" w16cex:dateUtc="2021-04-26T20:01:49.7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65252E" w16cid:durableId="09685D58"/>
  <w16cid:commentId w16cid:paraId="71F48860" w16cid:durableId="710036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BA" w:rsidRDefault="00266BBA" w:rsidP="00E55E43">
      <w:pPr>
        <w:spacing w:after="0" w:line="240" w:lineRule="auto"/>
      </w:pPr>
      <w:r>
        <w:separator/>
      </w:r>
    </w:p>
  </w:endnote>
  <w:endnote w:type="continuationSeparator" w:id="0">
    <w:p w:rsidR="00266BBA" w:rsidRDefault="00266BBA" w:rsidP="00E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BA" w:rsidRDefault="00266BBA" w:rsidP="00E55E43">
      <w:pPr>
        <w:spacing w:after="0" w:line="240" w:lineRule="auto"/>
      </w:pPr>
      <w:r>
        <w:separator/>
      </w:r>
    </w:p>
  </w:footnote>
  <w:footnote w:type="continuationSeparator" w:id="0">
    <w:p w:rsidR="00266BBA" w:rsidRDefault="00266BBA" w:rsidP="00E5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0ft5wv8tt00ie9wpgpzv05p2dda0rr2dxr&quot;&gt;My EndNote Library-Converted&lt;record-ids&gt;&lt;item&gt;80&lt;/item&gt;&lt;item&gt;81&lt;/item&gt;&lt;item&gt;82&lt;/item&gt;&lt;item&gt;93&lt;/item&gt;&lt;/record-ids&gt;&lt;/item&gt;&lt;/Libraries&gt;"/>
  </w:docVars>
  <w:rsids>
    <w:rsidRoot w:val="00274A07"/>
    <w:rsid w:val="00021462"/>
    <w:rsid w:val="00051D96"/>
    <w:rsid w:val="00056786"/>
    <w:rsid w:val="000B40FE"/>
    <w:rsid w:val="000C25D8"/>
    <w:rsid w:val="000F75CA"/>
    <w:rsid w:val="00117231"/>
    <w:rsid w:val="00125E46"/>
    <w:rsid w:val="00160F63"/>
    <w:rsid w:val="001B7EF3"/>
    <w:rsid w:val="001D7FC4"/>
    <w:rsid w:val="002134A6"/>
    <w:rsid w:val="002171C8"/>
    <w:rsid w:val="00266BBA"/>
    <w:rsid w:val="002740D5"/>
    <w:rsid w:val="00274A07"/>
    <w:rsid w:val="00294C1D"/>
    <w:rsid w:val="00297452"/>
    <w:rsid w:val="002E03B5"/>
    <w:rsid w:val="002E5898"/>
    <w:rsid w:val="003453B2"/>
    <w:rsid w:val="003A1D29"/>
    <w:rsid w:val="004919EB"/>
    <w:rsid w:val="004A6A9A"/>
    <w:rsid w:val="004D0E76"/>
    <w:rsid w:val="004F7016"/>
    <w:rsid w:val="005007C2"/>
    <w:rsid w:val="00527AD0"/>
    <w:rsid w:val="005A7C72"/>
    <w:rsid w:val="005C15F7"/>
    <w:rsid w:val="00605A3A"/>
    <w:rsid w:val="006F005C"/>
    <w:rsid w:val="007032A6"/>
    <w:rsid w:val="007355CC"/>
    <w:rsid w:val="00743633"/>
    <w:rsid w:val="007616BC"/>
    <w:rsid w:val="007A1979"/>
    <w:rsid w:val="00801C9A"/>
    <w:rsid w:val="008273DA"/>
    <w:rsid w:val="008A2515"/>
    <w:rsid w:val="008F3294"/>
    <w:rsid w:val="00903EFE"/>
    <w:rsid w:val="00930010"/>
    <w:rsid w:val="00950408"/>
    <w:rsid w:val="00954B4B"/>
    <w:rsid w:val="00981FC9"/>
    <w:rsid w:val="009900DC"/>
    <w:rsid w:val="00991356"/>
    <w:rsid w:val="00A04DBE"/>
    <w:rsid w:val="00A5414F"/>
    <w:rsid w:val="00A76708"/>
    <w:rsid w:val="00A77C47"/>
    <w:rsid w:val="00AA0149"/>
    <w:rsid w:val="00AA3320"/>
    <w:rsid w:val="00AA6AEE"/>
    <w:rsid w:val="00AB3E3B"/>
    <w:rsid w:val="00AD4FD6"/>
    <w:rsid w:val="00B43683"/>
    <w:rsid w:val="00B43698"/>
    <w:rsid w:val="00B93FF5"/>
    <w:rsid w:val="00BD1556"/>
    <w:rsid w:val="00BE3EE8"/>
    <w:rsid w:val="00C12250"/>
    <w:rsid w:val="00C36A7E"/>
    <w:rsid w:val="00C41C99"/>
    <w:rsid w:val="00C46C95"/>
    <w:rsid w:val="00C85E86"/>
    <w:rsid w:val="00D610AA"/>
    <w:rsid w:val="00DE22AF"/>
    <w:rsid w:val="00E20D37"/>
    <w:rsid w:val="00E24501"/>
    <w:rsid w:val="00E262C7"/>
    <w:rsid w:val="00E55E43"/>
    <w:rsid w:val="00E7291C"/>
    <w:rsid w:val="00EA2E0D"/>
    <w:rsid w:val="00F31F85"/>
    <w:rsid w:val="00F379CE"/>
    <w:rsid w:val="00FA163E"/>
    <w:rsid w:val="00FF5FC9"/>
    <w:rsid w:val="00FF734A"/>
    <w:rsid w:val="03E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740D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40D5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2740D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40D5"/>
    <w:rPr>
      <w:noProof/>
    </w:rPr>
  </w:style>
  <w:style w:type="paragraph" w:customStyle="1" w:styleId="Table">
    <w:name w:val="Table"/>
    <w:basedOn w:val="Normal"/>
    <w:link w:val="TableChar"/>
    <w:uiPriority w:val="99"/>
    <w:rsid w:val="00DE22AF"/>
    <w:pPr>
      <w:keepLines/>
      <w:tabs>
        <w:tab w:val="left" w:pos="284"/>
      </w:tabs>
      <w:spacing w:before="40" w:after="20" w:line="240" w:lineRule="auto"/>
    </w:pPr>
    <w:rPr>
      <w:rFonts w:eastAsia="MS Mincho" w:cs="Times New Roman"/>
      <w:szCs w:val="24"/>
      <w:lang w:eastAsia="ja-JP"/>
    </w:rPr>
  </w:style>
  <w:style w:type="paragraph" w:customStyle="1" w:styleId="Legend">
    <w:name w:val="Legend"/>
    <w:basedOn w:val="Table"/>
    <w:link w:val="LegendChar"/>
    <w:rsid w:val="00DE22AF"/>
  </w:style>
  <w:style w:type="character" w:customStyle="1" w:styleId="TableChar">
    <w:name w:val="Table Char"/>
    <w:link w:val="Table"/>
    <w:uiPriority w:val="99"/>
    <w:rsid w:val="00DE22AF"/>
    <w:rPr>
      <w:rFonts w:eastAsia="MS Mincho" w:cs="Times New Roman"/>
      <w:szCs w:val="24"/>
      <w:lang w:eastAsia="ja-JP"/>
    </w:rPr>
  </w:style>
  <w:style w:type="character" w:customStyle="1" w:styleId="LegendChar">
    <w:name w:val="Legend Char"/>
    <w:link w:val="Legend"/>
    <w:rsid w:val="00DE22AF"/>
    <w:rPr>
      <w:rFonts w:eastAsia="MS Mincho" w:cs="Times New Roman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17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F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F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9c5733a6d8e54ed1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c9718275ed7d47d2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www.krebsdaten.de/Krebs/EN/Home/homepage_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43D08C580F7429A12405FD19B07ED" ma:contentTypeVersion="12" ma:contentTypeDescription="Create a new document." ma:contentTypeScope="" ma:versionID="bdad5aa982e3e9fdff917fe8b1ba9c56">
  <xsd:schema xmlns:xsd="http://www.w3.org/2001/XMLSchema" xmlns:xs="http://www.w3.org/2001/XMLSchema" xmlns:p="http://schemas.microsoft.com/office/2006/metadata/properties" xmlns:ns3="5bf175ce-7895-4909-8350-1a70e2faa2e6" xmlns:ns4="2a8c7aa7-dcdf-4bfc-93c7-d569d983da98" targetNamespace="http://schemas.microsoft.com/office/2006/metadata/properties" ma:root="true" ma:fieldsID="b698cfb4037e66188dc3c98ff89e9f17" ns3:_="" ns4:_="">
    <xsd:import namespace="5bf175ce-7895-4909-8350-1a70e2faa2e6"/>
    <xsd:import namespace="2a8c7aa7-dcdf-4bfc-93c7-d569d983d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175ce-7895-4909-8350-1a70e2faa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c7aa7-dcdf-4bfc-93c7-d569d983d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E49EA-0FCC-44F9-98DD-D708DD18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175ce-7895-4909-8350-1a70e2faa2e6"/>
    <ds:schemaRef ds:uri="2a8c7aa7-dcdf-4bfc-93c7-d569d983d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42BE2-E647-4260-9D08-8C50F9E15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20FFD-103F-4429-A5AC-7677A7FA4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Heyn, Jens</dc:creator>
  <cp:lastModifiedBy>0007207</cp:lastModifiedBy>
  <cp:revision>5</cp:revision>
  <dcterms:created xsi:type="dcterms:W3CDTF">2021-05-04T10:12:00Z</dcterms:created>
  <dcterms:modified xsi:type="dcterms:W3CDTF">2022-03-03T13:07:00Z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2021-03-16T11:41:29Z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1cca0530-ae76-4e0d-8dcd-eea95f12b245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0x01010024543D08C580F7429A12405FD19B07ED</vt:lpwstr>
  </property>
</Properties>
</file>