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9"/>
        <w:gridCol w:w="1980"/>
        <w:gridCol w:w="2126"/>
        <w:gridCol w:w="981"/>
      </w:tblGrid>
      <w:tr w:rsidR="00010D5B" w:rsidRPr="00755F3C" w:rsidTr="00E7239D"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 Number of patients*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Dose ≤ 10.5 Gy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Dose &gt; 10.5 Gy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</w:t>
            </w:r>
          </w:p>
        </w:tc>
      </w:tr>
      <w:tr w:rsidR="00010D5B" w:rsidRPr="00755F3C" w:rsidTr="00E7239D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Relapse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166 (69.7%)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72 (30.3%)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(40.4%)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(40.3%)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99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(59.6%)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43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(59.7%)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0.990</w:t>
            </w: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Secondary Malignancy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63374B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206 (86.6%)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 (13.4%)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79 (38.3%)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 (53.1%)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127 (61.7%) 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15 (46.9%)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0.184</w:t>
            </w:r>
          </w:p>
        </w:tc>
      </w:tr>
      <w:tr w:rsidR="00010D5B" w:rsidRPr="0063374B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Cardiac Disease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63374B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215 (90.3%)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 (9.7%)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84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(39.1%)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(52.2%)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131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(60.9%)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(47.8%)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0.225</w:t>
            </w:r>
          </w:p>
        </w:tc>
      </w:tr>
      <w:tr w:rsidR="00010D5B" w:rsidRPr="0063374B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Pulmonary Disease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208 (87.4%)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30 (12.6%)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76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(36.5%)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(66.7%)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132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(63.5%)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(33.3%)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/>
                <w:sz w:val="16"/>
                <w:szCs w:val="16"/>
                <w:lang w:val="en-US"/>
              </w:rPr>
              <w:t>0.002</w:t>
            </w: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Hepatic Disease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237 (99.6%)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 (0.4%)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95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(40.1%))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(100%)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142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(59.9%)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0.225</w:t>
            </w: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Renal Damage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No 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163 (68.5%)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75 (31.5%)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55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(33.7%)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41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(54.7%)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108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(66.3%)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34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(45.3%)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/>
                <w:sz w:val="16"/>
                <w:szCs w:val="16"/>
                <w:lang w:val="en-US"/>
              </w:rPr>
              <w:t>0.002</w:t>
            </w: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Endocrine Disorders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206 (86.6%)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32 (13.4%)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81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(39.3%)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15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(46.9%)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125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(60.7%)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17 (53.1%)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0.420</w:t>
            </w: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Cataract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216 (90.8)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22 (9.2%)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86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(39.8%)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(45.5%)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130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(60.2%)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(54.5%)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0.609</w:t>
            </w: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Acute Toxicity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shd w:val="clear" w:color="auto" w:fill="C6D9F1" w:themeFill="text2" w:themeFillTint="33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010D5B" w:rsidRPr="00755F3C" w:rsidTr="00E7239D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10D5B" w:rsidRPr="00016DB6" w:rsidRDefault="00010D5B" w:rsidP="00E7239D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No</w:t>
            </w:r>
          </w:p>
          <w:p w:rsidR="00010D5B" w:rsidRPr="00755F3C" w:rsidRDefault="00010D5B" w:rsidP="00E7239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6DB6">
              <w:rPr>
                <w:rFonts w:ascii="Arial" w:hAnsi="Arial" w:cs="Arial"/>
                <w:bCs/>
                <w:sz w:val="16"/>
                <w:szCs w:val="16"/>
                <w:lang w:val="en-US"/>
              </w:rPr>
              <w:t>Yes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010D5B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162 (68.1%)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76 (31.9%)</w:t>
            </w:r>
          </w:p>
        </w:tc>
        <w:tc>
          <w:tcPr>
            <w:tcW w:w="1980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64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(39.5%)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(42.1%)</w:t>
            </w:r>
          </w:p>
        </w:tc>
        <w:tc>
          <w:tcPr>
            <w:tcW w:w="2126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98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(60.5%)</w:t>
            </w:r>
          </w:p>
          <w:p w:rsidR="00010D5B" w:rsidRPr="00E907C0" w:rsidRDefault="00010D5B" w:rsidP="00E7239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44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(57.9%)</w:t>
            </w:r>
          </w:p>
        </w:tc>
        <w:tc>
          <w:tcPr>
            <w:tcW w:w="981" w:type="dxa"/>
            <w:vAlign w:val="center"/>
          </w:tcPr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010D5B" w:rsidRPr="00E907C0" w:rsidRDefault="00010D5B" w:rsidP="00E7239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907C0">
              <w:rPr>
                <w:rFonts w:ascii="Arial" w:hAnsi="Arial" w:cs="Arial"/>
                <w:bCs/>
                <w:sz w:val="16"/>
                <w:szCs w:val="16"/>
                <w:lang w:val="en-US"/>
              </w:rPr>
              <w:t>0.705</w:t>
            </w:r>
          </w:p>
        </w:tc>
      </w:tr>
    </w:tbl>
    <w:p w:rsidR="00176342" w:rsidRDefault="00010D5B">
      <w:bookmarkStart w:id="0" w:name="_GoBack"/>
      <w:bookmarkEnd w:id="0"/>
    </w:p>
    <w:sectPr w:rsidR="001763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5B"/>
    <w:rsid w:val="00010D5B"/>
    <w:rsid w:val="00391C74"/>
    <w:rsid w:val="00496392"/>
    <w:rsid w:val="005E6F70"/>
    <w:rsid w:val="00D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1F76-7B05-4C8F-8581-8D259AA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D5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0D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Company>KGU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Fleischmann, Maximilian</dc:creator>
  <cp:keywords/>
  <dc:description/>
  <cp:lastModifiedBy>Fleischmann, Maximilian</cp:lastModifiedBy>
  <cp:revision>1</cp:revision>
  <dcterms:created xsi:type="dcterms:W3CDTF">2021-11-07T12:26:00Z</dcterms:created>
  <dcterms:modified xsi:type="dcterms:W3CDTF">2021-11-07T12:27:00Z</dcterms:modified>
</cp:coreProperties>
</file>