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BE" w:rsidRDefault="006939BE" w:rsidP="006939BE">
      <w:pPr>
        <w:autoSpaceDE w:val="0"/>
        <w:autoSpaceDN w:val="0"/>
        <w:adjustRightInd w:val="0"/>
        <w:spacing w:after="0" w:line="240" w:lineRule="auto"/>
        <w:rPr>
          <w:rFonts w:ascii="AdvTimes-b" w:eastAsia="Calibri" w:hAnsi="AdvTimes-b" w:cs="AdvTimes-b"/>
          <w:sz w:val="19"/>
          <w:szCs w:val="19"/>
          <w:lang w:val="de-DE"/>
        </w:rPr>
        <w:sectPr w:rsidR="006939BE" w:rsidSect="006939BE">
          <w:pgSz w:w="11906" w:h="16838"/>
          <w:pgMar w:top="1418" w:right="1418" w:bottom="1134" w:left="1418" w:header="709" w:footer="709" w:gutter="0"/>
          <w:cols w:space="708"/>
          <w:docGrid w:linePitch="360"/>
        </w:sectPr>
      </w:pPr>
      <w:r w:rsidRPr="00B51753">
        <w:rPr>
          <w:rFonts w:ascii="AdvTimes-b" w:eastAsia="Calibri" w:hAnsi="AdvTimes-b" w:cs="AdvTimes-b"/>
          <w:sz w:val="19"/>
          <w:szCs w:val="19"/>
        </w:rPr>
        <w:br w:type="column"/>
      </w:r>
      <w:r>
        <w:rPr>
          <w:rFonts w:ascii="AdvTimes-b" w:eastAsia="Calibri" w:hAnsi="AdvTimes-b" w:cs="AdvTimes-b"/>
          <w:noProof/>
          <w:sz w:val="19"/>
          <w:szCs w:val="19"/>
        </w:rPr>
        <w:lastRenderedPageBreak/>
        <w:drawing>
          <wp:inline distT="0" distB="0" distL="0" distR="0">
            <wp:extent cx="5762625" cy="503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5038725"/>
                    </a:xfrm>
                    <a:prstGeom prst="rect">
                      <a:avLst/>
                    </a:prstGeom>
                    <a:noFill/>
                    <a:ln>
                      <a:noFill/>
                    </a:ln>
                  </pic:spPr>
                </pic:pic>
              </a:graphicData>
            </a:graphic>
          </wp:inline>
        </w:drawing>
      </w:r>
    </w:p>
    <w:p w:rsidR="006939BE" w:rsidRPr="0096093A" w:rsidRDefault="006939BE" w:rsidP="006939BE">
      <w:pPr>
        <w:spacing w:after="160" w:line="240" w:lineRule="auto"/>
        <w:jc w:val="both"/>
        <w:rPr>
          <w:rFonts w:eastAsia="Calibri" w:cs="Calibri"/>
          <w:sz w:val="20"/>
          <w:szCs w:val="20"/>
        </w:rPr>
      </w:pPr>
      <w:r w:rsidRPr="00B51753">
        <w:rPr>
          <w:rFonts w:eastAsia="Calibri" w:cs="Calibri"/>
          <w:b/>
          <w:sz w:val="20"/>
          <w:szCs w:val="20"/>
        </w:rPr>
        <w:t xml:space="preserve">Fig. </w:t>
      </w:r>
      <w:r>
        <w:rPr>
          <w:rFonts w:eastAsia="Calibri" w:cs="Calibri"/>
          <w:b/>
          <w:sz w:val="20"/>
          <w:szCs w:val="20"/>
        </w:rPr>
        <w:t>S</w:t>
      </w:r>
      <w:r w:rsidRPr="00B51753">
        <w:rPr>
          <w:rFonts w:eastAsia="Calibri" w:cs="Calibri"/>
          <w:b/>
          <w:sz w:val="20"/>
          <w:szCs w:val="20"/>
        </w:rPr>
        <w:t xml:space="preserve">1 </w:t>
      </w:r>
      <w:r w:rsidRPr="00B51753">
        <w:rPr>
          <w:rFonts w:eastAsia="Calibri" w:cs="Calibri"/>
          <w:sz w:val="20"/>
          <w:szCs w:val="20"/>
        </w:rPr>
        <w:t xml:space="preserve">Oxidative inactivation and reactivation of MptpA. </w:t>
      </w:r>
      <w:r w:rsidRPr="00B51753">
        <w:rPr>
          <w:rFonts w:eastAsia="Calibri" w:cs="Calibri"/>
          <w:b/>
          <w:sz w:val="20"/>
          <w:szCs w:val="20"/>
        </w:rPr>
        <w:t>A</w:t>
      </w:r>
      <w:r w:rsidRPr="00B51753">
        <w:rPr>
          <w:rFonts w:eastAsia="Calibri" w:cs="Calibri"/>
          <w:sz w:val="20"/>
          <w:szCs w:val="20"/>
        </w:rPr>
        <w:t xml:space="preserve">, Dephosphorylation reaction of </w:t>
      </w:r>
      <w:r w:rsidRPr="00B51753">
        <w:rPr>
          <w:rFonts w:eastAsia="Calibri" w:cs="Calibri"/>
          <w:i/>
          <w:sz w:val="20"/>
          <w:szCs w:val="20"/>
        </w:rPr>
        <w:t>p</w:t>
      </w:r>
      <w:r w:rsidRPr="00B51753">
        <w:rPr>
          <w:rFonts w:eastAsia="Calibri" w:cs="Calibri"/>
          <w:sz w:val="20"/>
          <w:szCs w:val="20"/>
        </w:rPr>
        <w:t>-nitrophenyl phosphate (</w:t>
      </w:r>
      <w:r w:rsidRPr="00B51753">
        <w:rPr>
          <w:rFonts w:eastAsia="Calibri" w:cs="Calibri"/>
          <w:i/>
          <w:sz w:val="20"/>
          <w:szCs w:val="20"/>
        </w:rPr>
        <w:t>p</w:t>
      </w:r>
      <w:r w:rsidRPr="00B51753">
        <w:rPr>
          <w:rFonts w:eastAsia="Calibri" w:cs="Calibri"/>
          <w:sz w:val="20"/>
          <w:szCs w:val="20"/>
        </w:rPr>
        <w:t xml:space="preserve">NPP) to </w:t>
      </w:r>
      <w:r w:rsidRPr="00B51753">
        <w:rPr>
          <w:rFonts w:eastAsia="Calibri" w:cs="Calibri"/>
          <w:i/>
          <w:sz w:val="20"/>
          <w:szCs w:val="20"/>
        </w:rPr>
        <w:t>p</w:t>
      </w:r>
      <w:r w:rsidRPr="00B51753">
        <w:rPr>
          <w:rFonts w:eastAsia="Calibri" w:cs="Calibri"/>
          <w:sz w:val="20"/>
          <w:szCs w:val="20"/>
        </w:rPr>
        <w:t xml:space="preserve">-nitrophenolate a chromogenic product with absorbance at 405 nm. </w:t>
      </w:r>
      <w:r w:rsidRPr="00B51753">
        <w:rPr>
          <w:rFonts w:eastAsia="Calibri" w:cs="Calibri"/>
          <w:b/>
          <w:sz w:val="20"/>
          <w:szCs w:val="20"/>
        </w:rPr>
        <w:t>B</w:t>
      </w:r>
      <w:r w:rsidRPr="00B51753">
        <w:rPr>
          <w:rFonts w:eastAsia="Calibri" w:cs="Calibri"/>
          <w:sz w:val="20"/>
          <w:szCs w:val="20"/>
        </w:rPr>
        <w:t>, Continuous Assay of H</w:t>
      </w:r>
      <w:r w:rsidRPr="00B51753">
        <w:rPr>
          <w:rFonts w:eastAsia="Calibri" w:cs="Calibri"/>
          <w:sz w:val="20"/>
          <w:szCs w:val="20"/>
          <w:vertAlign w:val="subscript"/>
        </w:rPr>
        <w:t>2</w:t>
      </w:r>
      <w:r w:rsidRPr="00B51753">
        <w:rPr>
          <w:rFonts w:eastAsia="Calibri" w:cs="Calibri"/>
          <w:sz w:val="20"/>
          <w:szCs w:val="20"/>
        </w:rPr>
        <w:t>O</w:t>
      </w:r>
      <w:r w:rsidRPr="00B51753">
        <w:rPr>
          <w:rFonts w:eastAsia="Calibri" w:cs="Calibri"/>
          <w:sz w:val="20"/>
          <w:szCs w:val="20"/>
          <w:vertAlign w:val="subscript"/>
        </w:rPr>
        <w:t>2</w:t>
      </w:r>
      <w:r w:rsidRPr="00B51753">
        <w:rPr>
          <w:rFonts w:eastAsia="Calibri" w:cs="Calibri"/>
          <w:sz w:val="20"/>
          <w:szCs w:val="20"/>
        </w:rPr>
        <w:t>-mediated (30 mM) inactivation and DTT-induced (60 mM) reactivation of MptpA. Thiol-free MptpA (3</w:t>
      </w:r>
      <w:r>
        <w:rPr>
          <w:rFonts w:eastAsia="Calibri" w:cs="Calibri"/>
          <w:sz w:val="20"/>
          <w:szCs w:val="20"/>
        </w:rPr>
        <w:t> </w:t>
      </w:r>
      <w:r w:rsidRPr="00B51753">
        <w:rPr>
          <w:rFonts w:eastAsia="Calibri" w:cs="Calibri"/>
          <w:sz w:val="20"/>
          <w:szCs w:val="20"/>
        </w:rPr>
        <w:t xml:space="preserve">µM) was added to a solution of assay-buffer (25 mM Tris/HCl, pH 8.0) containing the substrate </w:t>
      </w:r>
      <w:r w:rsidRPr="00B51753">
        <w:rPr>
          <w:rFonts w:eastAsia="Calibri" w:cs="Calibri"/>
          <w:i/>
          <w:sz w:val="20"/>
          <w:szCs w:val="20"/>
        </w:rPr>
        <w:t>p</w:t>
      </w:r>
      <w:r w:rsidRPr="00B51753">
        <w:rPr>
          <w:rFonts w:eastAsia="Calibri" w:cs="Calibri"/>
          <w:sz w:val="20"/>
          <w:szCs w:val="20"/>
        </w:rPr>
        <w:t>-nitrophenyl phosphate (</w:t>
      </w:r>
      <w:r w:rsidRPr="00B51753">
        <w:rPr>
          <w:rFonts w:eastAsia="Calibri" w:cs="Calibri"/>
          <w:i/>
          <w:sz w:val="20"/>
          <w:szCs w:val="20"/>
        </w:rPr>
        <w:t>p</w:t>
      </w:r>
      <w:r w:rsidRPr="00B51753">
        <w:rPr>
          <w:rFonts w:eastAsia="Calibri" w:cs="Calibri"/>
          <w:sz w:val="20"/>
          <w:szCs w:val="20"/>
        </w:rPr>
        <w:t xml:space="preserve">NPP, 1 mM) at 25 °C. After nearly complete inactivation of the enzyme was achieved, solution of DTT in water was added (final concentration 60 mM). The experiment was conducted in a quartz cuvette and enzyme activity was measured by monitoring the enzyme-catalyzed release of </w:t>
      </w:r>
      <w:r w:rsidRPr="00C01D23">
        <w:rPr>
          <w:rFonts w:eastAsia="Calibri" w:cs="Calibri"/>
          <w:i/>
          <w:sz w:val="20"/>
          <w:szCs w:val="20"/>
        </w:rPr>
        <w:t>p</w:t>
      </w:r>
      <w:r w:rsidRPr="00B51753">
        <w:rPr>
          <w:rFonts w:eastAsia="Calibri" w:cs="Calibri"/>
          <w:sz w:val="20"/>
          <w:szCs w:val="20"/>
        </w:rPr>
        <w:t xml:space="preserve">-nitrophenolate ion from the substrate </w:t>
      </w:r>
      <w:r w:rsidRPr="00C01D23">
        <w:rPr>
          <w:rFonts w:eastAsia="Calibri" w:cs="Calibri"/>
          <w:i/>
          <w:sz w:val="20"/>
          <w:szCs w:val="20"/>
        </w:rPr>
        <w:t>p</w:t>
      </w:r>
      <w:r w:rsidRPr="00B51753">
        <w:rPr>
          <w:rFonts w:eastAsia="Calibri" w:cs="Calibri"/>
          <w:sz w:val="20"/>
          <w:szCs w:val="20"/>
        </w:rPr>
        <w:t>-NPP at 405 nm.</w:t>
      </w:r>
      <w:r>
        <w:rPr>
          <w:rFonts w:eastAsia="Calibri" w:cs="Calibri"/>
          <w:sz w:val="20"/>
          <w:szCs w:val="20"/>
        </w:rPr>
        <w:t xml:space="preserve"> </w:t>
      </w:r>
      <w:r w:rsidRPr="00B51753">
        <w:rPr>
          <w:rFonts w:eastAsia="Calibri" w:cs="Calibri"/>
          <w:b/>
          <w:sz w:val="20"/>
          <w:szCs w:val="20"/>
        </w:rPr>
        <w:t>C</w:t>
      </w:r>
      <w:r w:rsidRPr="00B51753">
        <w:rPr>
          <w:rFonts w:eastAsia="Calibri" w:cs="Calibri"/>
          <w:sz w:val="20"/>
          <w:szCs w:val="20"/>
        </w:rPr>
        <w:t>, Phosphatase activity assay of MptpA after oxidation at various concentrations of H</w:t>
      </w:r>
      <w:r w:rsidRPr="00B51753">
        <w:rPr>
          <w:rFonts w:eastAsia="Calibri" w:cs="Calibri"/>
          <w:sz w:val="20"/>
          <w:szCs w:val="20"/>
          <w:vertAlign w:val="subscript"/>
        </w:rPr>
        <w:t>2</w:t>
      </w:r>
      <w:r w:rsidRPr="00B51753">
        <w:rPr>
          <w:rFonts w:eastAsia="Calibri" w:cs="Calibri"/>
          <w:sz w:val="20"/>
          <w:szCs w:val="20"/>
        </w:rPr>
        <w:t>O</w:t>
      </w:r>
      <w:r w:rsidRPr="00B51753">
        <w:rPr>
          <w:rFonts w:eastAsia="Calibri" w:cs="Calibri"/>
          <w:sz w:val="20"/>
          <w:szCs w:val="20"/>
          <w:vertAlign w:val="subscript"/>
        </w:rPr>
        <w:t>2</w:t>
      </w:r>
      <w:r w:rsidRPr="00B51753">
        <w:rPr>
          <w:rFonts w:eastAsia="Calibri" w:cs="Calibri"/>
          <w:sz w:val="20"/>
          <w:szCs w:val="20"/>
        </w:rPr>
        <w:t xml:space="preserve"> (1.0, 0.50, 0.1</w:t>
      </w:r>
      <w:r>
        <w:rPr>
          <w:rFonts w:eastAsia="Calibri" w:cs="Calibri"/>
          <w:sz w:val="20"/>
          <w:szCs w:val="20"/>
        </w:rPr>
        <w:t>0</w:t>
      </w:r>
      <w:r w:rsidRPr="00B51753">
        <w:rPr>
          <w:rFonts w:eastAsia="Calibri" w:cs="Calibri"/>
          <w:sz w:val="20"/>
          <w:szCs w:val="20"/>
        </w:rPr>
        <w:t>, 0.05 and 0.01 mM) in presence of (25 mM) NaHCO</w:t>
      </w:r>
      <w:r w:rsidRPr="00B51753">
        <w:rPr>
          <w:rFonts w:eastAsia="Calibri" w:cs="Calibri"/>
          <w:sz w:val="20"/>
          <w:szCs w:val="20"/>
          <w:vertAlign w:val="subscript"/>
        </w:rPr>
        <w:t>3</w:t>
      </w:r>
      <w:r w:rsidRPr="00B51753">
        <w:rPr>
          <w:rFonts w:eastAsia="Calibri" w:cs="Calibri"/>
          <w:sz w:val="20"/>
          <w:szCs w:val="20"/>
        </w:rPr>
        <w:t xml:space="preserve">. The enzyme activity was monitored using </w:t>
      </w:r>
      <w:r w:rsidRPr="00B51753">
        <w:rPr>
          <w:rFonts w:eastAsia="Calibri" w:cs="Calibri"/>
          <w:i/>
          <w:sz w:val="20"/>
          <w:szCs w:val="20"/>
        </w:rPr>
        <w:t>p</w:t>
      </w:r>
      <w:r w:rsidRPr="00B51753">
        <w:rPr>
          <w:rFonts w:eastAsia="Calibri" w:cs="Calibri"/>
          <w:sz w:val="20"/>
          <w:szCs w:val="20"/>
        </w:rPr>
        <w:t>-NPP as substrate and the measurement of absorbance at 405 nm of the dephosphorylation product. The absorption detected at 405 nm refers to the reduced amount of the chromogenic dephosphorylation product (</w:t>
      </w:r>
      <w:r w:rsidRPr="00B51753">
        <w:rPr>
          <w:rFonts w:eastAsia="Calibri" w:cs="Calibri"/>
          <w:i/>
          <w:sz w:val="20"/>
          <w:szCs w:val="20"/>
        </w:rPr>
        <w:t>p</w:t>
      </w:r>
      <w:r w:rsidRPr="00B51753">
        <w:rPr>
          <w:rFonts w:eastAsia="Calibri" w:cs="Calibri"/>
          <w:sz w:val="20"/>
          <w:szCs w:val="20"/>
        </w:rPr>
        <w:t xml:space="preserve">-nitrophenolate, </w:t>
      </w:r>
      <w:r w:rsidRPr="00B51753">
        <w:rPr>
          <w:rFonts w:eastAsia="Calibri" w:cs="Calibri"/>
          <w:i/>
          <w:sz w:val="20"/>
          <w:szCs w:val="20"/>
        </w:rPr>
        <w:t>p</w:t>
      </w:r>
      <w:r w:rsidRPr="00B51753">
        <w:rPr>
          <w:rFonts w:eastAsia="Calibri" w:cs="Calibri"/>
          <w:sz w:val="20"/>
          <w:szCs w:val="20"/>
        </w:rPr>
        <w:t xml:space="preserve">-NPP). The decrease of this signal observed for the </w:t>
      </w:r>
      <w:r w:rsidRPr="00B51753">
        <w:rPr>
          <w:rFonts w:eastAsia="Calibri" w:cs="Calibri"/>
          <w:i/>
          <w:sz w:val="20"/>
          <w:szCs w:val="20"/>
        </w:rPr>
        <w:t>oxidized</w:t>
      </w:r>
      <w:r w:rsidRPr="00B51753">
        <w:rPr>
          <w:rFonts w:eastAsia="Calibri" w:cs="Calibri"/>
          <w:sz w:val="20"/>
          <w:szCs w:val="20"/>
        </w:rPr>
        <w:t xml:space="preserve"> MptpA (</w:t>
      </w:r>
      <w:r w:rsidRPr="00B51753">
        <w:rPr>
          <w:rFonts w:eastAsia="Calibri" w:cs="Calibri"/>
          <w:i/>
          <w:sz w:val="20"/>
          <w:szCs w:val="20"/>
        </w:rPr>
        <w:t>ox</w:t>
      </w:r>
      <w:r w:rsidRPr="00B51753">
        <w:rPr>
          <w:rFonts w:eastAsia="Calibri" w:cs="Calibri"/>
          <w:sz w:val="20"/>
          <w:szCs w:val="20"/>
        </w:rPr>
        <w:t xml:space="preserve">MptpA) clearly indicates reduction of the MptpA activity after oxidation. </w:t>
      </w:r>
      <w:r w:rsidRPr="00B51753">
        <w:rPr>
          <w:rFonts w:eastAsia="Calibri" w:cs="Calibri"/>
          <w:b/>
          <w:sz w:val="20"/>
          <w:szCs w:val="20"/>
        </w:rPr>
        <w:t>D</w:t>
      </w:r>
      <w:r w:rsidRPr="00B51753">
        <w:rPr>
          <w:rFonts w:eastAsia="Calibri" w:cs="Calibri"/>
          <w:sz w:val="20"/>
          <w:szCs w:val="20"/>
        </w:rPr>
        <w:t xml:space="preserve">, Reactivation of inactive </w:t>
      </w:r>
      <w:r>
        <w:rPr>
          <w:rFonts w:eastAsia="Calibri" w:cs="Calibri"/>
          <w:i/>
          <w:sz w:val="20"/>
          <w:szCs w:val="20"/>
        </w:rPr>
        <w:t>ox</w:t>
      </w:r>
      <w:r>
        <w:rPr>
          <w:rFonts w:eastAsia="Calibri" w:cs="Calibri"/>
          <w:sz w:val="20"/>
          <w:szCs w:val="20"/>
        </w:rPr>
        <w:t xml:space="preserve">MptpA </w:t>
      </w:r>
      <w:r w:rsidRPr="00B51753">
        <w:rPr>
          <w:rFonts w:eastAsia="Calibri" w:cs="Calibri"/>
          <w:sz w:val="20"/>
          <w:szCs w:val="20"/>
        </w:rPr>
        <w:t>after incubation with the reducing agent dithiothreitol (D</w:t>
      </w:r>
      <w:r>
        <w:rPr>
          <w:rFonts w:eastAsia="Calibri" w:cs="Calibri"/>
          <w:sz w:val="20"/>
          <w:szCs w:val="20"/>
        </w:rPr>
        <w:t xml:space="preserve">TT, 10 mM) at 25 °C for 30 min. </w:t>
      </w:r>
      <w:r w:rsidRPr="0096093A">
        <w:rPr>
          <w:rFonts w:eastAsia="Calibri" w:cs="Calibri"/>
          <w:sz w:val="20"/>
          <w:szCs w:val="20"/>
        </w:rPr>
        <w:t xml:space="preserve">The activity of the native MptpA was set to 100%. The restored relative phosphatase activity of the </w:t>
      </w:r>
      <w:r w:rsidRPr="0096093A">
        <w:rPr>
          <w:rFonts w:eastAsia="Calibri" w:cs="Calibri"/>
          <w:i/>
          <w:sz w:val="20"/>
          <w:szCs w:val="20"/>
        </w:rPr>
        <w:t>ox</w:t>
      </w:r>
      <w:r w:rsidRPr="0096093A">
        <w:rPr>
          <w:rFonts w:eastAsia="Calibri" w:cs="Calibri"/>
          <w:sz w:val="20"/>
          <w:szCs w:val="20"/>
        </w:rPr>
        <w:t>MptpA was estimated to 2-10 % (depending on concentration of H</w:t>
      </w:r>
      <w:r w:rsidRPr="0096093A">
        <w:rPr>
          <w:rFonts w:eastAsia="Calibri" w:cs="Calibri"/>
          <w:sz w:val="20"/>
          <w:szCs w:val="20"/>
          <w:vertAlign w:val="subscript"/>
        </w:rPr>
        <w:t>2</w:t>
      </w:r>
      <w:r w:rsidRPr="0096093A">
        <w:rPr>
          <w:rFonts w:eastAsia="Calibri" w:cs="Calibri"/>
          <w:sz w:val="20"/>
          <w:szCs w:val="20"/>
        </w:rPr>
        <w:t>O</w:t>
      </w:r>
      <w:r w:rsidRPr="0096093A">
        <w:rPr>
          <w:rFonts w:eastAsia="Calibri" w:cs="Calibri"/>
          <w:sz w:val="20"/>
          <w:szCs w:val="20"/>
          <w:vertAlign w:val="subscript"/>
        </w:rPr>
        <w:t xml:space="preserve">2 </w:t>
      </w:r>
      <w:r w:rsidRPr="0096093A">
        <w:rPr>
          <w:rFonts w:eastAsia="Calibri" w:cs="Calibri"/>
          <w:sz w:val="20"/>
          <w:szCs w:val="20"/>
        </w:rPr>
        <w:t>used for oxidation), suggesting some degree of oxidation reversibility by cellular glutathione. The error bars has been estimated as ± 5%.</w:t>
      </w:r>
    </w:p>
    <w:p w:rsidR="006939BE" w:rsidRPr="00A423C4" w:rsidRDefault="006939BE" w:rsidP="006939BE">
      <w:pPr>
        <w:spacing w:after="160" w:line="360" w:lineRule="auto"/>
        <w:jc w:val="both"/>
        <w:rPr>
          <w:rFonts w:ascii="Times" w:eastAsia="Calibri" w:hAnsi="Times"/>
          <w:lang w:val="de-DE"/>
        </w:rPr>
      </w:pPr>
      <w:r>
        <w:rPr>
          <w:rFonts w:ascii="Times" w:eastAsia="Calibri" w:hAnsi="Times"/>
          <w:noProof/>
        </w:rPr>
        <w:lastRenderedPageBreak/>
        <w:drawing>
          <wp:inline distT="0" distB="0" distL="0" distR="0">
            <wp:extent cx="5753100"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352800"/>
                    </a:xfrm>
                    <a:prstGeom prst="rect">
                      <a:avLst/>
                    </a:prstGeom>
                    <a:noFill/>
                    <a:ln>
                      <a:noFill/>
                    </a:ln>
                  </pic:spPr>
                </pic:pic>
              </a:graphicData>
            </a:graphic>
          </wp:inline>
        </w:drawing>
      </w:r>
    </w:p>
    <w:p w:rsidR="006939BE" w:rsidRPr="00B51753" w:rsidRDefault="006939BE" w:rsidP="006939BE">
      <w:pPr>
        <w:tabs>
          <w:tab w:val="left" w:pos="142"/>
        </w:tabs>
        <w:spacing w:after="0" w:line="240" w:lineRule="auto"/>
        <w:jc w:val="both"/>
        <w:rPr>
          <w:rFonts w:eastAsia="Calibri" w:cs="Calibri"/>
          <w:sz w:val="20"/>
          <w:szCs w:val="20"/>
        </w:rPr>
      </w:pPr>
      <w:r w:rsidRPr="00B51753">
        <w:rPr>
          <w:rFonts w:eastAsia="Calibri" w:cs="Calibri"/>
          <w:b/>
          <w:sz w:val="20"/>
          <w:szCs w:val="20"/>
        </w:rPr>
        <w:t xml:space="preserve">Fig. </w:t>
      </w:r>
      <w:r>
        <w:rPr>
          <w:rFonts w:eastAsia="Calibri" w:cs="Calibri"/>
          <w:b/>
          <w:sz w:val="20"/>
          <w:szCs w:val="20"/>
        </w:rPr>
        <w:t>S</w:t>
      </w:r>
      <w:r w:rsidRPr="00B51753">
        <w:rPr>
          <w:rFonts w:eastAsia="Calibri" w:cs="Calibri"/>
          <w:b/>
          <w:sz w:val="20"/>
          <w:szCs w:val="20"/>
        </w:rPr>
        <w:t xml:space="preserve">2 </w:t>
      </w:r>
      <w:r w:rsidRPr="00B51753">
        <w:rPr>
          <w:rFonts w:eastAsia="Calibri" w:cs="Calibri"/>
          <w:sz w:val="20"/>
          <w:szCs w:val="20"/>
        </w:rPr>
        <w:t>NMR spectra of MptpA at non reducing conditions.2D-(</w:t>
      </w:r>
      <w:r w:rsidRPr="00B51753">
        <w:rPr>
          <w:rFonts w:eastAsia="Calibri" w:cs="Calibri"/>
          <w:sz w:val="20"/>
          <w:szCs w:val="20"/>
          <w:vertAlign w:val="superscript"/>
        </w:rPr>
        <w:t>1</w:t>
      </w:r>
      <w:r w:rsidRPr="00B51753">
        <w:rPr>
          <w:rFonts w:eastAsia="Calibri" w:cs="Calibri"/>
          <w:sz w:val="20"/>
          <w:szCs w:val="20"/>
        </w:rPr>
        <w:t>H,</w:t>
      </w:r>
      <w:r w:rsidRPr="00B51753">
        <w:rPr>
          <w:rFonts w:eastAsia="Calibri" w:cs="Calibri"/>
          <w:sz w:val="20"/>
          <w:szCs w:val="20"/>
          <w:vertAlign w:val="superscript"/>
        </w:rPr>
        <w:t>15</w:t>
      </w:r>
      <w:r w:rsidRPr="00B51753">
        <w:rPr>
          <w:rFonts w:eastAsia="Calibri" w:cs="Calibri"/>
          <w:sz w:val="20"/>
          <w:szCs w:val="20"/>
        </w:rPr>
        <w:t>N)-HSQC spectra of MptpA measured in presence (left) and absence (right) of DTT.</w:t>
      </w:r>
      <w:r>
        <w:rPr>
          <w:rFonts w:eastAsia="Calibri" w:cs="Calibri"/>
          <w:sz w:val="20"/>
          <w:szCs w:val="20"/>
        </w:rPr>
        <w:t xml:space="preserve"> </w:t>
      </w:r>
      <w:r w:rsidRPr="00B51753">
        <w:rPr>
          <w:rFonts w:eastAsia="Calibri" w:cs="Calibri"/>
          <w:sz w:val="20"/>
          <w:szCs w:val="20"/>
        </w:rPr>
        <w:t xml:space="preserve">Both spectra look the same for almost all residues, indicating that the removal of DTT from the buffer solution has no effect on MptpA native folding. (on top)Plot of </w:t>
      </w:r>
      <w:r w:rsidRPr="00B51753">
        <w:rPr>
          <w:rFonts w:eastAsia="Calibri" w:cs="Calibri"/>
          <w:sz w:val="20"/>
          <w:szCs w:val="20"/>
          <w:vertAlign w:val="superscript"/>
        </w:rPr>
        <w:t>1</w:t>
      </w:r>
      <w:r w:rsidRPr="00B51753">
        <w:rPr>
          <w:rFonts w:eastAsia="Calibri" w:cs="Calibri"/>
          <w:sz w:val="20"/>
          <w:szCs w:val="20"/>
        </w:rPr>
        <w:t xml:space="preserve">H, </w:t>
      </w:r>
      <w:r w:rsidRPr="00B51753">
        <w:rPr>
          <w:rFonts w:eastAsia="Calibri" w:cs="Calibri"/>
          <w:sz w:val="20"/>
          <w:szCs w:val="20"/>
          <w:vertAlign w:val="superscript"/>
        </w:rPr>
        <w:t>15</w:t>
      </w:r>
      <w:r w:rsidRPr="00B51753">
        <w:rPr>
          <w:rFonts w:eastAsia="Calibri" w:cs="Calibri"/>
          <w:sz w:val="20"/>
          <w:szCs w:val="20"/>
        </w:rPr>
        <w:t>N combined CSPs (in ppm) as a function of residue number of MptpA obtained after comparison of 2D (</w:t>
      </w:r>
      <w:r w:rsidRPr="00B51753">
        <w:rPr>
          <w:rFonts w:eastAsia="Calibri" w:cs="Calibri"/>
          <w:sz w:val="20"/>
          <w:szCs w:val="20"/>
          <w:vertAlign w:val="superscript"/>
        </w:rPr>
        <w:t>1</w:t>
      </w:r>
      <w:r w:rsidRPr="00B51753">
        <w:rPr>
          <w:rFonts w:eastAsia="Calibri" w:cs="Calibri"/>
          <w:sz w:val="20"/>
          <w:szCs w:val="20"/>
        </w:rPr>
        <w:t>H,</w:t>
      </w:r>
      <w:r w:rsidRPr="00B51753">
        <w:rPr>
          <w:rFonts w:eastAsia="Calibri" w:cs="Calibri"/>
          <w:sz w:val="20"/>
          <w:szCs w:val="20"/>
          <w:vertAlign w:val="superscript"/>
        </w:rPr>
        <w:t>15</w:t>
      </w:r>
      <w:r w:rsidRPr="00B51753">
        <w:rPr>
          <w:rFonts w:eastAsia="Calibri" w:cs="Calibri"/>
          <w:sz w:val="20"/>
          <w:szCs w:val="20"/>
        </w:rPr>
        <w:t xml:space="preserve">N)-HSQC spectra of MptpA measured in presence and absence of DTT. </w:t>
      </w:r>
    </w:p>
    <w:p w:rsidR="006939BE" w:rsidRPr="00A423C4" w:rsidRDefault="006939BE" w:rsidP="006939BE">
      <w:pPr>
        <w:spacing w:after="160" w:line="360" w:lineRule="auto"/>
        <w:jc w:val="both"/>
        <w:rPr>
          <w:rFonts w:ascii="Times" w:eastAsia="Calibri" w:hAnsi="Times"/>
          <w:b/>
          <w:lang w:val="de-DE"/>
        </w:rPr>
      </w:pPr>
      <w:r w:rsidRPr="00B51753">
        <w:rPr>
          <w:rFonts w:ascii="Times" w:eastAsia="Calibri" w:hAnsi="Times"/>
          <w:b/>
        </w:rPr>
        <w:br w:type="column"/>
      </w:r>
      <w:r>
        <w:rPr>
          <w:rFonts w:ascii="Times" w:eastAsia="Calibri" w:hAnsi="Times"/>
          <w:b/>
          <w:noProof/>
        </w:rPr>
        <w:lastRenderedPageBreak/>
        <w:drawing>
          <wp:inline distT="0" distB="0" distL="0" distR="0">
            <wp:extent cx="5762625" cy="3695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695700"/>
                    </a:xfrm>
                    <a:prstGeom prst="rect">
                      <a:avLst/>
                    </a:prstGeom>
                    <a:noFill/>
                    <a:ln>
                      <a:noFill/>
                    </a:ln>
                  </pic:spPr>
                </pic:pic>
              </a:graphicData>
            </a:graphic>
          </wp:inline>
        </w:drawing>
      </w:r>
    </w:p>
    <w:p w:rsidR="006939BE" w:rsidRPr="00B51753" w:rsidRDefault="006939BE" w:rsidP="006939BE">
      <w:pPr>
        <w:spacing w:after="160" w:line="240" w:lineRule="auto"/>
        <w:jc w:val="both"/>
        <w:rPr>
          <w:rFonts w:eastAsia="Calibri" w:cs="Calibri"/>
          <w:b/>
          <w:sz w:val="20"/>
          <w:szCs w:val="20"/>
        </w:rPr>
      </w:pPr>
      <w:r w:rsidRPr="00B51753">
        <w:rPr>
          <w:rFonts w:eastAsia="Calibri" w:cs="Calibri"/>
          <w:b/>
          <w:sz w:val="20"/>
          <w:szCs w:val="20"/>
        </w:rPr>
        <w:t xml:space="preserve">Fig. </w:t>
      </w:r>
      <w:r>
        <w:rPr>
          <w:rFonts w:eastAsia="Calibri" w:cs="Calibri"/>
          <w:b/>
          <w:sz w:val="20"/>
          <w:szCs w:val="20"/>
        </w:rPr>
        <w:t>S</w:t>
      </w:r>
      <w:r w:rsidRPr="00B51753">
        <w:rPr>
          <w:rFonts w:eastAsia="Calibri" w:cs="Calibri"/>
          <w:b/>
          <w:sz w:val="20"/>
          <w:szCs w:val="20"/>
        </w:rPr>
        <w:t xml:space="preserve">3 </w:t>
      </w:r>
      <w:r w:rsidRPr="00B51753">
        <w:rPr>
          <w:rFonts w:eastAsia="Calibri" w:cs="Calibri"/>
          <w:sz w:val="20"/>
          <w:szCs w:val="20"/>
        </w:rPr>
        <w:t>Oxidative modification of MptpA studied by NMR spectroscopy.</w:t>
      </w:r>
      <w:r w:rsidRPr="00B51753">
        <w:rPr>
          <w:rFonts w:eastAsia="Calibri" w:cs="Calibri"/>
          <w:b/>
          <w:sz w:val="20"/>
          <w:szCs w:val="20"/>
        </w:rPr>
        <w:t xml:space="preserve"> A, </w:t>
      </w:r>
      <w:r w:rsidRPr="00B51753">
        <w:rPr>
          <w:rFonts w:eastAsia="Calibri" w:cs="Calibri"/>
          <w:sz w:val="20"/>
          <w:szCs w:val="20"/>
        </w:rPr>
        <w:t>2D-(</w:t>
      </w:r>
      <w:r w:rsidRPr="00B51753">
        <w:rPr>
          <w:rFonts w:eastAsia="Calibri" w:cs="Calibri"/>
          <w:sz w:val="20"/>
          <w:szCs w:val="20"/>
          <w:vertAlign w:val="superscript"/>
        </w:rPr>
        <w:t>1</w:t>
      </w:r>
      <w:r w:rsidRPr="00B51753">
        <w:rPr>
          <w:rFonts w:eastAsia="Calibri" w:cs="Calibri"/>
          <w:sz w:val="20"/>
          <w:szCs w:val="20"/>
        </w:rPr>
        <w:t>H,</w:t>
      </w:r>
      <w:r w:rsidRPr="00B51753">
        <w:rPr>
          <w:rFonts w:eastAsia="Calibri" w:cs="Calibri"/>
          <w:sz w:val="20"/>
          <w:szCs w:val="20"/>
          <w:vertAlign w:val="superscript"/>
        </w:rPr>
        <w:t>15</w:t>
      </w:r>
      <w:r w:rsidRPr="00B51753">
        <w:rPr>
          <w:rFonts w:eastAsia="Calibri" w:cs="Calibri"/>
          <w:sz w:val="20"/>
          <w:szCs w:val="20"/>
        </w:rPr>
        <w:t>N)-HSQC spectra of MptpA in buffer used for oxidation studies (25 mM HEPES/NaOH, pH 7.0, 150 mM NaCl, 10% D</w:t>
      </w:r>
      <w:r w:rsidRPr="00B51753">
        <w:rPr>
          <w:rFonts w:eastAsia="Calibri" w:cs="Calibri"/>
          <w:sz w:val="20"/>
          <w:szCs w:val="20"/>
          <w:vertAlign w:val="subscript"/>
        </w:rPr>
        <w:t>2</w:t>
      </w:r>
      <w:r w:rsidRPr="00B51753">
        <w:rPr>
          <w:rFonts w:eastAsia="Calibri" w:cs="Calibri"/>
          <w:sz w:val="20"/>
          <w:szCs w:val="20"/>
        </w:rPr>
        <w:t>O / 90% H</w:t>
      </w:r>
      <w:r w:rsidRPr="00B51753">
        <w:rPr>
          <w:rFonts w:eastAsia="Calibri" w:cs="Calibri"/>
          <w:sz w:val="20"/>
          <w:szCs w:val="20"/>
          <w:vertAlign w:val="subscript"/>
        </w:rPr>
        <w:t>2</w:t>
      </w:r>
      <w:r w:rsidRPr="00B51753">
        <w:rPr>
          <w:rFonts w:eastAsia="Calibri" w:cs="Calibri"/>
          <w:sz w:val="20"/>
          <w:szCs w:val="20"/>
        </w:rPr>
        <w:t xml:space="preserve">O). </w:t>
      </w:r>
      <w:r w:rsidRPr="00B51753">
        <w:rPr>
          <w:rFonts w:eastAsia="Calibri" w:cs="Calibri"/>
          <w:b/>
          <w:sz w:val="20"/>
          <w:szCs w:val="20"/>
        </w:rPr>
        <w:t>B</w:t>
      </w:r>
      <w:r w:rsidRPr="00B51753">
        <w:rPr>
          <w:rFonts w:eastAsia="Calibri" w:cs="Calibri"/>
          <w:sz w:val="20"/>
          <w:szCs w:val="20"/>
        </w:rPr>
        <w:t>, 2D-(</w:t>
      </w:r>
      <w:r w:rsidRPr="00B51753">
        <w:rPr>
          <w:rFonts w:eastAsia="Calibri" w:cs="Calibri"/>
          <w:sz w:val="20"/>
          <w:szCs w:val="20"/>
          <w:vertAlign w:val="superscript"/>
        </w:rPr>
        <w:t>1</w:t>
      </w:r>
      <w:r w:rsidRPr="00B51753">
        <w:rPr>
          <w:rFonts w:eastAsia="Calibri" w:cs="Calibri"/>
          <w:sz w:val="20"/>
          <w:szCs w:val="20"/>
        </w:rPr>
        <w:t>H,</w:t>
      </w:r>
      <w:r w:rsidRPr="00B51753">
        <w:rPr>
          <w:rFonts w:eastAsia="Calibri" w:cs="Calibri"/>
          <w:sz w:val="20"/>
          <w:szCs w:val="20"/>
          <w:vertAlign w:val="superscript"/>
        </w:rPr>
        <w:t>15</w:t>
      </w:r>
      <w:r w:rsidRPr="00B51753">
        <w:rPr>
          <w:rFonts w:eastAsia="Calibri" w:cs="Calibri"/>
          <w:sz w:val="20"/>
          <w:szCs w:val="20"/>
        </w:rPr>
        <w:t>N)-HSQC spectra of MptpA after incubation with H</w:t>
      </w:r>
      <w:r w:rsidRPr="00B51753">
        <w:rPr>
          <w:rFonts w:eastAsia="Calibri" w:cs="Calibri"/>
          <w:sz w:val="20"/>
          <w:szCs w:val="20"/>
          <w:vertAlign w:val="subscript"/>
        </w:rPr>
        <w:t>2</w:t>
      </w:r>
      <w:r w:rsidRPr="00B51753">
        <w:rPr>
          <w:rFonts w:eastAsia="Calibri" w:cs="Calibri"/>
          <w:sz w:val="20"/>
          <w:szCs w:val="20"/>
        </w:rPr>
        <w:t>O</w:t>
      </w:r>
      <w:r w:rsidRPr="00B51753">
        <w:rPr>
          <w:rFonts w:eastAsia="Calibri" w:cs="Calibri"/>
          <w:sz w:val="20"/>
          <w:szCs w:val="20"/>
          <w:vertAlign w:val="subscript"/>
        </w:rPr>
        <w:t>2</w:t>
      </w:r>
      <w:r w:rsidRPr="00B51753">
        <w:rPr>
          <w:rFonts w:eastAsia="Calibri" w:cs="Calibri"/>
          <w:sz w:val="20"/>
          <w:szCs w:val="20"/>
        </w:rPr>
        <w:t xml:space="preserve"> (50 mM) and NaHCO</w:t>
      </w:r>
      <w:r w:rsidRPr="00B51753">
        <w:rPr>
          <w:rFonts w:eastAsia="Calibri" w:cs="Calibri"/>
          <w:sz w:val="20"/>
          <w:szCs w:val="20"/>
          <w:vertAlign w:val="subscript"/>
        </w:rPr>
        <w:t>3</w:t>
      </w:r>
      <w:r w:rsidRPr="00B51753">
        <w:rPr>
          <w:rFonts w:eastAsia="Calibri" w:cs="Calibri"/>
          <w:sz w:val="20"/>
          <w:szCs w:val="20"/>
        </w:rPr>
        <w:t xml:space="preserve"> (25 mM) at 25 °C for 2.5 min and additional gel filtration using PD10 desalting column. contain Sephadex G-25 resin (GE Healthcare). </w:t>
      </w:r>
      <w:r w:rsidRPr="00B51753">
        <w:rPr>
          <w:rFonts w:eastAsia="Calibri" w:cs="Calibri"/>
          <w:b/>
          <w:sz w:val="20"/>
          <w:szCs w:val="20"/>
        </w:rPr>
        <w:t>C</w:t>
      </w:r>
      <w:r w:rsidRPr="00B51753">
        <w:rPr>
          <w:rFonts w:eastAsia="Calibri" w:cs="Calibri"/>
          <w:sz w:val="20"/>
          <w:szCs w:val="20"/>
        </w:rPr>
        <w:t>, 2D-(</w:t>
      </w:r>
      <w:r w:rsidRPr="00B51753">
        <w:rPr>
          <w:rFonts w:eastAsia="Calibri" w:cs="Calibri"/>
          <w:sz w:val="20"/>
          <w:szCs w:val="20"/>
          <w:vertAlign w:val="superscript"/>
        </w:rPr>
        <w:t>1</w:t>
      </w:r>
      <w:r w:rsidRPr="00B51753">
        <w:rPr>
          <w:rFonts w:eastAsia="Calibri" w:cs="Calibri"/>
          <w:sz w:val="20"/>
          <w:szCs w:val="20"/>
        </w:rPr>
        <w:t>H,</w:t>
      </w:r>
      <w:r w:rsidRPr="00B51753">
        <w:rPr>
          <w:rFonts w:eastAsia="Calibri" w:cs="Calibri"/>
          <w:sz w:val="20"/>
          <w:szCs w:val="20"/>
          <w:vertAlign w:val="superscript"/>
        </w:rPr>
        <w:t>15</w:t>
      </w:r>
      <w:r w:rsidRPr="00B51753">
        <w:rPr>
          <w:rFonts w:eastAsia="Calibri" w:cs="Calibri"/>
          <w:sz w:val="20"/>
          <w:szCs w:val="20"/>
        </w:rPr>
        <w:t>N)-HSQC spectra of MptpA after treatment with H</w:t>
      </w:r>
      <w:r w:rsidRPr="00B51753">
        <w:rPr>
          <w:rFonts w:eastAsia="Calibri" w:cs="Calibri"/>
          <w:sz w:val="20"/>
          <w:szCs w:val="20"/>
          <w:vertAlign w:val="subscript"/>
        </w:rPr>
        <w:t>2</w:t>
      </w:r>
      <w:r w:rsidRPr="00B51753">
        <w:rPr>
          <w:rFonts w:eastAsia="Calibri" w:cs="Calibri"/>
          <w:sz w:val="20"/>
          <w:szCs w:val="20"/>
        </w:rPr>
        <w:t>O</w:t>
      </w:r>
      <w:r w:rsidRPr="00B51753">
        <w:rPr>
          <w:rFonts w:eastAsia="Calibri" w:cs="Calibri"/>
          <w:sz w:val="20"/>
          <w:szCs w:val="20"/>
          <w:vertAlign w:val="subscript"/>
        </w:rPr>
        <w:t>2</w:t>
      </w:r>
      <w:r w:rsidRPr="00B51753">
        <w:rPr>
          <w:rFonts w:eastAsia="Calibri" w:cs="Calibri"/>
          <w:sz w:val="20"/>
          <w:szCs w:val="20"/>
        </w:rPr>
        <w:t xml:space="preserve"> (50 mM) and NaHCO</w:t>
      </w:r>
      <w:r w:rsidRPr="00B51753">
        <w:rPr>
          <w:rFonts w:eastAsia="Calibri" w:cs="Calibri"/>
          <w:sz w:val="20"/>
          <w:szCs w:val="20"/>
          <w:vertAlign w:val="subscript"/>
        </w:rPr>
        <w:t>3</w:t>
      </w:r>
      <w:r w:rsidRPr="00B51753">
        <w:rPr>
          <w:rFonts w:eastAsia="Calibri" w:cs="Calibri"/>
          <w:sz w:val="20"/>
          <w:szCs w:val="20"/>
        </w:rPr>
        <w:t xml:space="preserve"> (25 mM) at 25 °C. The oxidation reaction was quenched using 5u (left) and 50u (right) of catalase (Thermo Scientific™). H</w:t>
      </w:r>
      <w:r w:rsidRPr="00B51753">
        <w:rPr>
          <w:rFonts w:eastAsia="Calibri" w:cs="Calibri"/>
          <w:sz w:val="20"/>
          <w:szCs w:val="20"/>
          <w:vertAlign w:val="subscript"/>
        </w:rPr>
        <w:t>2</w:t>
      </w:r>
      <w:r w:rsidRPr="00B51753">
        <w:rPr>
          <w:rFonts w:eastAsia="Calibri" w:cs="Calibri"/>
          <w:sz w:val="20"/>
          <w:szCs w:val="20"/>
        </w:rPr>
        <w:t>O</w:t>
      </w:r>
      <w:r w:rsidRPr="00B51753">
        <w:rPr>
          <w:rFonts w:eastAsia="Calibri" w:cs="Calibri"/>
          <w:sz w:val="20"/>
          <w:szCs w:val="20"/>
          <w:vertAlign w:val="subscript"/>
        </w:rPr>
        <w:t>2</w:t>
      </w:r>
      <w:r w:rsidRPr="00B51753">
        <w:rPr>
          <w:rFonts w:eastAsia="Calibri" w:cs="Calibri"/>
          <w:sz w:val="20"/>
          <w:szCs w:val="20"/>
        </w:rPr>
        <w:t xml:space="preserve">-decomposition with higher amount of catalase (50u) allowed isolation of uniformly folded oxidized state of MptpA as those observed when using PD10 desalting column.  </w:t>
      </w:r>
    </w:p>
    <w:p w:rsidR="006939BE" w:rsidRPr="00A423C4" w:rsidRDefault="006939BE" w:rsidP="006939BE">
      <w:pPr>
        <w:spacing w:after="160" w:line="360" w:lineRule="auto"/>
        <w:jc w:val="both"/>
        <w:rPr>
          <w:rFonts w:ascii="Times" w:eastAsia="Calibri" w:hAnsi="Times"/>
          <w:b/>
          <w:lang w:val="de-DE"/>
        </w:rPr>
      </w:pPr>
      <w:r w:rsidRPr="00B51753">
        <w:rPr>
          <w:rFonts w:ascii="Times" w:eastAsia="Calibri" w:hAnsi="Times"/>
          <w:b/>
        </w:rPr>
        <w:br w:type="column"/>
      </w:r>
      <w:r>
        <w:rPr>
          <w:rFonts w:ascii="Times" w:eastAsia="Calibri" w:hAnsi="Times"/>
          <w:b/>
          <w:noProof/>
        </w:rPr>
        <w:lastRenderedPageBreak/>
        <w:drawing>
          <wp:inline distT="0" distB="0" distL="0" distR="0">
            <wp:extent cx="5753100" cy="2066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066925"/>
                    </a:xfrm>
                    <a:prstGeom prst="rect">
                      <a:avLst/>
                    </a:prstGeom>
                    <a:noFill/>
                    <a:ln>
                      <a:noFill/>
                    </a:ln>
                  </pic:spPr>
                </pic:pic>
              </a:graphicData>
            </a:graphic>
          </wp:inline>
        </w:drawing>
      </w:r>
    </w:p>
    <w:p w:rsidR="006939BE" w:rsidRPr="00B51753" w:rsidRDefault="006939BE" w:rsidP="006939BE">
      <w:pPr>
        <w:spacing w:after="160" w:line="240" w:lineRule="auto"/>
        <w:jc w:val="both"/>
        <w:rPr>
          <w:rFonts w:eastAsia="Calibri" w:cs="Calibri"/>
          <w:b/>
          <w:sz w:val="20"/>
          <w:szCs w:val="20"/>
        </w:rPr>
      </w:pPr>
      <w:r w:rsidRPr="00B51753">
        <w:rPr>
          <w:rFonts w:eastAsia="Calibri" w:cs="Calibri"/>
          <w:b/>
          <w:sz w:val="20"/>
          <w:szCs w:val="20"/>
        </w:rPr>
        <w:t xml:space="preserve">Fig. </w:t>
      </w:r>
      <w:r>
        <w:rPr>
          <w:rFonts w:eastAsia="Calibri" w:cs="Calibri"/>
          <w:b/>
          <w:sz w:val="20"/>
          <w:szCs w:val="20"/>
        </w:rPr>
        <w:t>S</w:t>
      </w:r>
      <w:r w:rsidRPr="00B51753">
        <w:rPr>
          <w:rFonts w:eastAsia="Calibri" w:cs="Calibri"/>
          <w:b/>
          <w:sz w:val="20"/>
          <w:szCs w:val="20"/>
        </w:rPr>
        <w:t xml:space="preserve">4 </w:t>
      </w:r>
      <w:r w:rsidRPr="00B51753">
        <w:rPr>
          <w:rFonts w:eastAsia="Calibri" w:cs="Calibri"/>
          <w:sz w:val="20"/>
          <w:szCs w:val="20"/>
        </w:rPr>
        <w:t>Backbone dynamics of MptpA.</w:t>
      </w:r>
      <w:r>
        <w:rPr>
          <w:rFonts w:eastAsia="Calibri" w:cs="Calibri"/>
          <w:sz w:val="20"/>
          <w:szCs w:val="20"/>
        </w:rPr>
        <w:t xml:space="preserve"> </w:t>
      </w:r>
      <w:r w:rsidRPr="00B51753">
        <w:rPr>
          <w:rFonts w:eastAsia="Calibri" w:cs="Calibri"/>
          <w:sz w:val="20"/>
          <w:szCs w:val="20"/>
        </w:rPr>
        <w:t xml:space="preserve">Heteronuclear relaxation studies of MptpA performed using standard heteronuclear </w:t>
      </w:r>
      <w:r w:rsidRPr="00B51753">
        <w:rPr>
          <w:rFonts w:eastAsia="Calibri" w:cs="Calibri"/>
          <w:sz w:val="20"/>
          <w:szCs w:val="20"/>
          <w:vertAlign w:val="superscript"/>
        </w:rPr>
        <w:t>15</w:t>
      </w:r>
      <w:r w:rsidRPr="00B51753">
        <w:rPr>
          <w:rFonts w:eastAsia="Calibri" w:cs="Calibri"/>
          <w:sz w:val="20"/>
          <w:szCs w:val="20"/>
        </w:rPr>
        <w:t xml:space="preserve">N relaxation experiments on the </w:t>
      </w:r>
      <w:r w:rsidRPr="00B51753">
        <w:rPr>
          <w:rFonts w:eastAsia="Calibri" w:cs="Calibri"/>
          <w:sz w:val="20"/>
          <w:szCs w:val="20"/>
          <w:vertAlign w:val="superscript"/>
        </w:rPr>
        <w:t>15</w:t>
      </w:r>
      <w:r w:rsidRPr="00B51753">
        <w:rPr>
          <w:rFonts w:eastAsia="Calibri" w:cs="Calibri"/>
          <w:sz w:val="20"/>
          <w:szCs w:val="20"/>
        </w:rPr>
        <w:t>N - uniformly labeled MptpA before and after oxidation with H</w:t>
      </w:r>
      <w:r w:rsidRPr="00B51753">
        <w:rPr>
          <w:rFonts w:eastAsia="Calibri" w:cs="Calibri"/>
          <w:sz w:val="20"/>
          <w:szCs w:val="20"/>
          <w:vertAlign w:val="subscript"/>
        </w:rPr>
        <w:t>2</w:t>
      </w:r>
      <w:r w:rsidRPr="00B51753">
        <w:rPr>
          <w:rFonts w:eastAsia="Calibri" w:cs="Calibri"/>
          <w:sz w:val="20"/>
          <w:szCs w:val="20"/>
        </w:rPr>
        <w:t>O</w:t>
      </w:r>
      <w:r w:rsidRPr="00B51753">
        <w:rPr>
          <w:rFonts w:eastAsia="Calibri" w:cs="Calibri"/>
          <w:sz w:val="20"/>
          <w:szCs w:val="20"/>
          <w:vertAlign w:val="subscript"/>
        </w:rPr>
        <w:t>2</w:t>
      </w:r>
      <w:r w:rsidRPr="00B51753">
        <w:rPr>
          <w:rFonts w:eastAsia="Calibri" w:cs="Calibri"/>
          <w:sz w:val="20"/>
          <w:szCs w:val="20"/>
        </w:rPr>
        <w:t xml:space="preserve"> (50 mM) and NaHCO</w:t>
      </w:r>
      <w:r w:rsidRPr="00B51753">
        <w:rPr>
          <w:rFonts w:eastAsia="Calibri" w:cs="Calibri"/>
          <w:sz w:val="20"/>
          <w:szCs w:val="20"/>
          <w:vertAlign w:val="subscript"/>
        </w:rPr>
        <w:t>3</w:t>
      </w:r>
      <w:r w:rsidRPr="00B51753">
        <w:rPr>
          <w:rFonts w:eastAsia="Calibri" w:cs="Calibri"/>
          <w:sz w:val="20"/>
          <w:szCs w:val="20"/>
        </w:rPr>
        <w:t xml:space="preserve"> (25 mM). The obtained relaxation rates of </w:t>
      </w:r>
      <w:r w:rsidRPr="00B51753">
        <w:rPr>
          <w:rFonts w:eastAsia="Calibri" w:cs="Calibri"/>
          <w:sz w:val="20"/>
          <w:szCs w:val="20"/>
          <w:vertAlign w:val="superscript"/>
        </w:rPr>
        <w:t>15</w:t>
      </w:r>
      <w:r w:rsidRPr="00B51753">
        <w:rPr>
          <w:rFonts w:eastAsia="Calibri" w:cs="Calibri"/>
          <w:sz w:val="20"/>
          <w:szCs w:val="20"/>
        </w:rPr>
        <w:t>N-T</w:t>
      </w:r>
      <w:r w:rsidRPr="00B51753">
        <w:rPr>
          <w:rFonts w:eastAsia="Calibri" w:cs="Calibri"/>
          <w:sz w:val="20"/>
          <w:szCs w:val="20"/>
          <w:vertAlign w:val="subscript"/>
        </w:rPr>
        <w:t>1</w:t>
      </w:r>
      <w:r w:rsidRPr="00B51753">
        <w:rPr>
          <w:rFonts w:eastAsia="Calibri" w:cs="Calibri"/>
          <w:sz w:val="20"/>
          <w:szCs w:val="20"/>
        </w:rPr>
        <w:t xml:space="preserve"> (top) and </w:t>
      </w:r>
      <w:r w:rsidRPr="00B51753">
        <w:rPr>
          <w:rFonts w:eastAsia="Calibri" w:cs="Calibri"/>
          <w:sz w:val="20"/>
          <w:szCs w:val="20"/>
          <w:vertAlign w:val="superscript"/>
        </w:rPr>
        <w:t>15</w:t>
      </w:r>
      <w:r w:rsidRPr="00B51753">
        <w:rPr>
          <w:rFonts w:eastAsia="Calibri" w:cs="Calibri"/>
          <w:sz w:val="20"/>
          <w:szCs w:val="20"/>
        </w:rPr>
        <w:t>N-T</w:t>
      </w:r>
      <w:r w:rsidRPr="00B51753">
        <w:rPr>
          <w:rFonts w:eastAsia="Calibri" w:cs="Calibri"/>
          <w:sz w:val="20"/>
          <w:szCs w:val="20"/>
          <w:vertAlign w:val="subscript"/>
        </w:rPr>
        <w:t>2</w:t>
      </w:r>
      <w:r w:rsidRPr="00B51753">
        <w:rPr>
          <w:rFonts w:eastAsia="Calibri" w:cs="Calibri"/>
          <w:sz w:val="20"/>
          <w:szCs w:val="20"/>
        </w:rPr>
        <w:t xml:space="preserve"> (bottom) of the native and oxidized MptpA are similar. The T</w:t>
      </w:r>
      <w:r w:rsidRPr="00B51753">
        <w:rPr>
          <w:rFonts w:eastAsia="Calibri" w:cs="Calibri"/>
          <w:sz w:val="20"/>
          <w:szCs w:val="20"/>
          <w:vertAlign w:val="subscript"/>
        </w:rPr>
        <w:t>1</w:t>
      </w:r>
      <w:r w:rsidRPr="00B51753">
        <w:rPr>
          <w:rFonts w:eastAsia="Calibri" w:cs="Calibri"/>
          <w:sz w:val="20"/>
          <w:szCs w:val="20"/>
        </w:rPr>
        <w:t xml:space="preserve"> longitudinal </w:t>
      </w:r>
      <w:r w:rsidRPr="00B51753">
        <w:rPr>
          <w:rFonts w:eastAsia="Calibri" w:cs="Calibri"/>
          <w:sz w:val="20"/>
          <w:szCs w:val="20"/>
          <w:vertAlign w:val="superscript"/>
        </w:rPr>
        <w:t>15</w:t>
      </w:r>
      <w:r w:rsidRPr="00B51753">
        <w:rPr>
          <w:rFonts w:eastAsia="Calibri" w:cs="Calibri"/>
          <w:sz w:val="20"/>
          <w:szCs w:val="20"/>
        </w:rPr>
        <w:t xml:space="preserve">N relaxation rates were determined from spectra with different delays of 10, 100, 400, 600, 800, 1000, 1200 and </w:t>
      </w:r>
      <w:r>
        <w:rPr>
          <w:rFonts w:eastAsia="Calibri" w:cs="Calibri"/>
          <w:sz w:val="20"/>
          <w:szCs w:val="20"/>
        </w:rPr>
        <w:t xml:space="preserve">1500 ms. </w:t>
      </w:r>
      <w:r w:rsidRPr="00B51753">
        <w:rPr>
          <w:rFonts w:eastAsia="Calibri" w:cs="Calibri"/>
          <w:sz w:val="20"/>
          <w:szCs w:val="20"/>
        </w:rPr>
        <w:t>T</w:t>
      </w:r>
      <w:r w:rsidRPr="00B51753">
        <w:rPr>
          <w:rFonts w:eastAsia="Calibri" w:cs="Calibri"/>
          <w:sz w:val="20"/>
          <w:szCs w:val="20"/>
          <w:vertAlign w:val="subscript"/>
        </w:rPr>
        <w:t>2</w:t>
      </w:r>
      <w:r w:rsidRPr="00B51753">
        <w:rPr>
          <w:rFonts w:eastAsia="Calibri" w:cs="Calibri"/>
          <w:sz w:val="20"/>
          <w:szCs w:val="20"/>
        </w:rPr>
        <w:t xml:space="preserve"> transverse </w:t>
      </w:r>
      <w:r w:rsidRPr="00B51753">
        <w:rPr>
          <w:rFonts w:eastAsia="Calibri" w:cs="Calibri"/>
          <w:sz w:val="20"/>
          <w:szCs w:val="20"/>
          <w:vertAlign w:val="superscript"/>
        </w:rPr>
        <w:t>15</w:t>
      </w:r>
      <w:r w:rsidRPr="00B51753">
        <w:rPr>
          <w:rFonts w:eastAsia="Calibri" w:cs="Calibri"/>
          <w:sz w:val="20"/>
          <w:szCs w:val="20"/>
        </w:rPr>
        <w:t>N relaxation rates were determined using the following delays: 33.92, 67.84, 101.76, 135.68, 169.6, 203.52, 237.44, and 271.36 ms.</w:t>
      </w:r>
    </w:p>
    <w:p w:rsidR="006939BE" w:rsidRPr="00B51753" w:rsidRDefault="006939BE" w:rsidP="006939BE">
      <w:pPr>
        <w:autoSpaceDE w:val="0"/>
        <w:autoSpaceDN w:val="0"/>
        <w:adjustRightInd w:val="0"/>
        <w:spacing w:after="0" w:line="240" w:lineRule="auto"/>
        <w:rPr>
          <w:rFonts w:eastAsia="Calibri" w:cs="Calibri"/>
          <w:b/>
          <w:bCs/>
          <w:color w:val="000000"/>
          <w:sz w:val="23"/>
          <w:szCs w:val="23"/>
        </w:rPr>
      </w:pPr>
      <w:r>
        <w:rPr>
          <w:b/>
          <w:bCs/>
          <w:sz w:val="23"/>
          <w:szCs w:val="23"/>
        </w:rPr>
        <w:br w:type="column"/>
      </w:r>
      <w:r>
        <w:rPr>
          <w:b/>
          <w:bCs/>
          <w:sz w:val="23"/>
          <w:szCs w:val="23"/>
        </w:rPr>
        <w:lastRenderedPageBreak/>
        <w:t>Materials and Methods</w:t>
      </w:r>
    </w:p>
    <w:p w:rsidR="006939BE" w:rsidRPr="00B51753" w:rsidRDefault="006939BE" w:rsidP="006939BE">
      <w:pPr>
        <w:autoSpaceDE w:val="0"/>
        <w:autoSpaceDN w:val="0"/>
        <w:adjustRightInd w:val="0"/>
        <w:spacing w:after="0" w:line="240" w:lineRule="auto"/>
        <w:rPr>
          <w:rFonts w:eastAsia="Calibri" w:cs="Calibri"/>
          <w:b/>
          <w:bCs/>
          <w:color w:val="000000"/>
          <w:sz w:val="23"/>
          <w:szCs w:val="23"/>
        </w:rPr>
      </w:pPr>
    </w:p>
    <w:p w:rsidR="006939BE" w:rsidRPr="00B51753" w:rsidRDefault="006939BE" w:rsidP="006939BE">
      <w:pPr>
        <w:autoSpaceDE w:val="0"/>
        <w:autoSpaceDN w:val="0"/>
        <w:adjustRightInd w:val="0"/>
        <w:spacing w:after="0" w:line="240" w:lineRule="auto"/>
        <w:rPr>
          <w:rFonts w:eastAsia="Calibri" w:cs="Calibri"/>
          <w:b/>
          <w:bCs/>
          <w:color w:val="000000"/>
          <w:sz w:val="20"/>
          <w:szCs w:val="20"/>
        </w:rPr>
      </w:pPr>
      <w:r w:rsidRPr="00B51753">
        <w:rPr>
          <w:rFonts w:eastAsia="Calibri" w:cs="Calibri"/>
          <w:b/>
          <w:bCs/>
          <w:color w:val="000000"/>
          <w:sz w:val="20"/>
          <w:szCs w:val="20"/>
        </w:rPr>
        <w:t xml:space="preserve">Table 1 </w:t>
      </w:r>
      <w:r w:rsidRPr="00B51753">
        <w:rPr>
          <w:rFonts w:eastAsia="Calibri" w:cs="Calibri"/>
          <w:color w:val="000000"/>
          <w:sz w:val="20"/>
          <w:szCs w:val="20"/>
        </w:rPr>
        <w:t>Buffer</w:t>
      </w:r>
      <w:r>
        <w:rPr>
          <w:rFonts w:eastAsia="Calibri" w:cs="Calibri"/>
          <w:color w:val="000000"/>
          <w:sz w:val="20"/>
          <w:szCs w:val="20"/>
        </w:rPr>
        <w:t>s</w:t>
      </w:r>
      <w:r w:rsidRPr="00B51753">
        <w:rPr>
          <w:rFonts w:eastAsia="Calibri" w:cs="Calibri"/>
          <w:color w:val="000000"/>
          <w:sz w:val="20"/>
          <w:szCs w:val="20"/>
        </w:rPr>
        <w:t xml:space="preserve"> used for purification of MptpA.</w:t>
      </w:r>
    </w:p>
    <w:p w:rsidR="006939BE" w:rsidRPr="00B51753" w:rsidRDefault="006939BE" w:rsidP="006939BE">
      <w:pPr>
        <w:autoSpaceDE w:val="0"/>
        <w:autoSpaceDN w:val="0"/>
        <w:adjustRightInd w:val="0"/>
        <w:spacing w:after="0" w:line="240" w:lineRule="auto"/>
        <w:rPr>
          <w:rFonts w:eastAsia="Calibri" w:cs="Calibri"/>
          <w:b/>
          <w:bCs/>
          <w:color w:val="000000"/>
          <w:sz w:val="23"/>
          <w:szCs w:val="23"/>
        </w:rPr>
      </w:pPr>
    </w:p>
    <w:tbl>
      <w:tblPr>
        <w:tblpPr w:leftFromText="141" w:rightFromText="141" w:vertAnchor="text" w:horzAnchor="margin" w:tblpY="-59"/>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591"/>
      </w:tblGrid>
      <w:tr w:rsidR="006939BE" w:rsidRPr="00310DF4" w:rsidTr="00397915">
        <w:trPr>
          <w:trHeight w:val="933"/>
        </w:trPr>
        <w:tc>
          <w:tcPr>
            <w:tcW w:w="4591" w:type="dxa"/>
          </w:tcPr>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Loading buffer</w:t>
            </w:r>
          </w:p>
        </w:tc>
        <w:tc>
          <w:tcPr>
            <w:tcW w:w="4591" w:type="dxa"/>
          </w:tcPr>
          <w:p w:rsidR="006939BE" w:rsidRPr="00AF01DB" w:rsidRDefault="006939BE" w:rsidP="00397915">
            <w:pPr>
              <w:autoSpaceDE w:val="0"/>
              <w:autoSpaceDN w:val="0"/>
              <w:adjustRightInd w:val="0"/>
              <w:spacing w:after="0" w:line="240" w:lineRule="auto"/>
              <w:rPr>
                <w:rFonts w:eastAsia="Calibri" w:cs="Calibri"/>
                <w:color w:val="000000"/>
                <w:sz w:val="20"/>
                <w:szCs w:val="20"/>
                <w:lang w:val="de-DE"/>
              </w:rPr>
            </w:pPr>
            <w:r w:rsidRPr="00AF01DB">
              <w:rPr>
                <w:rFonts w:eastAsia="Calibri" w:cs="Calibri"/>
                <w:color w:val="000000"/>
                <w:sz w:val="20"/>
                <w:szCs w:val="20"/>
                <w:lang w:val="de-DE"/>
              </w:rPr>
              <w:t xml:space="preserve">50 mM Tris/HCl (pH 8.0), 300 mM NaCl, </w:t>
            </w:r>
          </w:p>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5 mM DTT, 50 mM Imidazole</w:t>
            </w:r>
          </w:p>
        </w:tc>
      </w:tr>
      <w:tr w:rsidR="006939BE" w:rsidRPr="00310DF4" w:rsidTr="00397915">
        <w:trPr>
          <w:trHeight w:val="960"/>
        </w:trPr>
        <w:tc>
          <w:tcPr>
            <w:tcW w:w="4591" w:type="dxa"/>
          </w:tcPr>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Dialysis buffer</w:t>
            </w:r>
          </w:p>
        </w:tc>
        <w:tc>
          <w:tcPr>
            <w:tcW w:w="4591" w:type="dxa"/>
          </w:tcPr>
          <w:p w:rsidR="006939BE" w:rsidRPr="00AF01DB" w:rsidRDefault="006939BE" w:rsidP="00397915">
            <w:pPr>
              <w:autoSpaceDE w:val="0"/>
              <w:autoSpaceDN w:val="0"/>
              <w:adjustRightInd w:val="0"/>
              <w:spacing w:after="0" w:line="240" w:lineRule="auto"/>
              <w:rPr>
                <w:rFonts w:eastAsia="Calibri" w:cs="Calibri"/>
                <w:color w:val="000000"/>
                <w:sz w:val="20"/>
                <w:szCs w:val="20"/>
                <w:lang w:val="de-DE"/>
              </w:rPr>
            </w:pPr>
            <w:r w:rsidRPr="00AF01DB">
              <w:rPr>
                <w:rFonts w:eastAsia="Calibri" w:cs="Calibri"/>
                <w:color w:val="000000"/>
                <w:sz w:val="20"/>
                <w:szCs w:val="20"/>
                <w:lang w:val="de-DE"/>
              </w:rPr>
              <w:t>50 mM Tris-HCl (pH 8.0), 300 mM NaCl,</w:t>
            </w:r>
          </w:p>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5 mM DTT</w:t>
            </w:r>
          </w:p>
        </w:tc>
      </w:tr>
      <w:tr w:rsidR="006939BE" w:rsidRPr="00310DF4" w:rsidTr="00397915">
        <w:trPr>
          <w:trHeight w:val="1414"/>
        </w:trPr>
        <w:tc>
          <w:tcPr>
            <w:tcW w:w="4591" w:type="dxa"/>
          </w:tcPr>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Elution buffer</w:t>
            </w:r>
          </w:p>
        </w:tc>
        <w:tc>
          <w:tcPr>
            <w:tcW w:w="4591" w:type="dxa"/>
          </w:tcPr>
          <w:p w:rsidR="006939BE" w:rsidRPr="00AF01DB" w:rsidRDefault="006939BE" w:rsidP="00397915">
            <w:pPr>
              <w:autoSpaceDE w:val="0"/>
              <w:autoSpaceDN w:val="0"/>
              <w:adjustRightInd w:val="0"/>
              <w:spacing w:after="0" w:line="240" w:lineRule="auto"/>
              <w:rPr>
                <w:rFonts w:eastAsia="Calibri" w:cs="Calibri"/>
                <w:color w:val="000000"/>
                <w:sz w:val="20"/>
                <w:szCs w:val="20"/>
                <w:lang w:val="de-DE"/>
              </w:rPr>
            </w:pPr>
            <w:r w:rsidRPr="00AF01DB">
              <w:rPr>
                <w:rFonts w:eastAsia="Calibri" w:cs="Calibri"/>
                <w:color w:val="000000"/>
                <w:sz w:val="20"/>
                <w:szCs w:val="20"/>
                <w:lang w:val="de-DE"/>
              </w:rPr>
              <w:t xml:space="preserve">50 mM Tris/HCl (pH 8.0), 300 mM NaCl, </w:t>
            </w:r>
          </w:p>
          <w:p w:rsidR="006939BE" w:rsidRPr="00AF01DB" w:rsidRDefault="006939BE" w:rsidP="00397915">
            <w:pPr>
              <w:autoSpaceDE w:val="0"/>
              <w:autoSpaceDN w:val="0"/>
              <w:adjustRightInd w:val="0"/>
              <w:spacing w:after="0" w:line="240" w:lineRule="auto"/>
              <w:rPr>
                <w:rFonts w:eastAsia="Calibri" w:cs="Calibri"/>
                <w:b/>
                <w:bCs/>
                <w:color w:val="000000"/>
                <w:sz w:val="20"/>
                <w:szCs w:val="20"/>
              </w:rPr>
            </w:pPr>
            <w:r w:rsidRPr="00AF01DB">
              <w:rPr>
                <w:rFonts w:eastAsia="Calibri" w:cs="Calibri"/>
                <w:color w:val="000000"/>
                <w:sz w:val="20"/>
                <w:szCs w:val="20"/>
              </w:rPr>
              <w:t>5 mM DTT and 500 mM Imidazole</w:t>
            </w:r>
          </w:p>
        </w:tc>
      </w:tr>
      <w:tr w:rsidR="006939BE" w:rsidRPr="00310DF4" w:rsidTr="00397915">
        <w:trPr>
          <w:trHeight w:val="933"/>
        </w:trPr>
        <w:tc>
          <w:tcPr>
            <w:tcW w:w="4591" w:type="dxa"/>
          </w:tcPr>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NMR-buffer</w:t>
            </w:r>
          </w:p>
        </w:tc>
        <w:tc>
          <w:tcPr>
            <w:tcW w:w="4591" w:type="dxa"/>
          </w:tcPr>
          <w:p w:rsidR="006939BE" w:rsidRPr="00AF01DB" w:rsidRDefault="006939BE" w:rsidP="00397915">
            <w:pPr>
              <w:autoSpaceDE w:val="0"/>
              <w:autoSpaceDN w:val="0"/>
              <w:adjustRightInd w:val="0"/>
              <w:spacing w:after="0" w:line="240" w:lineRule="auto"/>
              <w:rPr>
                <w:rFonts w:eastAsia="Calibri" w:cs="Calibri"/>
                <w:color w:val="000000"/>
                <w:sz w:val="20"/>
                <w:szCs w:val="20"/>
              </w:rPr>
            </w:pPr>
            <w:r w:rsidRPr="00AF01DB">
              <w:rPr>
                <w:rFonts w:eastAsia="Calibri" w:cs="Calibri"/>
                <w:color w:val="000000"/>
                <w:sz w:val="20"/>
                <w:szCs w:val="20"/>
              </w:rPr>
              <w:t xml:space="preserve">25 mM HEPES/NaOH buffer (pH 7.0), </w:t>
            </w:r>
          </w:p>
          <w:p w:rsidR="006939BE" w:rsidRPr="00AF01DB" w:rsidRDefault="006939BE" w:rsidP="00397915">
            <w:pPr>
              <w:autoSpaceDE w:val="0"/>
              <w:autoSpaceDN w:val="0"/>
              <w:adjustRightInd w:val="0"/>
              <w:spacing w:after="0" w:line="240" w:lineRule="auto"/>
              <w:rPr>
                <w:rFonts w:eastAsia="Calibri" w:cs="Calibri"/>
                <w:b/>
                <w:bCs/>
                <w:color w:val="000000"/>
                <w:sz w:val="20"/>
                <w:szCs w:val="20"/>
                <w:lang w:val="de-DE"/>
              </w:rPr>
            </w:pPr>
            <w:r w:rsidRPr="00AF01DB">
              <w:rPr>
                <w:rFonts w:eastAsia="Calibri" w:cs="Calibri"/>
                <w:color w:val="000000"/>
                <w:sz w:val="20"/>
                <w:szCs w:val="20"/>
                <w:lang w:val="de-DE"/>
              </w:rPr>
              <w:t xml:space="preserve">150 mM NaCl </w:t>
            </w:r>
          </w:p>
        </w:tc>
      </w:tr>
    </w:tbl>
    <w:p w:rsidR="006939BE" w:rsidRDefault="006939BE" w:rsidP="006939BE">
      <w:pPr>
        <w:autoSpaceDE w:val="0"/>
        <w:autoSpaceDN w:val="0"/>
        <w:adjustRightInd w:val="0"/>
        <w:spacing w:after="0" w:line="240" w:lineRule="auto"/>
        <w:rPr>
          <w:rFonts w:eastAsia="Calibri" w:cs="Calibri"/>
          <w:b/>
          <w:bCs/>
          <w:color w:val="000000"/>
          <w:sz w:val="23"/>
          <w:szCs w:val="23"/>
          <w:lang w:val="de-DE"/>
        </w:rPr>
      </w:pPr>
    </w:p>
    <w:p w:rsidR="006939BE" w:rsidRPr="00B74544" w:rsidRDefault="006939BE" w:rsidP="006939BE">
      <w:pPr>
        <w:autoSpaceDE w:val="0"/>
        <w:autoSpaceDN w:val="0"/>
        <w:adjustRightInd w:val="0"/>
        <w:spacing w:after="0"/>
        <w:rPr>
          <w:rFonts w:eastAsia="Calibri" w:cs="Calibri"/>
          <w:b/>
          <w:bCs/>
          <w:color w:val="000000"/>
          <w:sz w:val="20"/>
          <w:szCs w:val="20"/>
          <w:lang w:val="de-DE"/>
        </w:rPr>
      </w:pPr>
      <w:r w:rsidRPr="00B74544">
        <w:rPr>
          <w:rFonts w:eastAsia="Calibri" w:cs="Calibri"/>
          <w:b/>
          <w:bCs/>
          <w:color w:val="000000"/>
          <w:sz w:val="20"/>
          <w:szCs w:val="20"/>
          <w:lang w:val="de-DE"/>
        </w:rPr>
        <w:t>M9-aa-expression medium</w:t>
      </w:r>
    </w:p>
    <w:p w:rsidR="006939BE" w:rsidRPr="008302F3" w:rsidRDefault="006939BE" w:rsidP="006939BE">
      <w:pPr>
        <w:autoSpaceDE w:val="0"/>
        <w:autoSpaceDN w:val="0"/>
        <w:adjustRightInd w:val="0"/>
        <w:spacing w:after="0"/>
        <w:rPr>
          <w:rFonts w:eastAsia="Calibri" w:cs="Calibri"/>
          <w:b/>
          <w:bCs/>
          <w:color w:val="000000"/>
          <w:sz w:val="20"/>
          <w:szCs w:val="20"/>
          <w:lang w:val="de-DE"/>
        </w:rPr>
      </w:pPr>
      <w:r>
        <w:rPr>
          <w:rFonts w:eastAsia="Calibri" w:cs="Calibri"/>
          <w:color w:val="1C1D1E"/>
          <w:sz w:val="20"/>
          <w:szCs w:val="20"/>
          <w:shd w:val="clear" w:color="auto" w:fill="FFFFFF"/>
          <w:lang w:val="de-DE"/>
        </w:rPr>
        <w:t>M</w:t>
      </w:r>
      <w:r w:rsidRPr="00310DF4">
        <w:rPr>
          <w:rFonts w:eastAsia="Calibri" w:cs="Calibri"/>
          <w:color w:val="1C1D1E"/>
          <w:sz w:val="20"/>
          <w:szCs w:val="20"/>
          <w:shd w:val="clear" w:color="auto" w:fill="FFFFFF"/>
          <w:lang w:val="de-DE"/>
        </w:rPr>
        <w:t>odified M9 medium containing unlabeled </w:t>
      </w:r>
      <w:r w:rsidRPr="00310DF4">
        <w:rPr>
          <w:rFonts w:eastAsia="Calibri" w:cs="Calibri"/>
          <w:smallCaps/>
          <w:color w:val="1C1D1E"/>
          <w:sz w:val="20"/>
          <w:szCs w:val="20"/>
          <w:shd w:val="clear" w:color="auto" w:fill="FFFFFF"/>
          <w:lang w:val="de-DE"/>
        </w:rPr>
        <w:t>L</w:t>
      </w:r>
      <w:r w:rsidRPr="00310DF4">
        <w:rPr>
          <w:rFonts w:eastAsia="Calibri" w:cs="Calibri"/>
          <w:color w:val="1C1D1E"/>
          <w:sz w:val="20"/>
          <w:szCs w:val="20"/>
          <w:shd w:val="clear" w:color="auto" w:fill="FFFFFF"/>
          <w:lang w:val="de-DE"/>
        </w:rPr>
        <w:t>-amino acids: 0.1 g asparagine, 0.4 g alanine, 0.4 g arginine, 0.25 g aspartic acid, 0.05 g cysteine, 0.4 g glutamine, 0.4 g glutamic acid, 0.4 g glycine, 0.1 g histidine, 0.1 g isoleucine, 1.0 g leucine, 0.1 g lysine hydrochloride, 0.05 g methionine, 0.05</w:t>
      </w:r>
      <w:r>
        <w:rPr>
          <w:rFonts w:eastAsia="Calibri" w:cs="Calibri"/>
          <w:color w:val="1C1D1E"/>
          <w:sz w:val="20"/>
          <w:szCs w:val="20"/>
          <w:shd w:val="clear" w:color="auto" w:fill="FFFFFF"/>
          <w:lang w:val="de-DE"/>
        </w:rPr>
        <w:t xml:space="preserve"> g </w:t>
      </w:r>
      <w:r w:rsidRPr="00310DF4">
        <w:rPr>
          <w:rFonts w:eastAsia="Calibri" w:cs="Calibri"/>
          <w:color w:val="1C1D1E"/>
          <w:sz w:val="20"/>
          <w:szCs w:val="20"/>
          <w:shd w:val="clear" w:color="auto" w:fill="FFFFFF"/>
          <w:lang w:val="de-DE"/>
        </w:rPr>
        <w:t>phenyl</w:t>
      </w:r>
      <w:r>
        <w:rPr>
          <w:rFonts w:eastAsia="Calibri" w:cs="Calibri"/>
          <w:color w:val="1C1D1E"/>
          <w:sz w:val="20"/>
          <w:szCs w:val="20"/>
          <w:shd w:val="clear" w:color="auto" w:fill="FFFFFF"/>
          <w:lang w:val="de-DE"/>
        </w:rPr>
        <w:t>-</w:t>
      </w:r>
      <w:r w:rsidRPr="00310DF4">
        <w:rPr>
          <w:rFonts w:eastAsia="Calibri" w:cs="Calibri"/>
          <w:color w:val="1C1D1E"/>
          <w:sz w:val="20"/>
          <w:szCs w:val="20"/>
          <w:shd w:val="clear" w:color="auto" w:fill="FFFFFF"/>
          <w:lang w:val="de-DE"/>
        </w:rPr>
        <w:t>alanine, 0.1 g proline, 1.6 g serine, 0.1 g threonine, 0.1 g tyrosine, and 0.05 g valine.</w:t>
      </w:r>
    </w:p>
    <w:p w:rsidR="00652AEE" w:rsidRDefault="00652AEE">
      <w:bookmarkStart w:id="0" w:name="_GoBack"/>
      <w:bookmarkEnd w:id="0"/>
    </w:p>
    <w:sectPr w:rsidR="00652AEE" w:rsidSect="008302F3">
      <w:type w:val="continuous"/>
      <w:pgSz w:w="11906" w:h="16838"/>
      <w:pgMar w:top="1418" w:right="1418" w:bottom="1134" w:left="1418" w:header="709" w:footer="709" w:gutter="0"/>
      <w:lnNumType w:countBy="1" w:start="383"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Times-b">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26"/>
    <w:rsid w:val="00652AEE"/>
    <w:rsid w:val="006939BE"/>
    <w:rsid w:val="00A7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3401-5CAD-4C3D-B61B-0ECCFFDC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9B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9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670</Words>
  <Characters>3825</Characters>
  <Application>Microsoft Office Word</Application>
  <DocSecurity>0</DocSecurity>
  <Lines>31</Lines>
  <Paragraphs>8</Paragraphs>
  <ScaleCrop>false</ScaleCrop>
  <Company>SPS</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dc:creator>
  <cp:keywords/>
  <dc:description/>
  <cp:lastModifiedBy>Vinoth</cp:lastModifiedBy>
  <cp:revision>2</cp:revision>
  <dcterms:created xsi:type="dcterms:W3CDTF">2022-04-08T13:33:00Z</dcterms:created>
  <dcterms:modified xsi:type="dcterms:W3CDTF">2022-04-08T13:33:00Z</dcterms:modified>
</cp:coreProperties>
</file>