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8A349" w14:textId="29155981" w:rsidR="00137B3E" w:rsidRDefault="00C873EB" w:rsidP="00137B3E">
      <w:pPr>
        <w:spacing w:after="0" w:line="480" w:lineRule="auto"/>
        <w:jc w:val="both"/>
        <w:rPr>
          <w:rFonts w:ascii="Arial" w:hAnsi="Arial" w:cs="Arial"/>
          <w:b/>
          <w:lang w:val="en-US"/>
        </w:rPr>
      </w:pPr>
      <w:r w:rsidRPr="00C873EB">
        <w:rPr>
          <w:rFonts w:ascii="Arial" w:hAnsi="Arial" w:cs="Arial"/>
          <w:noProof/>
          <w:lang w:eastAsia="de-DE"/>
        </w:rPr>
        <w:drawing>
          <wp:anchor distT="0" distB="0" distL="114300" distR="114300" simplePos="0" relativeHeight="251683840" behindDoc="0" locked="0" layoutInCell="1" allowOverlap="1" wp14:anchorId="5B9B0DB1" wp14:editId="33177372">
            <wp:simplePos x="0" y="0"/>
            <wp:positionH relativeFrom="margin">
              <wp:align>center</wp:align>
            </wp:positionH>
            <wp:positionV relativeFrom="paragraph">
              <wp:posOffset>482819</wp:posOffset>
            </wp:positionV>
            <wp:extent cx="4997450" cy="4822190"/>
            <wp:effectExtent l="0" t="0" r="0" b="0"/>
            <wp:wrapTopAndBottom/>
            <wp:docPr id="4" name="Grafik 4" descr="D:\Neue MSs\Peter\Final MS\Suppl. Figure 1_2011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ue MSs\Peter\Final MS\Suppl. Figure 1_201110.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0" cy="482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3E">
        <w:rPr>
          <w:rFonts w:ascii="Arial" w:hAnsi="Arial" w:cs="Arial"/>
          <w:b/>
          <w:lang w:val="en-US"/>
        </w:rPr>
        <w:t>SUPPLEMENTARY INFORMATION</w:t>
      </w:r>
    </w:p>
    <w:p w14:paraId="11C4E118" w14:textId="41104AE0" w:rsidR="00137B3E" w:rsidRPr="00137B3E" w:rsidRDefault="00137B3E" w:rsidP="00137B3E">
      <w:pPr>
        <w:spacing w:after="0" w:line="480" w:lineRule="auto"/>
        <w:jc w:val="both"/>
        <w:rPr>
          <w:rFonts w:ascii="Arial" w:hAnsi="Arial" w:cs="Arial"/>
          <w:lang w:val="en-US"/>
        </w:rPr>
      </w:pPr>
    </w:p>
    <w:p w14:paraId="68E9887B" w14:textId="77777777" w:rsidR="00CE0A7C" w:rsidRDefault="00CE0A7C" w:rsidP="00137B3E">
      <w:pPr>
        <w:spacing w:after="0" w:line="480" w:lineRule="auto"/>
        <w:jc w:val="both"/>
        <w:rPr>
          <w:rFonts w:ascii="Arial" w:hAnsi="Arial" w:cs="Arial"/>
          <w:b/>
          <w:bCs/>
          <w:lang w:val="en-US"/>
        </w:rPr>
      </w:pPr>
    </w:p>
    <w:p w14:paraId="544822FE" w14:textId="0FECE9C9" w:rsidR="00137B3E" w:rsidRPr="00745ADD" w:rsidRDefault="00137B3E" w:rsidP="00137B3E">
      <w:pPr>
        <w:spacing w:after="0" w:line="480" w:lineRule="auto"/>
        <w:jc w:val="both"/>
        <w:rPr>
          <w:rFonts w:ascii="Arial" w:hAnsi="Arial" w:cs="Arial"/>
          <w:b/>
          <w:bCs/>
          <w:lang w:val="en-US"/>
        </w:rPr>
      </w:pPr>
      <w:r w:rsidRPr="00745ADD">
        <w:rPr>
          <w:rFonts w:ascii="Arial" w:hAnsi="Arial" w:cs="Arial"/>
          <w:b/>
          <w:bCs/>
          <w:lang w:val="en-US"/>
        </w:rPr>
        <w:t xml:space="preserve">Suppl. Figure 1. </w:t>
      </w:r>
      <w:r w:rsidR="009E5708">
        <w:rPr>
          <w:rFonts w:ascii="Arial" w:hAnsi="Arial" w:cs="Arial"/>
          <w:b/>
          <w:bCs/>
          <w:lang w:val="en-US"/>
        </w:rPr>
        <w:t>Gating strategy of myeloid subpopulations.</w:t>
      </w:r>
    </w:p>
    <w:p w14:paraId="0A04BD4D" w14:textId="78BB90BD" w:rsidR="00137B3E" w:rsidRDefault="00C57736" w:rsidP="00137B3E">
      <w:pPr>
        <w:spacing w:after="0" w:line="480" w:lineRule="auto"/>
        <w:jc w:val="both"/>
        <w:rPr>
          <w:rFonts w:ascii="Arial" w:hAnsi="Arial" w:cs="Arial"/>
          <w:lang w:val="en-US"/>
        </w:rPr>
      </w:pPr>
      <w:r>
        <w:rPr>
          <w:rFonts w:ascii="Arial" w:hAnsi="Arial" w:cs="Arial"/>
          <w:lang w:val="en-US"/>
        </w:rPr>
        <w:t>V</w:t>
      </w:r>
      <w:r w:rsidR="00EF5DA3">
        <w:rPr>
          <w:rFonts w:ascii="Arial" w:hAnsi="Arial" w:cs="Arial"/>
          <w:lang w:val="en-US"/>
        </w:rPr>
        <w:t xml:space="preserve">iable cells and doublets were discriminated by SSC and FSC characteristics. </w:t>
      </w:r>
      <w:r w:rsidR="00745ADD">
        <w:rPr>
          <w:rFonts w:ascii="Arial" w:hAnsi="Arial" w:cs="Arial"/>
          <w:lang w:val="en-US"/>
        </w:rPr>
        <w:t>Dendritic cells</w:t>
      </w:r>
      <w:r w:rsidR="00EF5DA3">
        <w:rPr>
          <w:rFonts w:ascii="Arial" w:hAnsi="Arial" w:cs="Arial"/>
          <w:lang w:val="en-US"/>
        </w:rPr>
        <w:t xml:space="preserve"> </w:t>
      </w:r>
      <w:r w:rsidR="00745ADD">
        <w:rPr>
          <w:rFonts w:ascii="Arial" w:hAnsi="Arial" w:cs="Arial"/>
          <w:lang w:val="en-US"/>
        </w:rPr>
        <w:t xml:space="preserve">(DCs) </w:t>
      </w:r>
      <w:r w:rsidR="00EF5DA3">
        <w:rPr>
          <w:rFonts w:ascii="Arial" w:hAnsi="Arial" w:cs="Arial"/>
          <w:lang w:val="en-US"/>
        </w:rPr>
        <w:t>were defined as CD11c</w:t>
      </w:r>
      <w:r w:rsidR="00EF5DA3" w:rsidRPr="00EF5DA3">
        <w:rPr>
          <w:rFonts w:ascii="Arial" w:hAnsi="Arial" w:cs="Arial"/>
          <w:vertAlign w:val="superscript"/>
          <w:lang w:val="en-US"/>
        </w:rPr>
        <w:t>+</w:t>
      </w:r>
      <w:r w:rsidR="00EF5DA3">
        <w:rPr>
          <w:rFonts w:ascii="Arial" w:hAnsi="Arial" w:cs="Arial"/>
          <w:lang w:val="en-US"/>
        </w:rPr>
        <w:t>, MHCII</w:t>
      </w:r>
      <w:r w:rsidR="00EF5DA3" w:rsidRPr="00EF5DA3">
        <w:rPr>
          <w:rFonts w:ascii="Arial" w:hAnsi="Arial" w:cs="Arial"/>
          <w:vertAlign w:val="superscript"/>
          <w:lang w:val="en-US"/>
        </w:rPr>
        <w:t>+</w:t>
      </w:r>
      <w:r w:rsidR="00EF5DA3">
        <w:rPr>
          <w:rFonts w:ascii="Arial" w:hAnsi="Arial" w:cs="Arial"/>
          <w:lang w:val="en-US"/>
        </w:rPr>
        <w:t>.</w:t>
      </w:r>
      <w:r w:rsidR="00745ADD">
        <w:rPr>
          <w:rFonts w:ascii="Arial" w:hAnsi="Arial" w:cs="Arial"/>
          <w:lang w:val="en-US"/>
        </w:rPr>
        <w:t xml:space="preserve"> CD45</w:t>
      </w:r>
      <w:r w:rsidR="00745ADD" w:rsidRPr="00745ADD">
        <w:rPr>
          <w:rFonts w:ascii="Arial" w:hAnsi="Arial" w:cs="Arial"/>
          <w:vertAlign w:val="superscript"/>
          <w:lang w:val="en-US"/>
        </w:rPr>
        <w:t>+</w:t>
      </w:r>
      <w:r w:rsidR="00745ADD">
        <w:rPr>
          <w:rFonts w:ascii="Arial" w:hAnsi="Arial" w:cs="Arial"/>
          <w:lang w:val="en-US"/>
        </w:rPr>
        <w:t xml:space="preserve"> n</w:t>
      </w:r>
      <w:r w:rsidR="00EF5DA3">
        <w:rPr>
          <w:rFonts w:ascii="Arial" w:hAnsi="Arial" w:cs="Arial"/>
          <w:lang w:val="en-US"/>
        </w:rPr>
        <w:t xml:space="preserve">on-DCs were </w:t>
      </w:r>
      <w:r w:rsidR="00745ADD">
        <w:rPr>
          <w:rFonts w:ascii="Arial" w:hAnsi="Arial" w:cs="Arial"/>
          <w:lang w:val="en-US"/>
        </w:rPr>
        <w:t xml:space="preserve">classified as </w:t>
      </w:r>
      <w:r w:rsidR="00BB175E">
        <w:rPr>
          <w:rFonts w:ascii="Arial" w:hAnsi="Arial" w:cs="Arial"/>
          <w:lang w:val="en-US"/>
        </w:rPr>
        <w:t>lymphoid (CD45</w:t>
      </w:r>
      <w:r w:rsidR="00BB175E" w:rsidRPr="00745ADD">
        <w:rPr>
          <w:rFonts w:ascii="Arial" w:hAnsi="Arial" w:cs="Arial"/>
          <w:vertAlign w:val="superscript"/>
          <w:lang w:val="en-US"/>
        </w:rPr>
        <w:t>+</w:t>
      </w:r>
      <w:r w:rsidR="00BB175E" w:rsidRPr="00745ADD">
        <w:rPr>
          <w:rFonts w:ascii="Arial" w:hAnsi="Arial" w:cs="Arial"/>
          <w:lang w:val="en-US"/>
        </w:rPr>
        <w:t>,</w:t>
      </w:r>
      <w:r w:rsidR="00BB175E">
        <w:rPr>
          <w:rFonts w:ascii="Arial" w:hAnsi="Arial" w:cs="Arial"/>
          <w:lang w:val="en-US"/>
        </w:rPr>
        <w:t xml:space="preserve"> CD11b</w:t>
      </w:r>
      <w:r w:rsidR="00BB175E" w:rsidRPr="00745ADD">
        <w:rPr>
          <w:rFonts w:ascii="Arial" w:hAnsi="Arial" w:cs="Arial"/>
          <w:vertAlign w:val="superscript"/>
          <w:lang w:val="en-US"/>
        </w:rPr>
        <w:t>-</w:t>
      </w:r>
      <w:r w:rsidR="00BB175E">
        <w:rPr>
          <w:rFonts w:ascii="Arial" w:hAnsi="Arial" w:cs="Arial"/>
          <w:lang w:val="en-US"/>
        </w:rPr>
        <w:t xml:space="preserve">) </w:t>
      </w:r>
      <w:r w:rsidR="00745ADD">
        <w:rPr>
          <w:rFonts w:ascii="Arial" w:hAnsi="Arial" w:cs="Arial"/>
          <w:lang w:val="en-US"/>
        </w:rPr>
        <w:t xml:space="preserve">or </w:t>
      </w:r>
      <w:r w:rsidR="00BB175E">
        <w:rPr>
          <w:rFonts w:ascii="Arial" w:hAnsi="Arial" w:cs="Arial"/>
          <w:lang w:val="en-US"/>
        </w:rPr>
        <w:t>myeloid (CD45</w:t>
      </w:r>
      <w:r w:rsidR="00BB175E" w:rsidRPr="00745ADD">
        <w:rPr>
          <w:rFonts w:ascii="Arial" w:hAnsi="Arial" w:cs="Arial"/>
          <w:vertAlign w:val="superscript"/>
          <w:lang w:val="en-US"/>
        </w:rPr>
        <w:t>+</w:t>
      </w:r>
      <w:r w:rsidR="00BB175E" w:rsidRPr="00745ADD">
        <w:rPr>
          <w:rFonts w:ascii="Arial" w:hAnsi="Arial" w:cs="Arial"/>
          <w:lang w:val="en-US"/>
        </w:rPr>
        <w:t>,</w:t>
      </w:r>
      <w:r w:rsidR="00BB175E">
        <w:rPr>
          <w:rFonts w:ascii="Arial" w:hAnsi="Arial" w:cs="Arial"/>
          <w:lang w:val="en-US"/>
        </w:rPr>
        <w:t xml:space="preserve"> CD11b</w:t>
      </w:r>
      <w:r w:rsidR="00BB175E" w:rsidRPr="00745ADD">
        <w:rPr>
          <w:rFonts w:ascii="Arial" w:hAnsi="Arial" w:cs="Arial"/>
          <w:vertAlign w:val="superscript"/>
          <w:lang w:val="en-US"/>
        </w:rPr>
        <w:t>+</w:t>
      </w:r>
      <w:r w:rsidR="00BB175E">
        <w:rPr>
          <w:rFonts w:ascii="Arial" w:hAnsi="Arial" w:cs="Arial"/>
          <w:lang w:val="en-US"/>
        </w:rPr>
        <w:t>) cells</w:t>
      </w:r>
      <w:r w:rsidR="00745ADD">
        <w:rPr>
          <w:rFonts w:ascii="Arial" w:hAnsi="Arial" w:cs="Arial"/>
          <w:lang w:val="en-US"/>
        </w:rPr>
        <w:t xml:space="preserve">. F4/80, </w:t>
      </w:r>
      <w:proofErr w:type="spellStart"/>
      <w:r w:rsidR="00745ADD">
        <w:rPr>
          <w:rFonts w:ascii="Arial" w:hAnsi="Arial" w:cs="Arial"/>
          <w:lang w:val="en-US"/>
        </w:rPr>
        <w:t>MerTK</w:t>
      </w:r>
      <w:r w:rsidR="00745ADD" w:rsidRPr="00745ADD">
        <w:rPr>
          <w:rFonts w:ascii="Arial" w:hAnsi="Arial" w:cs="Arial"/>
          <w:vertAlign w:val="superscript"/>
          <w:lang w:val="en-US"/>
        </w:rPr>
        <w:t>hi</w:t>
      </w:r>
      <w:proofErr w:type="spellEnd"/>
      <w:r w:rsidR="00745ADD">
        <w:rPr>
          <w:rFonts w:ascii="Arial" w:hAnsi="Arial" w:cs="Arial"/>
          <w:lang w:val="en-US"/>
        </w:rPr>
        <w:t xml:space="preserve"> cells were defined as F4/80</w:t>
      </w:r>
      <w:r w:rsidR="00745ADD" w:rsidRPr="00745ADD">
        <w:rPr>
          <w:rFonts w:ascii="Arial" w:hAnsi="Arial" w:cs="Arial"/>
          <w:vertAlign w:val="superscript"/>
          <w:lang w:val="en-US"/>
        </w:rPr>
        <w:t>hi</w:t>
      </w:r>
      <w:r w:rsidR="00745ADD">
        <w:rPr>
          <w:rFonts w:ascii="Arial" w:hAnsi="Arial" w:cs="Arial"/>
          <w:lang w:val="en-US"/>
        </w:rPr>
        <w:t xml:space="preserve"> macrophages (</w:t>
      </w:r>
      <w:r w:rsidR="00BB175E" w:rsidRPr="00E966EB">
        <w:rPr>
          <w:rFonts w:ascii="Arial" w:hAnsi="Arial" w:cs="Arial"/>
          <w:lang w:val="en-US"/>
        </w:rPr>
        <w:t>M</w:t>
      </w:r>
      <w:r w:rsidR="00BB175E">
        <w:rPr>
          <w:rFonts w:ascii="Arial" w:hAnsi="Arial" w:cs="Arial"/>
          <w:lang w:val="en-US"/>
        </w:rPr>
        <w:sym w:font="Symbol" w:char="F066"/>
      </w:r>
      <w:r w:rsidR="00745ADD">
        <w:rPr>
          <w:rFonts w:ascii="Arial" w:hAnsi="Arial" w:cs="Arial"/>
          <w:lang w:val="en-US"/>
        </w:rPr>
        <w:t>)</w:t>
      </w:r>
      <w:r w:rsidR="00565F53">
        <w:rPr>
          <w:rFonts w:ascii="Arial" w:hAnsi="Arial" w:cs="Arial"/>
          <w:lang w:val="en-US"/>
        </w:rPr>
        <w:t xml:space="preserve"> (CD45</w:t>
      </w:r>
      <w:r w:rsidR="00565F53" w:rsidRPr="00745ADD">
        <w:rPr>
          <w:rFonts w:ascii="Arial" w:hAnsi="Arial" w:cs="Arial"/>
          <w:vertAlign w:val="superscript"/>
          <w:lang w:val="en-US"/>
        </w:rPr>
        <w:t>+</w:t>
      </w:r>
      <w:r w:rsidR="00565F53" w:rsidRPr="00745ADD">
        <w:rPr>
          <w:rFonts w:ascii="Arial" w:hAnsi="Arial" w:cs="Arial"/>
          <w:lang w:val="en-US"/>
        </w:rPr>
        <w:t>,</w:t>
      </w:r>
      <w:r w:rsidR="00565F53">
        <w:rPr>
          <w:rFonts w:ascii="Arial" w:hAnsi="Arial" w:cs="Arial"/>
          <w:lang w:val="en-US"/>
        </w:rPr>
        <w:t xml:space="preserve"> CD11b</w:t>
      </w:r>
      <w:r w:rsidR="00565F53" w:rsidRPr="00745ADD">
        <w:rPr>
          <w:rFonts w:ascii="Arial" w:hAnsi="Arial" w:cs="Arial"/>
          <w:vertAlign w:val="superscript"/>
          <w:lang w:val="en-US"/>
        </w:rPr>
        <w:t>+</w:t>
      </w:r>
      <w:r w:rsidR="00565F53">
        <w:rPr>
          <w:rFonts w:ascii="Arial" w:hAnsi="Arial" w:cs="Arial"/>
          <w:lang w:val="en-US"/>
        </w:rPr>
        <w:t xml:space="preserve">, F4/80, </w:t>
      </w:r>
      <w:proofErr w:type="spellStart"/>
      <w:r w:rsidR="00565F53">
        <w:rPr>
          <w:rFonts w:ascii="Arial" w:hAnsi="Arial" w:cs="Arial"/>
          <w:lang w:val="en-US"/>
        </w:rPr>
        <w:t>MerTK</w:t>
      </w:r>
      <w:r w:rsidR="00565F53" w:rsidRPr="00745ADD">
        <w:rPr>
          <w:rFonts w:ascii="Arial" w:hAnsi="Arial" w:cs="Arial"/>
          <w:vertAlign w:val="superscript"/>
          <w:lang w:val="en-US"/>
        </w:rPr>
        <w:t>hi</w:t>
      </w:r>
      <w:proofErr w:type="spellEnd"/>
      <w:r w:rsidR="00565F53" w:rsidRPr="00565F53">
        <w:rPr>
          <w:rFonts w:ascii="Arial" w:hAnsi="Arial" w:cs="Arial"/>
          <w:lang w:val="en-US"/>
        </w:rPr>
        <w:t>)</w:t>
      </w:r>
      <w:r w:rsidR="00745ADD">
        <w:rPr>
          <w:rFonts w:ascii="Arial" w:hAnsi="Arial" w:cs="Arial"/>
          <w:lang w:val="en-US"/>
        </w:rPr>
        <w:t xml:space="preserve">. Neutrophils (PMNs) were separated from the remaining cells </w:t>
      </w:r>
      <w:r w:rsidR="009E5708">
        <w:rPr>
          <w:rFonts w:ascii="Arial" w:hAnsi="Arial" w:cs="Arial"/>
          <w:lang w:val="en-US"/>
        </w:rPr>
        <w:t>based on</w:t>
      </w:r>
      <w:r w:rsidR="00745ADD">
        <w:rPr>
          <w:rFonts w:ascii="Arial" w:hAnsi="Arial" w:cs="Arial"/>
          <w:lang w:val="en-US"/>
        </w:rPr>
        <w:t xml:space="preserve"> Ly6G</w:t>
      </w:r>
      <w:r w:rsidR="009E5708">
        <w:rPr>
          <w:rFonts w:ascii="Arial" w:hAnsi="Arial" w:cs="Arial"/>
          <w:lang w:val="en-US"/>
        </w:rPr>
        <w:t xml:space="preserve"> </w:t>
      </w:r>
      <w:r w:rsidR="00745ADD">
        <w:rPr>
          <w:rFonts w:ascii="Arial" w:hAnsi="Arial" w:cs="Arial"/>
          <w:lang w:val="en-US"/>
        </w:rPr>
        <w:t>expression</w:t>
      </w:r>
      <w:r w:rsidR="00565F53">
        <w:rPr>
          <w:rFonts w:ascii="Arial" w:hAnsi="Arial" w:cs="Arial"/>
          <w:lang w:val="en-US"/>
        </w:rPr>
        <w:t xml:space="preserve"> (CD45</w:t>
      </w:r>
      <w:r w:rsidR="00565F53" w:rsidRPr="00745ADD">
        <w:rPr>
          <w:rFonts w:ascii="Arial" w:hAnsi="Arial" w:cs="Arial"/>
          <w:vertAlign w:val="superscript"/>
          <w:lang w:val="en-US"/>
        </w:rPr>
        <w:t>+</w:t>
      </w:r>
      <w:r w:rsidR="00565F53" w:rsidRPr="00745ADD">
        <w:rPr>
          <w:rFonts w:ascii="Arial" w:hAnsi="Arial" w:cs="Arial"/>
          <w:lang w:val="en-US"/>
        </w:rPr>
        <w:t>,</w:t>
      </w:r>
      <w:r w:rsidR="00565F53">
        <w:rPr>
          <w:rFonts w:ascii="Arial" w:hAnsi="Arial" w:cs="Arial"/>
          <w:lang w:val="en-US"/>
        </w:rPr>
        <w:t xml:space="preserve"> CD11b</w:t>
      </w:r>
      <w:r w:rsidR="00565F53" w:rsidRPr="00745ADD">
        <w:rPr>
          <w:rFonts w:ascii="Arial" w:hAnsi="Arial" w:cs="Arial"/>
          <w:vertAlign w:val="superscript"/>
          <w:lang w:val="en-US"/>
        </w:rPr>
        <w:t>+</w:t>
      </w:r>
      <w:r w:rsidR="00565F53">
        <w:rPr>
          <w:rFonts w:ascii="Arial" w:hAnsi="Arial" w:cs="Arial"/>
          <w:lang w:val="en-US"/>
        </w:rPr>
        <w:t xml:space="preserve">, F4/80, </w:t>
      </w:r>
      <w:proofErr w:type="spellStart"/>
      <w:r w:rsidR="00565F53">
        <w:rPr>
          <w:rFonts w:ascii="Arial" w:hAnsi="Arial" w:cs="Arial"/>
          <w:lang w:val="en-US"/>
        </w:rPr>
        <w:t>MerTK</w:t>
      </w:r>
      <w:r w:rsidR="00565F53">
        <w:rPr>
          <w:rFonts w:ascii="Arial" w:hAnsi="Arial" w:cs="Arial"/>
          <w:vertAlign w:val="superscript"/>
          <w:lang w:val="en-US"/>
        </w:rPr>
        <w:t>lo</w:t>
      </w:r>
      <w:proofErr w:type="spellEnd"/>
      <w:r w:rsidR="00565F53">
        <w:rPr>
          <w:rFonts w:ascii="Arial" w:hAnsi="Arial" w:cs="Arial"/>
          <w:lang w:val="en-US"/>
        </w:rPr>
        <w:t>, Ly6G</w:t>
      </w:r>
      <w:r w:rsidR="00565F53" w:rsidRPr="00565F53">
        <w:rPr>
          <w:rFonts w:ascii="Arial" w:hAnsi="Arial" w:cs="Arial"/>
          <w:vertAlign w:val="superscript"/>
          <w:lang w:val="en-US"/>
        </w:rPr>
        <w:t>+</w:t>
      </w:r>
      <w:r w:rsidR="00565F53" w:rsidRPr="00565F53">
        <w:rPr>
          <w:rFonts w:ascii="Arial" w:hAnsi="Arial" w:cs="Arial"/>
          <w:lang w:val="en-US"/>
        </w:rPr>
        <w:t>)</w:t>
      </w:r>
      <w:r w:rsidR="00745ADD">
        <w:rPr>
          <w:rFonts w:ascii="Arial" w:hAnsi="Arial" w:cs="Arial"/>
          <w:lang w:val="en-US"/>
        </w:rPr>
        <w:t xml:space="preserve">. </w:t>
      </w:r>
      <w:r w:rsidR="009E5708">
        <w:rPr>
          <w:rFonts w:ascii="Arial" w:hAnsi="Arial" w:cs="Arial"/>
          <w:lang w:val="en-US"/>
        </w:rPr>
        <w:t>Within the</w:t>
      </w:r>
      <w:r w:rsidR="00745ADD">
        <w:rPr>
          <w:rFonts w:ascii="Arial" w:hAnsi="Arial" w:cs="Arial"/>
          <w:lang w:val="en-US"/>
        </w:rPr>
        <w:t xml:space="preserve"> F4/80, </w:t>
      </w:r>
      <w:proofErr w:type="spellStart"/>
      <w:r w:rsidR="00745ADD">
        <w:rPr>
          <w:rFonts w:ascii="Arial" w:hAnsi="Arial" w:cs="Arial"/>
          <w:lang w:val="en-US"/>
        </w:rPr>
        <w:t>MerTK</w:t>
      </w:r>
      <w:r w:rsidR="00745ADD">
        <w:rPr>
          <w:rFonts w:ascii="Arial" w:hAnsi="Arial" w:cs="Arial"/>
          <w:vertAlign w:val="superscript"/>
          <w:lang w:val="en-US"/>
        </w:rPr>
        <w:t>lo</w:t>
      </w:r>
      <w:proofErr w:type="spellEnd"/>
      <w:r w:rsidR="00745ADD">
        <w:rPr>
          <w:rFonts w:ascii="Arial" w:hAnsi="Arial" w:cs="Arial"/>
          <w:lang w:val="en-US"/>
        </w:rPr>
        <w:t>, Ly6G</w:t>
      </w:r>
      <w:r w:rsidR="00745ADD" w:rsidRPr="00745ADD">
        <w:rPr>
          <w:rFonts w:ascii="Arial" w:hAnsi="Arial" w:cs="Arial"/>
          <w:vertAlign w:val="superscript"/>
          <w:lang w:val="en-US"/>
        </w:rPr>
        <w:t>-</w:t>
      </w:r>
      <w:r w:rsidR="00745ADD">
        <w:rPr>
          <w:rFonts w:ascii="Arial" w:hAnsi="Arial" w:cs="Arial"/>
          <w:lang w:val="en-US"/>
        </w:rPr>
        <w:t xml:space="preserve"> cells, MHCII was used to </w:t>
      </w:r>
      <w:r w:rsidR="00BB175E">
        <w:rPr>
          <w:rFonts w:ascii="Arial" w:hAnsi="Arial" w:cs="Arial"/>
          <w:lang w:val="en-US"/>
        </w:rPr>
        <w:t>differentiate</w:t>
      </w:r>
      <w:r w:rsidR="00745ADD">
        <w:rPr>
          <w:rFonts w:ascii="Arial" w:hAnsi="Arial" w:cs="Arial"/>
          <w:lang w:val="en-US"/>
        </w:rPr>
        <w:t xml:space="preserve"> F4/80</w:t>
      </w:r>
      <w:r w:rsidR="00745ADD">
        <w:rPr>
          <w:rFonts w:ascii="Arial" w:hAnsi="Arial" w:cs="Arial"/>
          <w:vertAlign w:val="superscript"/>
          <w:lang w:val="en-US"/>
        </w:rPr>
        <w:t>lo</w:t>
      </w:r>
      <w:r w:rsidR="00745ADD">
        <w:rPr>
          <w:rFonts w:ascii="Arial" w:hAnsi="Arial" w:cs="Arial"/>
          <w:lang w:val="en-US"/>
        </w:rPr>
        <w:t xml:space="preserve"> </w:t>
      </w:r>
      <w:r w:rsidR="00BB175E" w:rsidRPr="00E966EB">
        <w:rPr>
          <w:rFonts w:ascii="Arial" w:hAnsi="Arial" w:cs="Arial"/>
          <w:lang w:val="en-US"/>
        </w:rPr>
        <w:t>M</w:t>
      </w:r>
      <w:r w:rsidR="00BB175E">
        <w:rPr>
          <w:rFonts w:ascii="Arial" w:hAnsi="Arial" w:cs="Arial"/>
          <w:lang w:val="en-US"/>
        </w:rPr>
        <w:sym w:font="Symbol" w:char="F066"/>
      </w:r>
      <w:r w:rsidR="00745ADD">
        <w:rPr>
          <w:rFonts w:ascii="Arial" w:hAnsi="Arial" w:cs="Arial"/>
          <w:lang w:val="en-US"/>
        </w:rPr>
        <w:t xml:space="preserve"> </w:t>
      </w:r>
      <w:r w:rsidR="00565F53">
        <w:rPr>
          <w:rFonts w:ascii="Arial" w:hAnsi="Arial" w:cs="Arial"/>
          <w:lang w:val="en-US"/>
        </w:rPr>
        <w:t>(CD45</w:t>
      </w:r>
      <w:r w:rsidR="00565F53" w:rsidRPr="00745ADD">
        <w:rPr>
          <w:rFonts w:ascii="Arial" w:hAnsi="Arial" w:cs="Arial"/>
          <w:vertAlign w:val="superscript"/>
          <w:lang w:val="en-US"/>
        </w:rPr>
        <w:t>+</w:t>
      </w:r>
      <w:r w:rsidR="00565F53" w:rsidRPr="00745ADD">
        <w:rPr>
          <w:rFonts w:ascii="Arial" w:hAnsi="Arial" w:cs="Arial"/>
          <w:lang w:val="en-US"/>
        </w:rPr>
        <w:t>,</w:t>
      </w:r>
      <w:r w:rsidR="00565F53">
        <w:rPr>
          <w:rFonts w:ascii="Arial" w:hAnsi="Arial" w:cs="Arial"/>
          <w:lang w:val="en-US"/>
        </w:rPr>
        <w:t xml:space="preserve"> CD11b</w:t>
      </w:r>
      <w:r w:rsidR="00565F53" w:rsidRPr="00745ADD">
        <w:rPr>
          <w:rFonts w:ascii="Arial" w:hAnsi="Arial" w:cs="Arial"/>
          <w:vertAlign w:val="superscript"/>
          <w:lang w:val="en-US"/>
        </w:rPr>
        <w:t>+</w:t>
      </w:r>
      <w:r w:rsidR="00565F53">
        <w:rPr>
          <w:rFonts w:ascii="Arial" w:hAnsi="Arial" w:cs="Arial"/>
          <w:lang w:val="en-US"/>
        </w:rPr>
        <w:t xml:space="preserve">, F4/80, </w:t>
      </w:r>
      <w:proofErr w:type="spellStart"/>
      <w:r w:rsidR="00565F53">
        <w:rPr>
          <w:rFonts w:ascii="Arial" w:hAnsi="Arial" w:cs="Arial"/>
          <w:lang w:val="en-US"/>
        </w:rPr>
        <w:t>MerTK</w:t>
      </w:r>
      <w:r w:rsidR="00565F53">
        <w:rPr>
          <w:rFonts w:ascii="Arial" w:hAnsi="Arial" w:cs="Arial"/>
          <w:vertAlign w:val="superscript"/>
          <w:lang w:val="en-US"/>
        </w:rPr>
        <w:t>lo</w:t>
      </w:r>
      <w:proofErr w:type="spellEnd"/>
      <w:r w:rsidR="00565F53">
        <w:rPr>
          <w:rFonts w:ascii="Arial" w:hAnsi="Arial" w:cs="Arial"/>
          <w:lang w:val="en-US"/>
        </w:rPr>
        <w:t>, Ly6G</w:t>
      </w:r>
      <w:r w:rsidR="00565F53">
        <w:rPr>
          <w:rFonts w:ascii="Arial" w:hAnsi="Arial" w:cs="Arial"/>
          <w:vertAlign w:val="superscript"/>
          <w:lang w:val="en-US"/>
        </w:rPr>
        <w:t>-</w:t>
      </w:r>
      <w:r w:rsidR="00565F53">
        <w:rPr>
          <w:rFonts w:ascii="Arial" w:hAnsi="Arial" w:cs="Arial"/>
          <w:lang w:val="en-US"/>
        </w:rPr>
        <w:t>, MHCII</w:t>
      </w:r>
      <w:r w:rsidR="00565F53" w:rsidRPr="00565F53">
        <w:rPr>
          <w:rFonts w:ascii="Arial" w:hAnsi="Arial" w:cs="Arial"/>
          <w:vertAlign w:val="superscript"/>
          <w:lang w:val="en-US"/>
        </w:rPr>
        <w:t>+</w:t>
      </w:r>
      <w:r w:rsidR="00565F53" w:rsidRPr="00565F53">
        <w:rPr>
          <w:rFonts w:ascii="Arial" w:hAnsi="Arial" w:cs="Arial"/>
          <w:lang w:val="en-US"/>
        </w:rPr>
        <w:t>)</w:t>
      </w:r>
      <w:r w:rsidR="00BB175E">
        <w:rPr>
          <w:rFonts w:ascii="Arial" w:hAnsi="Arial" w:cs="Arial"/>
          <w:lang w:val="en-US"/>
        </w:rPr>
        <w:t xml:space="preserve"> from </w:t>
      </w:r>
      <w:r w:rsidR="009E5708">
        <w:rPr>
          <w:rFonts w:ascii="Arial" w:hAnsi="Arial" w:cs="Arial"/>
          <w:lang w:val="en-US"/>
        </w:rPr>
        <w:t>m</w:t>
      </w:r>
      <w:r w:rsidR="00745ADD">
        <w:rPr>
          <w:rFonts w:ascii="Arial" w:hAnsi="Arial" w:cs="Arial"/>
          <w:lang w:val="en-US"/>
        </w:rPr>
        <w:t>onocytes (MO)</w:t>
      </w:r>
      <w:r w:rsidR="00565F53" w:rsidRPr="00565F53">
        <w:rPr>
          <w:rFonts w:ascii="Arial" w:hAnsi="Arial" w:cs="Arial"/>
          <w:lang w:val="en-US"/>
        </w:rPr>
        <w:t xml:space="preserve"> </w:t>
      </w:r>
      <w:r w:rsidR="00565F53">
        <w:rPr>
          <w:rFonts w:ascii="Arial" w:hAnsi="Arial" w:cs="Arial"/>
          <w:lang w:val="en-US"/>
        </w:rPr>
        <w:t>(CD45</w:t>
      </w:r>
      <w:r w:rsidR="00565F53" w:rsidRPr="00745ADD">
        <w:rPr>
          <w:rFonts w:ascii="Arial" w:hAnsi="Arial" w:cs="Arial"/>
          <w:vertAlign w:val="superscript"/>
          <w:lang w:val="en-US"/>
        </w:rPr>
        <w:t>+</w:t>
      </w:r>
      <w:r w:rsidR="00565F53" w:rsidRPr="00745ADD">
        <w:rPr>
          <w:rFonts w:ascii="Arial" w:hAnsi="Arial" w:cs="Arial"/>
          <w:lang w:val="en-US"/>
        </w:rPr>
        <w:t>,</w:t>
      </w:r>
      <w:r w:rsidR="00565F53">
        <w:rPr>
          <w:rFonts w:ascii="Arial" w:hAnsi="Arial" w:cs="Arial"/>
          <w:lang w:val="en-US"/>
        </w:rPr>
        <w:t xml:space="preserve"> CD11b</w:t>
      </w:r>
      <w:r w:rsidR="00565F53" w:rsidRPr="00745ADD">
        <w:rPr>
          <w:rFonts w:ascii="Arial" w:hAnsi="Arial" w:cs="Arial"/>
          <w:vertAlign w:val="superscript"/>
          <w:lang w:val="en-US"/>
        </w:rPr>
        <w:t>+</w:t>
      </w:r>
      <w:r w:rsidR="00565F53">
        <w:rPr>
          <w:rFonts w:ascii="Arial" w:hAnsi="Arial" w:cs="Arial"/>
          <w:lang w:val="en-US"/>
        </w:rPr>
        <w:t xml:space="preserve">, F4/80, </w:t>
      </w:r>
      <w:proofErr w:type="spellStart"/>
      <w:r w:rsidR="00565F53">
        <w:rPr>
          <w:rFonts w:ascii="Arial" w:hAnsi="Arial" w:cs="Arial"/>
          <w:lang w:val="en-US"/>
        </w:rPr>
        <w:t>MerTK</w:t>
      </w:r>
      <w:r w:rsidR="00565F53">
        <w:rPr>
          <w:rFonts w:ascii="Arial" w:hAnsi="Arial" w:cs="Arial"/>
          <w:vertAlign w:val="superscript"/>
          <w:lang w:val="en-US"/>
        </w:rPr>
        <w:t>lo</w:t>
      </w:r>
      <w:proofErr w:type="spellEnd"/>
      <w:r w:rsidR="00565F53">
        <w:rPr>
          <w:rFonts w:ascii="Arial" w:hAnsi="Arial" w:cs="Arial"/>
          <w:lang w:val="en-US"/>
        </w:rPr>
        <w:t>, Ly6G</w:t>
      </w:r>
      <w:r w:rsidR="00565F53">
        <w:rPr>
          <w:rFonts w:ascii="Arial" w:hAnsi="Arial" w:cs="Arial"/>
          <w:vertAlign w:val="superscript"/>
          <w:lang w:val="en-US"/>
        </w:rPr>
        <w:t>-</w:t>
      </w:r>
      <w:r w:rsidR="00565F53">
        <w:rPr>
          <w:rFonts w:ascii="Arial" w:hAnsi="Arial" w:cs="Arial"/>
          <w:lang w:val="en-US"/>
        </w:rPr>
        <w:t>, MHCII</w:t>
      </w:r>
      <w:r w:rsidR="00565F53">
        <w:rPr>
          <w:rFonts w:ascii="Arial" w:hAnsi="Arial" w:cs="Arial"/>
          <w:vertAlign w:val="superscript"/>
          <w:lang w:val="en-US"/>
        </w:rPr>
        <w:t>-</w:t>
      </w:r>
      <w:r w:rsidR="009E5708">
        <w:rPr>
          <w:rFonts w:ascii="Arial" w:hAnsi="Arial" w:cs="Arial"/>
          <w:lang w:val="en-US"/>
        </w:rPr>
        <w:t>).</w:t>
      </w:r>
    </w:p>
    <w:p w14:paraId="6EBF7E7A" w14:textId="43640BD3" w:rsidR="00137B3E" w:rsidRDefault="00137B3E">
      <w:pPr>
        <w:rPr>
          <w:rFonts w:ascii="Arial" w:hAnsi="Arial" w:cs="Arial"/>
          <w:lang w:val="en-US"/>
        </w:rPr>
      </w:pPr>
      <w:r>
        <w:rPr>
          <w:rFonts w:ascii="Arial" w:hAnsi="Arial" w:cs="Arial"/>
          <w:lang w:val="en-US"/>
        </w:rPr>
        <w:br w:type="page"/>
      </w:r>
    </w:p>
    <w:p w14:paraId="15EEB76E" w14:textId="61174BD4" w:rsidR="00F50026" w:rsidRDefault="000F0C7C" w:rsidP="00BB175E">
      <w:pPr>
        <w:spacing w:after="0" w:line="480" w:lineRule="auto"/>
        <w:jc w:val="both"/>
        <w:rPr>
          <w:rFonts w:ascii="Arial" w:hAnsi="Arial" w:cs="Arial"/>
          <w:lang w:val="en-US"/>
        </w:rPr>
      </w:pPr>
      <w:r w:rsidRPr="000F0C7C">
        <w:rPr>
          <w:rFonts w:ascii="Arial" w:hAnsi="Arial" w:cs="Arial"/>
          <w:noProof/>
          <w:lang w:eastAsia="de-DE"/>
        </w:rPr>
        <w:lastRenderedPageBreak/>
        <w:drawing>
          <wp:anchor distT="0" distB="180340" distL="114300" distR="114300" simplePos="0" relativeHeight="251681792" behindDoc="0" locked="0" layoutInCell="1" allowOverlap="1" wp14:anchorId="4980612C" wp14:editId="4C1DDF8B">
            <wp:simplePos x="0" y="0"/>
            <wp:positionH relativeFrom="margin">
              <wp:posOffset>1565910</wp:posOffset>
            </wp:positionH>
            <wp:positionV relativeFrom="paragraph">
              <wp:posOffset>167005</wp:posOffset>
            </wp:positionV>
            <wp:extent cx="2620800" cy="3013200"/>
            <wp:effectExtent l="0" t="0" r="8255" b="0"/>
            <wp:wrapTopAndBottom/>
            <wp:docPr id="3" name="Grafik 3" descr="D:\Neue MSs\Peter\Final MS\Suppl. Figure 2_201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ue MSs\Peter\Final MS\Suppl. Figure 2_201109.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800" cy="301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77" w:rsidRPr="00502D77">
        <w:rPr>
          <w:rFonts w:ascii="Arial" w:hAnsi="Arial" w:cs="Arial"/>
          <w:noProof/>
          <w:lang w:eastAsia="de-DE"/>
        </w:rPr>
        <w:drawing>
          <wp:anchor distT="180340" distB="180340" distL="114300" distR="114300" simplePos="0" relativeHeight="251669504" behindDoc="0" locked="0" layoutInCell="1" allowOverlap="1" wp14:anchorId="7B748237" wp14:editId="55C4F322">
            <wp:simplePos x="0" y="0"/>
            <wp:positionH relativeFrom="margin">
              <wp:posOffset>2334895</wp:posOffset>
            </wp:positionH>
            <wp:positionV relativeFrom="paragraph">
              <wp:posOffset>346905</wp:posOffset>
            </wp:positionV>
            <wp:extent cx="1090800" cy="1364400"/>
            <wp:effectExtent l="0" t="0" r="0" b="7620"/>
            <wp:wrapTopAndBottom/>
            <wp:docPr id="6" name="Grafik 6" descr="D:\Neue MSs\Peter\Suppl. Figure 3_2011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ue MSs\Peter\Suppl. Figure 3_2011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 cy="136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8A0C2" w14:textId="2153CABE" w:rsidR="00F50026" w:rsidRDefault="00F50026" w:rsidP="00137B3E">
      <w:pPr>
        <w:spacing w:after="0" w:line="480" w:lineRule="auto"/>
        <w:jc w:val="both"/>
        <w:rPr>
          <w:rFonts w:ascii="Arial" w:hAnsi="Arial" w:cs="Arial"/>
          <w:lang w:val="en-US"/>
        </w:rPr>
      </w:pPr>
    </w:p>
    <w:p w14:paraId="7E970389" w14:textId="769F955A" w:rsidR="003F3C05" w:rsidRPr="003F3C05" w:rsidRDefault="00F50026" w:rsidP="003F3C05">
      <w:pPr>
        <w:spacing w:after="0" w:line="480" w:lineRule="auto"/>
        <w:jc w:val="both"/>
        <w:rPr>
          <w:rFonts w:ascii="Arial" w:hAnsi="Arial" w:cs="Arial"/>
          <w:b/>
          <w:bCs/>
          <w:lang w:val="en-US"/>
        </w:rPr>
      </w:pPr>
      <w:r w:rsidRPr="003F3C05">
        <w:rPr>
          <w:rFonts w:ascii="Arial" w:hAnsi="Arial" w:cs="Arial"/>
          <w:b/>
          <w:bCs/>
          <w:lang w:val="en-US"/>
        </w:rPr>
        <w:t xml:space="preserve">Suppl. Figure </w:t>
      </w:r>
      <w:r w:rsidR="00BB175E">
        <w:rPr>
          <w:rFonts w:ascii="Arial" w:hAnsi="Arial" w:cs="Arial"/>
          <w:b/>
          <w:bCs/>
          <w:lang w:val="en-US"/>
        </w:rPr>
        <w:t>2</w:t>
      </w:r>
      <w:r w:rsidRPr="003F3C05">
        <w:rPr>
          <w:rFonts w:ascii="Arial" w:hAnsi="Arial" w:cs="Arial"/>
          <w:b/>
          <w:bCs/>
          <w:lang w:val="en-US"/>
        </w:rPr>
        <w:t>.</w:t>
      </w:r>
      <w:r w:rsidR="003F3C05" w:rsidRPr="003F3C05">
        <w:rPr>
          <w:rFonts w:ascii="Arial" w:hAnsi="Arial" w:cs="Arial"/>
          <w:b/>
          <w:bCs/>
          <w:lang w:val="en-US"/>
        </w:rPr>
        <w:t xml:space="preserve"> </w:t>
      </w:r>
      <w:r w:rsidR="003E057A">
        <w:rPr>
          <w:rFonts w:ascii="Arial" w:hAnsi="Arial" w:cs="Arial"/>
          <w:b/>
          <w:bCs/>
          <w:lang w:val="en-US"/>
        </w:rPr>
        <w:t xml:space="preserve">Effect of CX3CL1 on migration, adhesion, and </w:t>
      </w:r>
      <w:r w:rsidR="00BB175E">
        <w:rPr>
          <w:rFonts w:ascii="Arial" w:hAnsi="Arial" w:cs="Arial"/>
          <w:b/>
          <w:bCs/>
          <w:lang w:val="en-US"/>
        </w:rPr>
        <w:t>proliferation</w:t>
      </w:r>
      <w:r w:rsidR="003E057A">
        <w:rPr>
          <w:rFonts w:ascii="Arial" w:hAnsi="Arial" w:cs="Arial"/>
          <w:b/>
          <w:bCs/>
          <w:lang w:val="en-US"/>
        </w:rPr>
        <w:t xml:space="preserve"> of myeloid cells.</w:t>
      </w:r>
    </w:p>
    <w:p w14:paraId="6948E3C0" w14:textId="01436CE2" w:rsidR="003F3C05" w:rsidRPr="004F3E3C" w:rsidRDefault="003E057A" w:rsidP="00C84C92">
      <w:pPr>
        <w:spacing w:after="0" w:line="480" w:lineRule="auto"/>
        <w:jc w:val="both"/>
        <w:rPr>
          <w:rFonts w:ascii="Arial" w:hAnsi="Arial" w:cs="Arial"/>
          <w:bCs/>
          <w:lang w:val="en-US"/>
        </w:rPr>
      </w:pPr>
      <w:r>
        <w:rPr>
          <w:rFonts w:ascii="Arial" w:hAnsi="Arial" w:cs="Arial"/>
          <w:b/>
          <w:lang w:val="en-US"/>
        </w:rPr>
        <w:t>(A</w:t>
      </w:r>
      <w:r w:rsidRPr="003F3C05">
        <w:rPr>
          <w:rFonts w:ascii="Arial" w:hAnsi="Arial" w:cs="Arial"/>
          <w:b/>
          <w:lang w:val="en-US"/>
        </w:rPr>
        <w:t>)</w:t>
      </w:r>
      <w:r>
        <w:rPr>
          <w:rFonts w:ascii="Arial" w:hAnsi="Arial" w:cs="Arial"/>
          <w:bCs/>
          <w:lang w:val="en-US"/>
        </w:rPr>
        <w:t xml:space="preserve"> </w:t>
      </w:r>
      <w:r w:rsidR="00BF6578">
        <w:rPr>
          <w:rFonts w:ascii="Arial" w:hAnsi="Arial" w:cs="Arial"/>
          <w:bCs/>
          <w:lang w:val="en-US"/>
        </w:rPr>
        <w:t>M</w:t>
      </w:r>
      <w:r w:rsidR="00BF6578" w:rsidRPr="004F3E3C">
        <w:rPr>
          <w:rFonts w:ascii="Arial" w:hAnsi="Arial" w:cs="Arial"/>
          <w:bCs/>
          <w:lang w:val="en-US"/>
        </w:rPr>
        <w:t xml:space="preserve">urine blood monocytes (MO) </w:t>
      </w:r>
      <w:r w:rsidR="00BF6578">
        <w:rPr>
          <w:rFonts w:ascii="Arial" w:hAnsi="Arial" w:cs="Arial"/>
          <w:bCs/>
          <w:lang w:val="en-US"/>
        </w:rPr>
        <w:t xml:space="preserve">were allowed to migrate towards </w:t>
      </w:r>
      <w:r w:rsidR="00BF6578" w:rsidRPr="004F3E3C">
        <w:rPr>
          <w:rFonts w:ascii="Arial" w:hAnsi="Arial" w:cs="Arial"/>
          <w:bCs/>
          <w:lang w:val="en-US"/>
        </w:rPr>
        <w:t>CX3CL1 (100 ng/m</w:t>
      </w:r>
      <w:r w:rsidR="00BF6578">
        <w:rPr>
          <w:rFonts w:ascii="Arial" w:hAnsi="Arial" w:cs="Arial"/>
          <w:bCs/>
          <w:lang w:val="en-US"/>
        </w:rPr>
        <w:t>L</w:t>
      </w:r>
      <w:r w:rsidR="00BF6578" w:rsidRPr="004F3E3C">
        <w:rPr>
          <w:rFonts w:ascii="Arial" w:hAnsi="Arial" w:cs="Arial"/>
          <w:bCs/>
          <w:lang w:val="en-US"/>
        </w:rPr>
        <w:t>), or medium containing 20% FCS</w:t>
      </w:r>
      <w:r w:rsidR="00BF6578">
        <w:rPr>
          <w:rFonts w:ascii="Arial" w:hAnsi="Arial" w:cs="Arial"/>
          <w:bCs/>
          <w:lang w:val="en-US"/>
        </w:rPr>
        <w:t xml:space="preserve"> in</w:t>
      </w:r>
      <w:r w:rsidR="00BF6578" w:rsidRPr="004F3E3C">
        <w:rPr>
          <w:rFonts w:ascii="Arial" w:hAnsi="Arial" w:cs="Arial"/>
          <w:bCs/>
          <w:lang w:val="en-US"/>
        </w:rPr>
        <w:t xml:space="preserve"> a Boyden chamber </w:t>
      </w:r>
      <w:r w:rsidR="00BF6578">
        <w:rPr>
          <w:rFonts w:ascii="Arial" w:hAnsi="Arial" w:cs="Arial"/>
          <w:bCs/>
          <w:lang w:val="en-US"/>
        </w:rPr>
        <w:t>assay for 4 h</w:t>
      </w:r>
      <w:r w:rsidR="00BF6578" w:rsidRPr="004F3E3C">
        <w:rPr>
          <w:rFonts w:ascii="Arial" w:hAnsi="Arial" w:cs="Arial"/>
          <w:bCs/>
          <w:lang w:val="en-US"/>
        </w:rPr>
        <w:t xml:space="preserve">. </w:t>
      </w:r>
      <w:r w:rsidR="00BF6578">
        <w:rPr>
          <w:rFonts w:ascii="Arial" w:hAnsi="Arial" w:cs="Arial"/>
          <w:bCs/>
          <w:lang w:val="en-US"/>
        </w:rPr>
        <w:t>The n</w:t>
      </w:r>
      <w:r w:rsidR="00BF6578" w:rsidRPr="004F3E3C">
        <w:rPr>
          <w:rFonts w:ascii="Arial" w:hAnsi="Arial" w:cs="Arial"/>
          <w:bCs/>
          <w:lang w:val="en-US"/>
        </w:rPr>
        <w:t xml:space="preserve">umber of MO </w:t>
      </w:r>
      <w:r w:rsidR="00BF6578">
        <w:rPr>
          <w:rFonts w:ascii="Arial" w:hAnsi="Arial" w:cs="Arial"/>
          <w:bCs/>
          <w:lang w:val="en-US"/>
        </w:rPr>
        <w:t>migrated to</w:t>
      </w:r>
      <w:r w:rsidR="00BF6578" w:rsidRPr="004F3E3C">
        <w:rPr>
          <w:rFonts w:ascii="Arial" w:hAnsi="Arial" w:cs="Arial"/>
          <w:bCs/>
          <w:lang w:val="en-US"/>
        </w:rPr>
        <w:t xml:space="preserve"> the lower compartment was determined by </w:t>
      </w:r>
      <w:r w:rsidR="00BF6578" w:rsidRPr="005122F6">
        <w:rPr>
          <w:rFonts w:ascii="Arial" w:hAnsi="Arial" w:cs="Arial"/>
          <w:bCs/>
          <w:lang w:val="en-US"/>
        </w:rPr>
        <w:t>FACS</w:t>
      </w:r>
      <w:r w:rsidR="00BF6578" w:rsidRPr="004F3E3C">
        <w:rPr>
          <w:rFonts w:ascii="Arial" w:hAnsi="Arial" w:cs="Arial"/>
          <w:bCs/>
          <w:lang w:val="en-US"/>
        </w:rPr>
        <w:t xml:space="preserve">. </w:t>
      </w:r>
      <w:r w:rsidR="003F3C05" w:rsidRPr="005122F6">
        <w:rPr>
          <w:rFonts w:ascii="Arial" w:hAnsi="Arial" w:cs="Arial"/>
          <w:b/>
          <w:lang w:val="en-US"/>
        </w:rPr>
        <w:t>(</w:t>
      </w:r>
      <w:r>
        <w:rPr>
          <w:rFonts w:ascii="Arial" w:hAnsi="Arial" w:cs="Arial"/>
          <w:b/>
          <w:lang w:val="en-US"/>
        </w:rPr>
        <w:t>B</w:t>
      </w:r>
      <w:r w:rsidR="003F3C05" w:rsidRPr="005122F6">
        <w:rPr>
          <w:rFonts w:ascii="Arial" w:hAnsi="Arial" w:cs="Arial"/>
          <w:b/>
          <w:lang w:val="en-US"/>
        </w:rPr>
        <w:t>)</w:t>
      </w:r>
      <w:r w:rsidR="003F3C05">
        <w:rPr>
          <w:rFonts w:ascii="Arial" w:hAnsi="Arial" w:cs="Arial"/>
          <w:bCs/>
          <w:lang w:val="en-US"/>
        </w:rPr>
        <w:t xml:space="preserve"> </w:t>
      </w:r>
      <w:r w:rsidR="00BF6578">
        <w:rPr>
          <w:rFonts w:ascii="Arial" w:hAnsi="Arial" w:cs="Arial"/>
          <w:bCs/>
          <w:lang w:val="en-US"/>
        </w:rPr>
        <w:t>B</w:t>
      </w:r>
      <w:r w:rsidR="00BF6578" w:rsidRPr="004F3E3C">
        <w:rPr>
          <w:rFonts w:ascii="Arial" w:hAnsi="Arial" w:cs="Arial"/>
          <w:bCs/>
          <w:lang w:val="en-US"/>
        </w:rPr>
        <w:t xml:space="preserve">one-marrow derived macrophages (BMDM) </w:t>
      </w:r>
      <w:r w:rsidR="00BF6578">
        <w:rPr>
          <w:rFonts w:ascii="Arial" w:hAnsi="Arial" w:cs="Arial"/>
          <w:bCs/>
          <w:lang w:val="en-US"/>
        </w:rPr>
        <w:t xml:space="preserve">were stained with </w:t>
      </w:r>
      <w:proofErr w:type="spellStart"/>
      <w:r w:rsidR="00BF6578" w:rsidRPr="003C0D64">
        <w:rPr>
          <w:rFonts w:ascii="Arial" w:hAnsi="Arial" w:cs="Arial"/>
          <w:color w:val="000000"/>
          <w:shd w:val="clear" w:color="auto" w:fill="FFFFFF"/>
          <w:lang w:val="en-US"/>
        </w:rPr>
        <w:t>carboxyfluorescein</w:t>
      </w:r>
      <w:proofErr w:type="spellEnd"/>
      <w:r w:rsidR="00BF6578" w:rsidRPr="003C0D64">
        <w:rPr>
          <w:rFonts w:ascii="Arial" w:hAnsi="Arial" w:cs="Arial"/>
          <w:color w:val="000000"/>
          <w:shd w:val="clear" w:color="auto" w:fill="FFFFFF"/>
          <w:lang w:val="en-US"/>
        </w:rPr>
        <w:t xml:space="preserve"> </w:t>
      </w:r>
      <w:proofErr w:type="spellStart"/>
      <w:r w:rsidR="00BF6578" w:rsidRPr="003C0D64">
        <w:rPr>
          <w:rFonts w:ascii="Arial" w:hAnsi="Arial" w:cs="Arial"/>
          <w:color w:val="000000"/>
          <w:shd w:val="clear" w:color="auto" w:fill="FFFFFF"/>
          <w:lang w:val="en-US"/>
        </w:rPr>
        <w:t>succinimidyl</w:t>
      </w:r>
      <w:proofErr w:type="spellEnd"/>
      <w:r w:rsidR="00BF6578" w:rsidRPr="003C0D64">
        <w:rPr>
          <w:rFonts w:ascii="Arial" w:hAnsi="Arial" w:cs="Arial"/>
          <w:color w:val="000000"/>
          <w:shd w:val="clear" w:color="auto" w:fill="FFFFFF"/>
          <w:lang w:val="en-US"/>
        </w:rPr>
        <w:t xml:space="preserve"> ester</w:t>
      </w:r>
      <w:r w:rsidR="00BF6578">
        <w:rPr>
          <w:rFonts w:ascii="Arial" w:hAnsi="Arial" w:cs="Arial"/>
          <w:bCs/>
          <w:lang w:val="en-US"/>
        </w:rPr>
        <w:t xml:space="preserve"> (CFSE) prior to </w:t>
      </w:r>
      <w:r w:rsidR="00C57736">
        <w:rPr>
          <w:rFonts w:ascii="Arial" w:hAnsi="Arial" w:cs="Arial"/>
          <w:bCs/>
          <w:lang w:val="en-US"/>
        </w:rPr>
        <w:t xml:space="preserve">their </w:t>
      </w:r>
      <w:r w:rsidR="00BF6578">
        <w:rPr>
          <w:rFonts w:ascii="Arial" w:hAnsi="Arial" w:cs="Arial"/>
          <w:bCs/>
          <w:lang w:val="en-US"/>
        </w:rPr>
        <w:t>adhere</w:t>
      </w:r>
      <w:r w:rsidR="00C57736">
        <w:rPr>
          <w:rFonts w:ascii="Arial" w:hAnsi="Arial" w:cs="Arial"/>
          <w:bCs/>
          <w:lang w:val="en-US"/>
        </w:rPr>
        <w:t>nce</w:t>
      </w:r>
      <w:r w:rsidR="00BF6578">
        <w:rPr>
          <w:rFonts w:ascii="Arial" w:hAnsi="Arial" w:cs="Arial"/>
          <w:bCs/>
          <w:lang w:val="en-US"/>
        </w:rPr>
        <w:t xml:space="preserve"> to</w:t>
      </w:r>
      <w:r w:rsidR="00BF6578" w:rsidRPr="004F3E3C">
        <w:rPr>
          <w:rFonts w:ascii="Arial" w:hAnsi="Arial" w:cs="Arial"/>
          <w:bCs/>
          <w:lang w:val="en-US"/>
        </w:rPr>
        <w:t xml:space="preserve"> fibronectin</w:t>
      </w:r>
      <w:r w:rsidR="00BF6578">
        <w:rPr>
          <w:rFonts w:ascii="Arial" w:hAnsi="Arial" w:cs="Arial"/>
          <w:bCs/>
          <w:lang w:val="en-US"/>
        </w:rPr>
        <w:t>-</w:t>
      </w:r>
      <w:r w:rsidR="00BF6578" w:rsidRPr="004F3E3C">
        <w:rPr>
          <w:rFonts w:ascii="Arial" w:hAnsi="Arial" w:cs="Arial"/>
          <w:bCs/>
          <w:lang w:val="en-US"/>
        </w:rPr>
        <w:t xml:space="preserve">coated </w:t>
      </w:r>
      <w:r w:rsidR="00BF6578">
        <w:rPr>
          <w:rFonts w:ascii="Arial" w:hAnsi="Arial" w:cs="Arial"/>
          <w:bCs/>
          <w:lang w:val="en-US"/>
        </w:rPr>
        <w:t>surfaces</w:t>
      </w:r>
      <w:r w:rsidR="00BF6578" w:rsidRPr="004F3E3C">
        <w:rPr>
          <w:rFonts w:ascii="Arial" w:hAnsi="Arial" w:cs="Arial"/>
          <w:bCs/>
          <w:lang w:val="en-US"/>
        </w:rPr>
        <w:t xml:space="preserve"> in the presence or absence </w:t>
      </w:r>
      <w:r w:rsidR="00BF6578">
        <w:rPr>
          <w:rFonts w:ascii="Arial" w:hAnsi="Arial" w:cs="Arial"/>
          <w:bCs/>
          <w:lang w:val="en-US"/>
        </w:rPr>
        <w:t>of recombinant CX3CL1 (100 ng/mL</w:t>
      </w:r>
      <w:r w:rsidR="00BF6578" w:rsidRPr="004F3E3C">
        <w:rPr>
          <w:rFonts w:ascii="Arial" w:hAnsi="Arial" w:cs="Arial"/>
          <w:bCs/>
          <w:lang w:val="en-US"/>
        </w:rPr>
        <w:t xml:space="preserve">). Adhesion was determined </w:t>
      </w:r>
      <w:r w:rsidR="00BF6578">
        <w:rPr>
          <w:rFonts w:ascii="Arial" w:hAnsi="Arial" w:cs="Arial"/>
          <w:bCs/>
          <w:lang w:val="en-US"/>
        </w:rPr>
        <w:t xml:space="preserve">after </w:t>
      </w:r>
      <w:r w:rsidR="00BF6578" w:rsidRPr="004F3E3C">
        <w:rPr>
          <w:rFonts w:ascii="Arial" w:hAnsi="Arial" w:cs="Arial"/>
          <w:bCs/>
          <w:lang w:val="en-US"/>
        </w:rPr>
        <w:t>1 h</w:t>
      </w:r>
      <w:r w:rsidR="00BF6578">
        <w:rPr>
          <w:rFonts w:ascii="Arial" w:hAnsi="Arial" w:cs="Arial"/>
          <w:bCs/>
          <w:lang w:val="en-US"/>
        </w:rPr>
        <w:t xml:space="preserve"> by fluorescence measurement after washing</w:t>
      </w:r>
      <w:r w:rsidR="00BF6578" w:rsidRPr="004F3E3C">
        <w:rPr>
          <w:rFonts w:ascii="Arial" w:hAnsi="Arial" w:cs="Arial"/>
          <w:bCs/>
          <w:lang w:val="en-US"/>
        </w:rPr>
        <w:t>.</w:t>
      </w:r>
      <w:r w:rsidR="00BF6578">
        <w:rPr>
          <w:rFonts w:ascii="Arial" w:hAnsi="Arial" w:cs="Arial"/>
          <w:bCs/>
          <w:lang w:val="en-US"/>
        </w:rPr>
        <w:t xml:space="preserve"> </w:t>
      </w:r>
      <w:r w:rsidR="003F3C05" w:rsidRPr="004F3E3C">
        <w:rPr>
          <w:rFonts w:ascii="Arial" w:hAnsi="Arial" w:cs="Arial"/>
          <w:b/>
          <w:bCs/>
          <w:lang w:val="en-US"/>
        </w:rPr>
        <w:t>(</w:t>
      </w:r>
      <w:r w:rsidR="003F3C05">
        <w:rPr>
          <w:rFonts w:ascii="Arial" w:hAnsi="Arial" w:cs="Arial"/>
          <w:b/>
          <w:bCs/>
          <w:lang w:val="en-US"/>
        </w:rPr>
        <w:t>C, D</w:t>
      </w:r>
      <w:r w:rsidR="003F3C05" w:rsidRPr="004F3E3C">
        <w:rPr>
          <w:rFonts w:ascii="Arial" w:hAnsi="Arial" w:cs="Arial"/>
          <w:b/>
          <w:bCs/>
          <w:lang w:val="en-US"/>
        </w:rPr>
        <w:t>)</w:t>
      </w:r>
      <w:r w:rsidR="003F3C05" w:rsidRPr="004F3E3C">
        <w:rPr>
          <w:rFonts w:ascii="Arial" w:hAnsi="Arial" w:cs="Arial"/>
          <w:bCs/>
          <w:lang w:val="en-US"/>
        </w:rPr>
        <w:t xml:space="preserve"> </w:t>
      </w:r>
      <w:r w:rsidR="00C84C92">
        <w:rPr>
          <w:rFonts w:ascii="Arial" w:hAnsi="Arial" w:cs="Arial"/>
          <w:bCs/>
          <w:lang w:val="en-US"/>
        </w:rPr>
        <w:t>BMDM</w:t>
      </w:r>
      <w:r w:rsidR="003F3C05" w:rsidRPr="004F3E3C">
        <w:rPr>
          <w:rFonts w:ascii="Arial" w:hAnsi="Arial" w:cs="Arial"/>
          <w:bCs/>
          <w:lang w:val="en-US"/>
        </w:rPr>
        <w:t xml:space="preserve"> were </w:t>
      </w:r>
      <w:r w:rsidR="003F3C05">
        <w:rPr>
          <w:rFonts w:ascii="Arial" w:hAnsi="Arial" w:cs="Arial"/>
          <w:bCs/>
          <w:lang w:val="en-US"/>
        </w:rPr>
        <w:t>stained with CFSE</w:t>
      </w:r>
      <w:r w:rsidR="00C84C92">
        <w:rPr>
          <w:rFonts w:ascii="Arial" w:hAnsi="Arial" w:cs="Arial"/>
          <w:bCs/>
          <w:lang w:val="en-US"/>
        </w:rPr>
        <w:t xml:space="preserve"> prior to </w:t>
      </w:r>
      <w:r w:rsidR="00C84C92" w:rsidRPr="004F3E3C">
        <w:rPr>
          <w:rFonts w:ascii="Arial" w:hAnsi="Arial" w:cs="Arial"/>
          <w:bCs/>
          <w:lang w:val="en-US"/>
        </w:rPr>
        <w:t>grow</w:t>
      </w:r>
      <w:r w:rsidR="00C84C92">
        <w:rPr>
          <w:rFonts w:ascii="Arial" w:hAnsi="Arial" w:cs="Arial"/>
          <w:bCs/>
          <w:lang w:val="en-US"/>
        </w:rPr>
        <w:t>ing them fo</w:t>
      </w:r>
      <w:r w:rsidR="00C84C92" w:rsidRPr="004F3E3C">
        <w:rPr>
          <w:rFonts w:ascii="Arial" w:hAnsi="Arial" w:cs="Arial"/>
          <w:bCs/>
          <w:lang w:val="en-US"/>
        </w:rPr>
        <w:t xml:space="preserve">r 48 h in medium supplemented with </w:t>
      </w:r>
      <w:r w:rsidR="00C84C92" w:rsidRPr="004F3E3C">
        <w:rPr>
          <w:rFonts w:ascii="Arial" w:hAnsi="Arial" w:cs="Arial"/>
          <w:b/>
          <w:bCs/>
          <w:lang w:val="en-US"/>
        </w:rPr>
        <w:t>(C)</w:t>
      </w:r>
      <w:r w:rsidR="00C84C92" w:rsidRPr="004F3E3C">
        <w:rPr>
          <w:rFonts w:ascii="Arial" w:hAnsi="Arial" w:cs="Arial"/>
          <w:bCs/>
          <w:lang w:val="en-US"/>
        </w:rPr>
        <w:t xml:space="preserve"> recombinant CX3CL1 (100</w:t>
      </w:r>
      <w:r w:rsidR="00C84C92">
        <w:rPr>
          <w:rFonts w:ascii="Arial" w:hAnsi="Arial" w:cs="Arial"/>
          <w:bCs/>
          <w:lang w:val="en-US"/>
        </w:rPr>
        <w:t> </w:t>
      </w:r>
      <w:r w:rsidR="00C84C92" w:rsidRPr="004F3E3C">
        <w:rPr>
          <w:rFonts w:ascii="Arial" w:hAnsi="Arial" w:cs="Arial"/>
          <w:bCs/>
          <w:lang w:val="en-US"/>
        </w:rPr>
        <w:t>ng/m</w:t>
      </w:r>
      <w:r w:rsidR="00C84C92">
        <w:rPr>
          <w:rFonts w:ascii="Arial" w:hAnsi="Arial" w:cs="Arial"/>
          <w:bCs/>
          <w:lang w:val="en-US"/>
        </w:rPr>
        <w:t>L</w:t>
      </w:r>
      <w:r w:rsidR="00C84C92" w:rsidRPr="004F3E3C">
        <w:rPr>
          <w:rFonts w:ascii="Arial" w:hAnsi="Arial" w:cs="Arial"/>
          <w:bCs/>
          <w:lang w:val="en-US"/>
        </w:rPr>
        <w:t xml:space="preserve">) or </w:t>
      </w:r>
      <w:r w:rsidR="00C84C92" w:rsidRPr="004F3E3C">
        <w:rPr>
          <w:rFonts w:ascii="Arial" w:hAnsi="Arial" w:cs="Arial"/>
          <w:b/>
          <w:bCs/>
          <w:lang w:val="en-US"/>
        </w:rPr>
        <w:t>(D)</w:t>
      </w:r>
      <w:r w:rsidR="00C84C92" w:rsidRPr="004F3E3C">
        <w:rPr>
          <w:rFonts w:ascii="Arial" w:hAnsi="Arial" w:cs="Arial"/>
          <w:bCs/>
          <w:lang w:val="en-US"/>
        </w:rPr>
        <w:t xml:space="preserve"> peritoneal lavage</w:t>
      </w:r>
      <w:r w:rsidR="00C84C92">
        <w:rPr>
          <w:rFonts w:ascii="Arial" w:hAnsi="Arial" w:cs="Arial"/>
          <w:bCs/>
          <w:lang w:val="en-US"/>
        </w:rPr>
        <w:t xml:space="preserve"> fluid</w:t>
      </w:r>
      <w:r w:rsidR="00C84C92" w:rsidRPr="004F3E3C">
        <w:rPr>
          <w:rFonts w:ascii="Arial" w:hAnsi="Arial" w:cs="Arial"/>
          <w:bCs/>
          <w:lang w:val="en-US"/>
        </w:rPr>
        <w:t xml:space="preserve"> </w:t>
      </w:r>
      <w:r w:rsidR="00C84C92" w:rsidRPr="005122F6">
        <w:rPr>
          <w:rFonts w:ascii="Arial" w:hAnsi="Arial" w:cs="Arial"/>
          <w:bCs/>
          <w:lang w:val="en-US"/>
        </w:rPr>
        <w:t>(1:2)</w:t>
      </w:r>
      <w:r w:rsidR="00C84C92" w:rsidRPr="004F3E3C">
        <w:rPr>
          <w:rFonts w:ascii="Arial" w:hAnsi="Arial" w:cs="Arial"/>
          <w:bCs/>
          <w:lang w:val="en-US"/>
        </w:rPr>
        <w:t xml:space="preserve"> from vehicle control (VEH)- or compound III (CIII)-</w:t>
      </w:r>
      <w:r w:rsidR="00C84C92">
        <w:rPr>
          <w:rFonts w:ascii="Arial" w:hAnsi="Arial" w:cs="Arial"/>
          <w:bCs/>
          <w:lang w:val="en-US"/>
        </w:rPr>
        <w:t>treated peritonitis mice (day 6</w:t>
      </w:r>
      <w:r w:rsidR="00C84C92" w:rsidRPr="004F3E3C">
        <w:rPr>
          <w:rFonts w:ascii="Arial" w:hAnsi="Arial" w:cs="Arial"/>
          <w:bCs/>
          <w:lang w:val="en-US"/>
        </w:rPr>
        <w:t>).</w:t>
      </w:r>
      <w:r w:rsidR="00C84C92">
        <w:rPr>
          <w:rFonts w:ascii="Arial" w:hAnsi="Arial" w:cs="Arial"/>
          <w:bCs/>
          <w:lang w:val="en-US"/>
        </w:rPr>
        <w:t xml:space="preserve"> Proliferation was </w:t>
      </w:r>
      <w:r w:rsidR="003F3C05">
        <w:rPr>
          <w:rFonts w:ascii="Arial" w:hAnsi="Arial" w:cs="Arial"/>
          <w:bCs/>
          <w:lang w:val="en-US"/>
        </w:rPr>
        <w:t xml:space="preserve">determined </w:t>
      </w:r>
      <w:r w:rsidR="00C84C92">
        <w:rPr>
          <w:rFonts w:ascii="Arial" w:hAnsi="Arial" w:cs="Arial"/>
          <w:bCs/>
          <w:lang w:val="en-US"/>
        </w:rPr>
        <w:t xml:space="preserve">via </w:t>
      </w:r>
      <w:r w:rsidR="003F3C05">
        <w:rPr>
          <w:rFonts w:ascii="Arial" w:hAnsi="Arial" w:cs="Arial"/>
          <w:bCs/>
          <w:lang w:val="en-US"/>
        </w:rPr>
        <w:t>CFSE</w:t>
      </w:r>
      <w:r>
        <w:rPr>
          <w:rFonts w:ascii="Arial" w:hAnsi="Arial" w:cs="Arial"/>
          <w:bCs/>
          <w:lang w:val="en-US"/>
        </w:rPr>
        <w:t xml:space="preserve"> </w:t>
      </w:r>
      <w:r w:rsidR="00C84C92">
        <w:rPr>
          <w:rFonts w:ascii="Arial" w:hAnsi="Arial" w:cs="Arial"/>
          <w:bCs/>
          <w:lang w:val="en-US"/>
        </w:rPr>
        <w:t>intensities</w:t>
      </w:r>
      <w:r w:rsidR="003F3C05">
        <w:rPr>
          <w:rFonts w:ascii="Arial" w:hAnsi="Arial" w:cs="Arial"/>
          <w:bCs/>
          <w:lang w:val="en-US"/>
        </w:rPr>
        <w:t xml:space="preserve"> </w:t>
      </w:r>
      <w:r w:rsidR="00C57736">
        <w:rPr>
          <w:rFonts w:ascii="Arial" w:hAnsi="Arial" w:cs="Arial"/>
          <w:bCs/>
          <w:lang w:val="en-US"/>
        </w:rPr>
        <w:t>by</w:t>
      </w:r>
      <w:r w:rsidR="003F3C05">
        <w:rPr>
          <w:rFonts w:ascii="Arial" w:hAnsi="Arial" w:cs="Arial"/>
          <w:bCs/>
          <w:lang w:val="en-US"/>
        </w:rPr>
        <w:t xml:space="preserve"> FACS. </w:t>
      </w:r>
      <w:r w:rsidR="003F3C05" w:rsidRPr="004F3E3C">
        <w:rPr>
          <w:rFonts w:ascii="Arial" w:hAnsi="Arial" w:cs="Arial"/>
          <w:lang w:val="en-US"/>
        </w:rPr>
        <w:t>Data are presented as means ± SEM (n ≥</w:t>
      </w:r>
      <w:r w:rsidR="003F3C05" w:rsidRPr="005122F6">
        <w:rPr>
          <w:rFonts w:ascii="Arial" w:hAnsi="Arial" w:cs="Arial"/>
          <w:lang w:val="en-US"/>
        </w:rPr>
        <w:t xml:space="preserve"> 5)</w:t>
      </w:r>
      <w:r w:rsidR="003F3C05" w:rsidRPr="004F3E3C">
        <w:rPr>
          <w:rFonts w:ascii="Arial" w:hAnsi="Arial" w:cs="Arial"/>
          <w:lang w:val="en-US"/>
        </w:rPr>
        <w:t xml:space="preserve"> and were statistically analyzed using</w:t>
      </w:r>
      <w:r w:rsidR="003F3C05">
        <w:rPr>
          <w:rFonts w:ascii="Arial" w:hAnsi="Arial" w:cs="Arial"/>
          <w:lang w:val="en-US"/>
        </w:rPr>
        <w:t xml:space="preserve"> t-test or</w:t>
      </w:r>
      <w:r w:rsidR="003F3C05" w:rsidRPr="004F3E3C">
        <w:rPr>
          <w:rFonts w:ascii="Arial" w:hAnsi="Arial" w:cs="Arial"/>
          <w:lang w:val="en-US"/>
        </w:rPr>
        <w:t xml:space="preserve"> </w:t>
      </w:r>
      <w:r w:rsidR="003F3C05" w:rsidRPr="005122F6">
        <w:rPr>
          <w:rFonts w:ascii="Arial" w:hAnsi="Arial" w:cs="Arial"/>
          <w:lang w:val="en-US"/>
        </w:rPr>
        <w:t xml:space="preserve">one-way ANOVA </w:t>
      </w:r>
      <w:r>
        <w:rPr>
          <w:rFonts w:ascii="Arial" w:hAnsi="Arial" w:cs="Arial"/>
          <w:lang w:val="en-US"/>
        </w:rPr>
        <w:t xml:space="preserve">with </w:t>
      </w:r>
      <w:r w:rsidRPr="00E966EB">
        <w:rPr>
          <w:rFonts w:ascii="Arial" w:hAnsi="Arial" w:cs="Arial"/>
          <w:lang w:val="en-US"/>
        </w:rPr>
        <w:t>Holm-</w:t>
      </w:r>
      <w:proofErr w:type="spellStart"/>
      <w:r w:rsidRPr="00E966EB">
        <w:rPr>
          <w:rFonts w:ascii="Arial" w:hAnsi="Arial" w:cs="Arial"/>
          <w:lang w:val="en-US"/>
        </w:rPr>
        <w:t>Sidak</w:t>
      </w:r>
      <w:proofErr w:type="spellEnd"/>
      <w:r w:rsidRPr="00E966EB">
        <w:rPr>
          <w:rFonts w:ascii="Arial" w:hAnsi="Arial" w:cs="Arial"/>
          <w:lang w:val="en-US"/>
        </w:rPr>
        <w:t xml:space="preserve"> </w:t>
      </w:r>
      <w:proofErr w:type="spellStart"/>
      <w:r w:rsidRPr="00E966EB">
        <w:rPr>
          <w:rFonts w:ascii="Arial" w:hAnsi="Arial" w:cs="Arial"/>
          <w:lang w:val="en-US"/>
        </w:rPr>
        <w:t>posthoc</w:t>
      </w:r>
      <w:proofErr w:type="spellEnd"/>
      <w:r w:rsidRPr="00E966EB">
        <w:rPr>
          <w:rFonts w:ascii="Arial" w:hAnsi="Arial" w:cs="Arial"/>
          <w:lang w:val="en-US"/>
        </w:rPr>
        <w:t xml:space="preserve"> test</w:t>
      </w:r>
      <w:r w:rsidR="003F3C05">
        <w:rPr>
          <w:rFonts w:ascii="Arial" w:hAnsi="Arial" w:cs="Arial"/>
          <w:lang w:val="en-US"/>
        </w:rPr>
        <w:t xml:space="preserve"> (**p </w:t>
      </w:r>
      <w:r w:rsidR="003F3C05" w:rsidRPr="004F3E3C">
        <w:rPr>
          <w:rFonts w:ascii="Arial" w:hAnsi="Arial" w:cs="Arial"/>
          <w:lang w:val="en-US"/>
        </w:rPr>
        <w:t>&lt;</w:t>
      </w:r>
      <w:r w:rsidR="003F3C05">
        <w:rPr>
          <w:rFonts w:ascii="Arial" w:hAnsi="Arial" w:cs="Arial"/>
          <w:lang w:val="en-US"/>
        </w:rPr>
        <w:t xml:space="preserve"> 0.01</w:t>
      </w:r>
      <w:r w:rsidR="003F3C05" w:rsidRPr="004F3E3C">
        <w:rPr>
          <w:rFonts w:ascii="Arial" w:hAnsi="Arial" w:cs="Arial"/>
          <w:lang w:val="en-US"/>
        </w:rPr>
        <w:t>).</w:t>
      </w:r>
    </w:p>
    <w:p w14:paraId="71CE2A14" w14:textId="2C56360F" w:rsidR="00F50026" w:rsidRDefault="00F50026" w:rsidP="00F50026">
      <w:pPr>
        <w:spacing w:after="0" w:line="480" w:lineRule="auto"/>
        <w:jc w:val="both"/>
        <w:rPr>
          <w:rFonts w:ascii="Arial" w:hAnsi="Arial" w:cs="Arial"/>
          <w:lang w:val="en-US"/>
        </w:rPr>
      </w:pPr>
    </w:p>
    <w:p w14:paraId="734D9680" w14:textId="0293AD28" w:rsidR="00F50026" w:rsidRDefault="00F50026">
      <w:pPr>
        <w:rPr>
          <w:rFonts w:ascii="Arial" w:hAnsi="Arial" w:cs="Arial"/>
          <w:lang w:val="en-US"/>
        </w:rPr>
      </w:pPr>
      <w:r>
        <w:rPr>
          <w:rFonts w:ascii="Arial" w:hAnsi="Arial" w:cs="Arial"/>
          <w:lang w:val="en-US"/>
        </w:rPr>
        <w:br w:type="page"/>
      </w:r>
    </w:p>
    <w:p w14:paraId="7666865C" w14:textId="33B850D9" w:rsidR="00F50026" w:rsidRDefault="002551CE" w:rsidP="00137B3E">
      <w:pPr>
        <w:spacing w:after="0" w:line="480" w:lineRule="auto"/>
        <w:jc w:val="both"/>
        <w:rPr>
          <w:rFonts w:ascii="Arial" w:hAnsi="Arial" w:cs="Arial"/>
          <w:lang w:val="en-US"/>
        </w:rPr>
      </w:pPr>
      <w:r w:rsidRPr="002551CE">
        <w:rPr>
          <w:rFonts w:ascii="Arial" w:hAnsi="Arial" w:cs="Arial"/>
          <w:noProof/>
          <w:lang w:eastAsia="de-DE"/>
        </w:rPr>
        <w:lastRenderedPageBreak/>
        <w:drawing>
          <wp:anchor distT="0" distB="180340" distL="114300" distR="114300" simplePos="0" relativeHeight="251677696" behindDoc="0" locked="0" layoutInCell="1" allowOverlap="1" wp14:anchorId="6935C455" wp14:editId="0B1EF065">
            <wp:simplePos x="0" y="0"/>
            <wp:positionH relativeFrom="margin">
              <wp:posOffset>2308225</wp:posOffset>
            </wp:positionH>
            <wp:positionV relativeFrom="paragraph">
              <wp:posOffset>166700</wp:posOffset>
            </wp:positionV>
            <wp:extent cx="1144800" cy="1364400"/>
            <wp:effectExtent l="0" t="0" r="0" b="7620"/>
            <wp:wrapTopAndBottom/>
            <wp:docPr id="1" name="Grafik 1" descr="D:\Neue MSs\Peter\Final MS\Suppl. Figure 3_2011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ue MSs\Peter\Final MS\Suppl. Figure 3_20110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800" cy="136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CAAE7" w14:textId="77777777" w:rsidR="00CE0A7C" w:rsidRDefault="00CE0A7C" w:rsidP="00F50026">
      <w:pPr>
        <w:spacing w:after="0" w:line="480" w:lineRule="auto"/>
        <w:jc w:val="both"/>
        <w:rPr>
          <w:rFonts w:ascii="Arial" w:hAnsi="Arial" w:cs="Arial"/>
          <w:b/>
          <w:bCs/>
          <w:lang w:val="en-US"/>
        </w:rPr>
      </w:pPr>
    </w:p>
    <w:p w14:paraId="5F39DD2E" w14:textId="3F66D1EB" w:rsidR="00F50026" w:rsidRPr="00676B13" w:rsidRDefault="005E5150" w:rsidP="00F50026">
      <w:pPr>
        <w:spacing w:after="0" w:line="480" w:lineRule="auto"/>
        <w:jc w:val="both"/>
        <w:rPr>
          <w:rFonts w:ascii="Arial" w:hAnsi="Arial" w:cs="Arial"/>
          <w:b/>
          <w:bCs/>
          <w:lang w:val="en-US"/>
        </w:rPr>
      </w:pPr>
      <w:r>
        <w:rPr>
          <w:rFonts w:ascii="Arial" w:hAnsi="Arial" w:cs="Arial"/>
          <w:b/>
          <w:bCs/>
          <w:lang w:val="en-US"/>
        </w:rPr>
        <w:t>Suppl. Figure 3</w:t>
      </w:r>
      <w:r w:rsidR="00F50026" w:rsidRPr="00676B13">
        <w:rPr>
          <w:rFonts w:ascii="Arial" w:hAnsi="Arial" w:cs="Arial"/>
          <w:b/>
          <w:bCs/>
          <w:lang w:val="en-US"/>
        </w:rPr>
        <w:t>.</w:t>
      </w:r>
      <w:r w:rsidR="009C573C">
        <w:rPr>
          <w:rFonts w:ascii="Arial" w:hAnsi="Arial" w:cs="Arial"/>
          <w:b/>
          <w:bCs/>
          <w:lang w:val="en-US"/>
        </w:rPr>
        <w:t xml:space="preserve"> </w:t>
      </w:r>
      <w:r w:rsidR="00C57736">
        <w:rPr>
          <w:rFonts w:ascii="Arial" w:hAnsi="Arial" w:cs="Arial"/>
          <w:b/>
          <w:bCs/>
          <w:lang w:val="en-US"/>
        </w:rPr>
        <w:t xml:space="preserve">A </w:t>
      </w:r>
      <w:r w:rsidR="009C573C">
        <w:rPr>
          <w:rFonts w:ascii="Arial" w:hAnsi="Arial" w:cs="Arial"/>
          <w:b/>
          <w:bCs/>
          <w:lang w:val="en-US"/>
        </w:rPr>
        <w:t>CX3CL1 neutralizing antibody depletes CX3CL1 in peritonitis</w:t>
      </w:r>
      <w:r w:rsidR="00E60D1A">
        <w:rPr>
          <w:rFonts w:ascii="Arial" w:hAnsi="Arial" w:cs="Arial"/>
          <w:b/>
          <w:bCs/>
          <w:lang w:val="en-US"/>
        </w:rPr>
        <w:t>.</w:t>
      </w:r>
    </w:p>
    <w:p w14:paraId="04468971" w14:textId="70636BB0" w:rsidR="003E057A" w:rsidRPr="004F3E3C" w:rsidRDefault="00C67704" w:rsidP="003E057A">
      <w:pPr>
        <w:spacing w:after="0" w:line="480" w:lineRule="auto"/>
        <w:jc w:val="both"/>
        <w:rPr>
          <w:rFonts w:ascii="Arial" w:hAnsi="Arial" w:cs="Arial"/>
          <w:bCs/>
          <w:lang w:val="en-US"/>
        </w:rPr>
      </w:pPr>
      <w:r w:rsidRPr="006320A9">
        <w:rPr>
          <w:rFonts w:ascii="Arial" w:hAnsi="Arial" w:cs="Arial"/>
          <w:lang w:val="en-US"/>
        </w:rPr>
        <w:t>Starting 24</w:t>
      </w:r>
      <w:r w:rsidR="00562341">
        <w:rPr>
          <w:rFonts w:ascii="Arial" w:hAnsi="Arial" w:cs="Arial"/>
          <w:lang w:val="en-US"/>
        </w:rPr>
        <w:t xml:space="preserve"> h post i.p. zymosan (5 mg/kg</w:t>
      </w:r>
      <w:r w:rsidRPr="006320A9">
        <w:rPr>
          <w:rFonts w:ascii="Arial" w:hAnsi="Arial" w:cs="Arial"/>
          <w:lang w:val="en-US"/>
        </w:rPr>
        <w:t xml:space="preserve">) injection, mice received daily i.p. injections of the mPGES-1 inhibitor </w:t>
      </w:r>
      <w:r w:rsidR="00562341">
        <w:rPr>
          <w:rFonts w:ascii="Arial" w:hAnsi="Arial" w:cs="Arial"/>
          <w:lang w:val="en-US"/>
        </w:rPr>
        <w:t>compound III (CIII) (25 mg/kg</w:t>
      </w:r>
      <w:r w:rsidRPr="006320A9">
        <w:rPr>
          <w:rFonts w:ascii="Arial" w:hAnsi="Arial" w:cs="Arial"/>
          <w:lang w:val="en-US"/>
        </w:rPr>
        <w:t>) in combination with a CX3CL1 neutralizing antibody (nCX3CL1, 5 µg) or the respective IgG control (IgG).</w:t>
      </w:r>
      <w:r>
        <w:rPr>
          <w:rFonts w:ascii="Arial" w:hAnsi="Arial" w:cs="Arial"/>
          <w:lang w:val="en-US"/>
        </w:rPr>
        <w:t xml:space="preserve"> </w:t>
      </w:r>
      <w:r w:rsidRPr="00C67704">
        <w:rPr>
          <w:rFonts w:ascii="Arial" w:hAnsi="Arial" w:cs="Arial"/>
          <w:lang w:val="en-US"/>
        </w:rPr>
        <w:t>Concentration</w:t>
      </w:r>
      <w:r w:rsidR="009C573C">
        <w:rPr>
          <w:rFonts w:ascii="Arial" w:hAnsi="Arial" w:cs="Arial"/>
          <w:lang w:val="en-US"/>
        </w:rPr>
        <w:t>s</w:t>
      </w:r>
      <w:r w:rsidRPr="00C67704">
        <w:rPr>
          <w:rFonts w:ascii="Arial" w:hAnsi="Arial" w:cs="Arial"/>
          <w:lang w:val="en-US"/>
        </w:rPr>
        <w:t xml:space="preserve"> of CX3CL1 in the peritoneal lavage </w:t>
      </w:r>
      <w:r>
        <w:rPr>
          <w:rFonts w:ascii="Arial" w:hAnsi="Arial" w:cs="Arial"/>
          <w:lang w:val="en-US"/>
        </w:rPr>
        <w:t>w</w:t>
      </w:r>
      <w:r w:rsidR="009C573C">
        <w:rPr>
          <w:rFonts w:ascii="Arial" w:hAnsi="Arial" w:cs="Arial"/>
          <w:lang w:val="en-US"/>
        </w:rPr>
        <w:t>ere</w:t>
      </w:r>
      <w:r w:rsidRPr="00C67704">
        <w:rPr>
          <w:rFonts w:ascii="Arial" w:hAnsi="Arial" w:cs="Arial"/>
          <w:lang w:val="en-US"/>
        </w:rPr>
        <w:t xml:space="preserve"> determined by ELISA.</w:t>
      </w:r>
      <w:r w:rsidR="003E057A">
        <w:rPr>
          <w:rFonts w:ascii="Arial" w:hAnsi="Arial" w:cs="Arial"/>
          <w:lang w:val="en-US"/>
        </w:rPr>
        <w:t xml:space="preserve"> </w:t>
      </w:r>
      <w:r w:rsidR="003E057A" w:rsidRPr="004F3E3C">
        <w:rPr>
          <w:rFonts w:ascii="Arial" w:hAnsi="Arial" w:cs="Arial"/>
          <w:lang w:val="en-US"/>
        </w:rPr>
        <w:t>Data are presented as means ± SEM (n ≥</w:t>
      </w:r>
      <w:r w:rsidR="003E057A" w:rsidRPr="005122F6">
        <w:rPr>
          <w:rFonts w:ascii="Arial" w:hAnsi="Arial" w:cs="Arial"/>
          <w:lang w:val="en-US"/>
        </w:rPr>
        <w:t xml:space="preserve"> </w:t>
      </w:r>
      <w:r w:rsidR="003E057A">
        <w:rPr>
          <w:rFonts w:ascii="Arial" w:hAnsi="Arial" w:cs="Arial"/>
          <w:lang w:val="en-US"/>
        </w:rPr>
        <w:t>6</w:t>
      </w:r>
      <w:r w:rsidR="003E057A" w:rsidRPr="005122F6">
        <w:rPr>
          <w:rFonts w:ascii="Arial" w:hAnsi="Arial" w:cs="Arial"/>
          <w:lang w:val="en-US"/>
        </w:rPr>
        <w:t>)</w:t>
      </w:r>
      <w:r w:rsidR="003E057A" w:rsidRPr="004F3E3C">
        <w:rPr>
          <w:rFonts w:ascii="Arial" w:hAnsi="Arial" w:cs="Arial"/>
          <w:lang w:val="en-US"/>
        </w:rPr>
        <w:t xml:space="preserve"> and were statistically analyzed using</w:t>
      </w:r>
      <w:r w:rsidR="003E057A">
        <w:rPr>
          <w:rFonts w:ascii="Arial" w:hAnsi="Arial" w:cs="Arial"/>
          <w:lang w:val="en-US"/>
        </w:rPr>
        <w:t xml:space="preserve"> t-test (**p </w:t>
      </w:r>
      <w:r w:rsidR="003E057A" w:rsidRPr="004F3E3C">
        <w:rPr>
          <w:rFonts w:ascii="Arial" w:hAnsi="Arial" w:cs="Arial"/>
          <w:lang w:val="en-US"/>
        </w:rPr>
        <w:t>&lt;</w:t>
      </w:r>
      <w:r w:rsidR="003E057A">
        <w:rPr>
          <w:rFonts w:ascii="Arial" w:hAnsi="Arial" w:cs="Arial"/>
          <w:lang w:val="en-US"/>
        </w:rPr>
        <w:t xml:space="preserve"> 0.01</w:t>
      </w:r>
      <w:r w:rsidR="003E057A" w:rsidRPr="004F3E3C">
        <w:rPr>
          <w:rFonts w:ascii="Arial" w:hAnsi="Arial" w:cs="Arial"/>
          <w:lang w:val="en-US"/>
        </w:rPr>
        <w:t>).</w:t>
      </w:r>
    </w:p>
    <w:p w14:paraId="3DD27CE6" w14:textId="16F65C7B" w:rsidR="00F50026" w:rsidRDefault="00F50026" w:rsidP="00137B3E">
      <w:pPr>
        <w:spacing w:after="0" w:line="480" w:lineRule="auto"/>
        <w:jc w:val="both"/>
        <w:rPr>
          <w:rFonts w:ascii="Arial" w:hAnsi="Arial" w:cs="Arial"/>
          <w:lang w:val="en-US"/>
        </w:rPr>
      </w:pPr>
    </w:p>
    <w:p w14:paraId="7749A488" w14:textId="3DC797F2" w:rsidR="00F50026" w:rsidRDefault="00F50026">
      <w:pPr>
        <w:rPr>
          <w:rFonts w:ascii="Arial" w:hAnsi="Arial" w:cs="Arial"/>
          <w:lang w:val="en-US"/>
        </w:rPr>
      </w:pPr>
      <w:r>
        <w:rPr>
          <w:rFonts w:ascii="Arial" w:hAnsi="Arial" w:cs="Arial"/>
          <w:lang w:val="en-US"/>
        </w:rPr>
        <w:br w:type="page"/>
      </w:r>
    </w:p>
    <w:p w14:paraId="2D1CEEF0" w14:textId="3E6F057B" w:rsidR="00F50026" w:rsidRPr="00F50026" w:rsidRDefault="005A0F9D" w:rsidP="00137B3E">
      <w:pPr>
        <w:spacing w:after="0" w:line="480" w:lineRule="auto"/>
        <w:jc w:val="both"/>
        <w:rPr>
          <w:rFonts w:ascii="Arial" w:hAnsi="Arial" w:cs="Arial"/>
          <w:b/>
          <w:lang w:val="en-US"/>
        </w:rPr>
      </w:pPr>
      <w:r>
        <w:rPr>
          <w:rFonts w:ascii="Arial" w:hAnsi="Arial" w:cs="Arial"/>
          <w:b/>
          <w:lang w:val="en-US"/>
        </w:rPr>
        <w:lastRenderedPageBreak/>
        <w:t>Suppl. Table 3</w:t>
      </w:r>
      <w:r w:rsidR="00F50026">
        <w:rPr>
          <w:rFonts w:ascii="Arial" w:hAnsi="Arial" w:cs="Arial"/>
          <w:b/>
          <w:lang w:val="en-US"/>
        </w:rPr>
        <w:t>:</w:t>
      </w:r>
      <w:r w:rsidR="00F50026">
        <w:rPr>
          <w:rFonts w:ascii="Arial" w:hAnsi="Arial" w:cs="Arial"/>
          <w:b/>
          <w:lang w:val="en-US"/>
        </w:rPr>
        <w:tab/>
      </w:r>
      <w:r w:rsidR="00F50026" w:rsidRPr="00F50026">
        <w:rPr>
          <w:rFonts w:ascii="Arial" w:hAnsi="Arial" w:cs="Arial"/>
          <w:b/>
          <w:lang w:val="en-US"/>
        </w:rPr>
        <w:t>Antibodies used for FACS sorting</w:t>
      </w:r>
    </w:p>
    <w:tbl>
      <w:tblPr>
        <w:tblStyle w:val="Tabellenraster"/>
        <w:tblW w:w="0" w:type="auto"/>
        <w:tblLook w:val="04A0" w:firstRow="1" w:lastRow="0" w:firstColumn="1" w:lastColumn="0" w:noHBand="0" w:noVBand="1"/>
      </w:tblPr>
      <w:tblGrid>
        <w:gridCol w:w="2623"/>
        <w:gridCol w:w="1908"/>
        <w:gridCol w:w="4531"/>
      </w:tblGrid>
      <w:tr w:rsidR="00D67738" w:rsidRPr="006B7EB4" w14:paraId="720CC816" w14:textId="77777777" w:rsidTr="005A0F9D">
        <w:tc>
          <w:tcPr>
            <w:tcW w:w="2623" w:type="dxa"/>
            <w:vAlign w:val="center"/>
          </w:tcPr>
          <w:p w14:paraId="5ABDD0A6" w14:textId="77777777" w:rsidR="00D67738" w:rsidRPr="006B7EB4" w:rsidRDefault="00D67738" w:rsidP="005A0F9D">
            <w:pPr>
              <w:spacing w:before="120" w:after="120"/>
              <w:rPr>
                <w:rFonts w:ascii="Arial" w:hAnsi="Arial" w:cs="Arial"/>
                <w:b/>
                <w:bCs/>
                <w:color w:val="000000"/>
                <w:shd w:val="clear" w:color="auto" w:fill="FFFFFF"/>
                <w:lang w:val="en-US"/>
              </w:rPr>
            </w:pPr>
            <w:r w:rsidRPr="006B7EB4">
              <w:rPr>
                <w:rFonts w:ascii="Arial" w:hAnsi="Arial" w:cs="Arial"/>
                <w:b/>
                <w:bCs/>
                <w:color w:val="000000"/>
                <w:shd w:val="clear" w:color="auto" w:fill="FFFFFF"/>
                <w:lang w:val="en-US"/>
              </w:rPr>
              <w:t>Target</w:t>
            </w:r>
          </w:p>
        </w:tc>
        <w:tc>
          <w:tcPr>
            <w:tcW w:w="1908" w:type="dxa"/>
            <w:vAlign w:val="center"/>
          </w:tcPr>
          <w:p w14:paraId="3EFA55AF" w14:textId="77777777" w:rsidR="00D67738" w:rsidRPr="006B7EB4" w:rsidRDefault="00D67738" w:rsidP="005A0F9D">
            <w:pPr>
              <w:spacing w:before="120" w:after="120"/>
              <w:rPr>
                <w:rFonts w:ascii="Arial" w:hAnsi="Arial" w:cs="Arial"/>
                <w:b/>
                <w:bCs/>
                <w:color w:val="000000"/>
                <w:shd w:val="clear" w:color="auto" w:fill="FFFFFF"/>
                <w:lang w:val="en-US"/>
              </w:rPr>
            </w:pPr>
            <w:r w:rsidRPr="006B7EB4">
              <w:rPr>
                <w:rFonts w:ascii="Arial" w:hAnsi="Arial" w:cs="Arial"/>
                <w:b/>
                <w:bCs/>
                <w:color w:val="000000"/>
                <w:shd w:val="clear" w:color="auto" w:fill="FFFFFF"/>
                <w:lang w:val="en-US"/>
              </w:rPr>
              <w:t>manufacturer</w:t>
            </w:r>
          </w:p>
        </w:tc>
        <w:tc>
          <w:tcPr>
            <w:tcW w:w="4531" w:type="dxa"/>
            <w:vAlign w:val="center"/>
          </w:tcPr>
          <w:p w14:paraId="24B5EB33" w14:textId="77777777" w:rsidR="00D67738" w:rsidRPr="006B7EB4" w:rsidRDefault="00D67738" w:rsidP="005A0F9D">
            <w:pPr>
              <w:spacing w:before="120" w:after="120"/>
              <w:rPr>
                <w:rFonts w:ascii="Arial" w:hAnsi="Arial" w:cs="Arial"/>
                <w:b/>
                <w:bCs/>
                <w:color w:val="000000"/>
                <w:shd w:val="clear" w:color="auto" w:fill="FFFFFF"/>
                <w:lang w:val="en-US"/>
              </w:rPr>
            </w:pPr>
            <w:r w:rsidRPr="006B7EB4">
              <w:rPr>
                <w:rFonts w:ascii="Arial" w:hAnsi="Arial" w:cs="Arial"/>
                <w:b/>
                <w:bCs/>
                <w:color w:val="000000"/>
                <w:shd w:val="clear" w:color="auto" w:fill="FFFFFF"/>
                <w:lang w:val="en-US"/>
              </w:rPr>
              <w:t>identity</w:t>
            </w:r>
          </w:p>
        </w:tc>
      </w:tr>
      <w:tr w:rsidR="009C573C" w:rsidRPr="006B7EB4" w14:paraId="16AA12F0" w14:textId="77777777" w:rsidTr="002D6711">
        <w:tc>
          <w:tcPr>
            <w:tcW w:w="0" w:type="auto"/>
            <w:vAlign w:val="center"/>
            <w:hideMark/>
          </w:tcPr>
          <w:p w14:paraId="50663952"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Anti-CD11b</w:t>
            </w:r>
          </w:p>
        </w:tc>
        <w:tc>
          <w:tcPr>
            <w:tcW w:w="1908" w:type="dxa"/>
            <w:vAlign w:val="center"/>
            <w:hideMark/>
          </w:tcPr>
          <w:p w14:paraId="7CB1CE96"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4C4F3B7D" w14:textId="773DFE7B" w:rsidR="009C573C" w:rsidRPr="009C573C" w:rsidRDefault="009C573C" w:rsidP="009C573C">
            <w:pPr>
              <w:tabs>
                <w:tab w:val="left" w:pos="1878"/>
              </w:tabs>
              <w:spacing w:before="120" w:after="120"/>
              <w:rPr>
                <w:rFonts w:ascii="Arial" w:hAnsi="Arial" w:cs="Arial"/>
                <w:lang w:val="en-US"/>
              </w:rPr>
            </w:pPr>
            <w:r>
              <w:rPr>
                <w:rFonts w:ascii="Arial" w:hAnsi="Arial" w:cs="Arial"/>
              </w:rPr>
              <w:t>Cat# 101257;</w:t>
            </w:r>
            <w:r>
              <w:rPr>
                <w:rFonts w:ascii="Arial" w:hAnsi="Arial" w:cs="Arial"/>
              </w:rPr>
              <w:tab/>
              <w:t>RRID: AB_2565431</w:t>
            </w:r>
          </w:p>
        </w:tc>
      </w:tr>
      <w:tr w:rsidR="009C573C" w:rsidRPr="006B7EB4" w14:paraId="43FC6B46" w14:textId="77777777" w:rsidTr="002D6711">
        <w:tc>
          <w:tcPr>
            <w:tcW w:w="0" w:type="auto"/>
            <w:vAlign w:val="center"/>
          </w:tcPr>
          <w:p w14:paraId="15A54394"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Anti-CD11c</w:t>
            </w:r>
          </w:p>
        </w:tc>
        <w:tc>
          <w:tcPr>
            <w:tcW w:w="1908" w:type="dxa"/>
            <w:vAlign w:val="center"/>
          </w:tcPr>
          <w:p w14:paraId="001E35B3"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21FEB898" w14:textId="2786EFB4" w:rsidR="009C573C" w:rsidRPr="009C573C" w:rsidRDefault="009C573C" w:rsidP="009C573C">
            <w:pPr>
              <w:tabs>
                <w:tab w:val="left" w:pos="1878"/>
              </w:tabs>
              <w:spacing w:before="120" w:after="120"/>
              <w:rPr>
                <w:rFonts w:ascii="Arial" w:hAnsi="Arial" w:cs="Arial"/>
                <w:lang w:val="en-US"/>
              </w:rPr>
            </w:pPr>
            <w:r>
              <w:rPr>
                <w:rFonts w:ascii="Arial" w:hAnsi="Arial" w:cs="Arial"/>
              </w:rPr>
              <w:t>Cat# 117320;</w:t>
            </w:r>
            <w:r>
              <w:rPr>
                <w:rFonts w:ascii="Arial" w:hAnsi="Arial" w:cs="Arial"/>
              </w:rPr>
              <w:tab/>
              <w:t>RRID: AB_528735</w:t>
            </w:r>
          </w:p>
        </w:tc>
      </w:tr>
      <w:tr w:rsidR="009C573C" w:rsidRPr="006B7EB4" w14:paraId="07087B70" w14:textId="77777777" w:rsidTr="002D6711">
        <w:tc>
          <w:tcPr>
            <w:tcW w:w="0" w:type="auto"/>
            <w:vAlign w:val="center"/>
            <w:hideMark/>
          </w:tcPr>
          <w:p w14:paraId="24755B1D"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Anti-CD45</w:t>
            </w:r>
          </w:p>
        </w:tc>
        <w:tc>
          <w:tcPr>
            <w:tcW w:w="1908" w:type="dxa"/>
            <w:vAlign w:val="center"/>
            <w:hideMark/>
          </w:tcPr>
          <w:p w14:paraId="45353FE0"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Miltenyi</w:t>
            </w:r>
            <w:proofErr w:type="spellEnd"/>
          </w:p>
        </w:tc>
        <w:tc>
          <w:tcPr>
            <w:tcW w:w="4531" w:type="dxa"/>
          </w:tcPr>
          <w:p w14:paraId="26E05423" w14:textId="516062B3" w:rsidR="009C573C" w:rsidRPr="009C573C" w:rsidRDefault="009C573C" w:rsidP="009C573C">
            <w:pPr>
              <w:tabs>
                <w:tab w:val="left" w:pos="1878"/>
              </w:tabs>
              <w:spacing w:before="120" w:after="120"/>
              <w:rPr>
                <w:rFonts w:ascii="Arial" w:hAnsi="Arial" w:cs="Arial"/>
                <w:lang w:val="en-US"/>
              </w:rPr>
            </w:pPr>
            <w:r w:rsidRPr="009C573C">
              <w:rPr>
                <w:rFonts w:ascii="Arial" w:hAnsi="Arial" w:cs="Arial"/>
              </w:rPr>
              <w:t>Ca</w:t>
            </w:r>
            <w:r>
              <w:rPr>
                <w:rFonts w:ascii="Arial" w:hAnsi="Arial" w:cs="Arial"/>
              </w:rPr>
              <w:t>t# 130-102-430;</w:t>
            </w:r>
            <w:r>
              <w:rPr>
                <w:rFonts w:ascii="Arial" w:hAnsi="Arial" w:cs="Arial"/>
              </w:rPr>
              <w:tab/>
              <w:t>RRID: AB_2751586</w:t>
            </w:r>
          </w:p>
        </w:tc>
      </w:tr>
      <w:tr w:rsidR="009C573C" w:rsidRPr="006B7EB4" w14:paraId="75EC89FE" w14:textId="77777777" w:rsidTr="002D6711">
        <w:tc>
          <w:tcPr>
            <w:tcW w:w="0" w:type="auto"/>
            <w:vAlign w:val="center"/>
          </w:tcPr>
          <w:p w14:paraId="178811B6"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Anti-CX3CR1</w:t>
            </w:r>
          </w:p>
        </w:tc>
        <w:tc>
          <w:tcPr>
            <w:tcW w:w="1908" w:type="dxa"/>
            <w:vAlign w:val="center"/>
          </w:tcPr>
          <w:p w14:paraId="5A1C3E0B"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08851E6A" w14:textId="30FE0E87" w:rsidR="009C573C" w:rsidRPr="009C573C" w:rsidRDefault="009C573C" w:rsidP="009C573C">
            <w:pPr>
              <w:tabs>
                <w:tab w:val="left" w:pos="1878"/>
              </w:tabs>
              <w:spacing w:before="120" w:after="120"/>
              <w:rPr>
                <w:rFonts w:ascii="Arial" w:hAnsi="Arial" w:cs="Arial"/>
                <w:lang w:val="en-US"/>
              </w:rPr>
            </w:pPr>
            <w:r>
              <w:rPr>
                <w:rFonts w:ascii="Arial" w:hAnsi="Arial" w:cs="Arial"/>
              </w:rPr>
              <w:t>Cat# 149025;</w:t>
            </w:r>
            <w:r>
              <w:rPr>
                <w:rFonts w:ascii="Arial" w:hAnsi="Arial" w:cs="Arial"/>
              </w:rPr>
              <w:tab/>
            </w:r>
            <w:r w:rsidRPr="009C573C">
              <w:rPr>
                <w:rFonts w:ascii="Arial" w:hAnsi="Arial" w:cs="Arial"/>
              </w:rPr>
              <w:t>RRID:</w:t>
            </w:r>
            <w:r>
              <w:rPr>
                <w:rFonts w:ascii="Arial" w:hAnsi="Arial" w:cs="Arial"/>
              </w:rPr>
              <w:t xml:space="preserve"> AB_2565707</w:t>
            </w:r>
          </w:p>
        </w:tc>
      </w:tr>
      <w:tr w:rsidR="009C573C" w:rsidRPr="006B7EB4" w14:paraId="6F8BA753" w14:textId="77777777" w:rsidTr="002D6711">
        <w:tc>
          <w:tcPr>
            <w:tcW w:w="0" w:type="auto"/>
            <w:vAlign w:val="center"/>
            <w:hideMark/>
          </w:tcPr>
          <w:p w14:paraId="0E76CC0A"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Anti-F4/80</w:t>
            </w:r>
          </w:p>
        </w:tc>
        <w:tc>
          <w:tcPr>
            <w:tcW w:w="1908" w:type="dxa"/>
            <w:vAlign w:val="center"/>
            <w:hideMark/>
          </w:tcPr>
          <w:p w14:paraId="7E7E4B5C"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4E1DFD4F" w14:textId="6C42CDAD" w:rsidR="009C573C" w:rsidRPr="009C573C" w:rsidRDefault="009C573C" w:rsidP="009C573C">
            <w:pPr>
              <w:tabs>
                <w:tab w:val="left" w:pos="1878"/>
              </w:tabs>
              <w:spacing w:before="120" w:after="120"/>
              <w:rPr>
                <w:rFonts w:ascii="Arial" w:hAnsi="Arial" w:cs="Arial"/>
                <w:lang w:val="en-US"/>
              </w:rPr>
            </w:pPr>
            <w:r>
              <w:rPr>
                <w:rFonts w:ascii="Arial" w:hAnsi="Arial" w:cs="Arial"/>
              </w:rPr>
              <w:t>Cat# 123114;</w:t>
            </w:r>
            <w:r>
              <w:rPr>
                <w:rFonts w:ascii="Arial" w:hAnsi="Arial" w:cs="Arial"/>
              </w:rPr>
              <w:tab/>
            </w:r>
            <w:r w:rsidRPr="009C573C">
              <w:rPr>
                <w:rFonts w:ascii="Arial" w:hAnsi="Arial" w:cs="Arial"/>
              </w:rPr>
              <w:t>RRID:</w:t>
            </w:r>
            <w:r>
              <w:rPr>
                <w:rFonts w:ascii="Arial" w:hAnsi="Arial" w:cs="Arial"/>
              </w:rPr>
              <w:t xml:space="preserve"> AB_893478</w:t>
            </w:r>
          </w:p>
        </w:tc>
      </w:tr>
      <w:tr w:rsidR="009C573C" w:rsidRPr="006B7EB4" w14:paraId="7ED96E43" w14:textId="77777777" w:rsidTr="002D6711">
        <w:tc>
          <w:tcPr>
            <w:tcW w:w="0" w:type="auto"/>
            <w:vAlign w:val="center"/>
            <w:hideMark/>
          </w:tcPr>
          <w:p w14:paraId="1C44E8C6"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Anti-HLA-DR (MHCII)</w:t>
            </w:r>
          </w:p>
        </w:tc>
        <w:tc>
          <w:tcPr>
            <w:tcW w:w="1908" w:type="dxa"/>
            <w:vAlign w:val="center"/>
            <w:hideMark/>
          </w:tcPr>
          <w:p w14:paraId="1AA2A589"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Miltenyi</w:t>
            </w:r>
            <w:proofErr w:type="spellEnd"/>
          </w:p>
        </w:tc>
        <w:tc>
          <w:tcPr>
            <w:tcW w:w="4531" w:type="dxa"/>
          </w:tcPr>
          <w:p w14:paraId="6CB535AF" w14:textId="1FCEFB90" w:rsidR="009C573C" w:rsidRPr="009C573C" w:rsidRDefault="009C573C" w:rsidP="009C573C">
            <w:pPr>
              <w:tabs>
                <w:tab w:val="left" w:pos="1878"/>
              </w:tabs>
              <w:spacing w:before="120" w:after="120"/>
              <w:rPr>
                <w:rFonts w:ascii="Arial" w:hAnsi="Arial" w:cs="Arial"/>
                <w:lang w:val="en-US"/>
              </w:rPr>
            </w:pPr>
            <w:r>
              <w:rPr>
                <w:rFonts w:ascii="Arial" w:hAnsi="Arial" w:cs="Arial"/>
              </w:rPr>
              <w:t>Cat# 130-102-139;</w:t>
            </w:r>
            <w:r>
              <w:rPr>
                <w:rFonts w:ascii="Arial" w:hAnsi="Arial" w:cs="Arial"/>
              </w:rPr>
              <w:tab/>
            </w:r>
            <w:r w:rsidRPr="009C573C">
              <w:rPr>
                <w:rFonts w:ascii="Arial" w:hAnsi="Arial" w:cs="Arial"/>
              </w:rPr>
              <w:t>RRID:</w:t>
            </w:r>
            <w:r>
              <w:rPr>
                <w:rFonts w:ascii="Arial" w:hAnsi="Arial" w:cs="Arial"/>
              </w:rPr>
              <w:t xml:space="preserve"> </w:t>
            </w:r>
            <w:r w:rsidRPr="009C573C">
              <w:rPr>
                <w:rFonts w:ascii="Arial" w:hAnsi="Arial" w:cs="Arial"/>
              </w:rPr>
              <w:t>AB_266</w:t>
            </w:r>
            <w:r>
              <w:rPr>
                <w:rFonts w:ascii="Arial" w:hAnsi="Arial" w:cs="Arial"/>
              </w:rPr>
              <w:t>0058</w:t>
            </w:r>
          </w:p>
        </w:tc>
      </w:tr>
      <w:tr w:rsidR="009C573C" w:rsidRPr="006B7EB4" w14:paraId="3004674E" w14:textId="77777777" w:rsidTr="002D6711">
        <w:tc>
          <w:tcPr>
            <w:tcW w:w="0" w:type="auto"/>
            <w:vAlign w:val="center"/>
          </w:tcPr>
          <w:p w14:paraId="7667EB8F"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Anti-I-A/I-E</w:t>
            </w:r>
          </w:p>
        </w:tc>
        <w:tc>
          <w:tcPr>
            <w:tcW w:w="1908" w:type="dxa"/>
            <w:vAlign w:val="center"/>
          </w:tcPr>
          <w:p w14:paraId="0BC4CA75"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1797A793" w14:textId="400635C7" w:rsidR="009C573C" w:rsidRPr="009C573C" w:rsidRDefault="009C573C" w:rsidP="009C573C">
            <w:pPr>
              <w:tabs>
                <w:tab w:val="left" w:pos="1878"/>
              </w:tabs>
              <w:spacing w:before="120" w:after="120"/>
              <w:rPr>
                <w:rFonts w:ascii="Arial" w:hAnsi="Arial" w:cs="Arial"/>
                <w:lang w:val="en-US"/>
              </w:rPr>
            </w:pPr>
            <w:r>
              <w:rPr>
                <w:rFonts w:ascii="Arial" w:hAnsi="Arial" w:cs="Arial"/>
              </w:rPr>
              <w:t>Cat# 107614;</w:t>
            </w:r>
            <w:r>
              <w:rPr>
                <w:rFonts w:ascii="Arial" w:hAnsi="Arial" w:cs="Arial"/>
              </w:rPr>
              <w:tab/>
            </w:r>
            <w:r w:rsidRPr="009C573C">
              <w:rPr>
                <w:rFonts w:ascii="Arial" w:hAnsi="Arial" w:cs="Arial"/>
              </w:rPr>
              <w:t>RRID:</w:t>
            </w:r>
            <w:r>
              <w:rPr>
                <w:rFonts w:ascii="Arial" w:hAnsi="Arial" w:cs="Arial"/>
              </w:rPr>
              <w:t xml:space="preserve"> AB_313329</w:t>
            </w:r>
          </w:p>
        </w:tc>
      </w:tr>
      <w:tr w:rsidR="009C573C" w:rsidRPr="006B7EB4" w14:paraId="5B78FE66" w14:textId="77777777" w:rsidTr="002D6711">
        <w:tc>
          <w:tcPr>
            <w:tcW w:w="0" w:type="auto"/>
            <w:vAlign w:val="center"/>
            <w:hideMark/>
          </w:tcPr>
          <w:p w14:paraId="33FBD7F4"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Anti-Ly6C</w:t>
            </w:r>
          </w:p>
        </w:tc>
        <w:tc>
          <w:tcPr>
            <w:tcW w:w="1908" w:type="dxa"/>
            <w:vAlign w:val="center"/>
            <w:hideMark/>
          </w:tcPr>
          <w:p w14:paraId="5F988374" w14:textId="77777777" w:rsidR="009C573C" w:rsidRPr="006B7EB4" w:rsidRDefault="009C573C" w:rsidP="009C573C">
            <w:pPr>
              <w:spacing w:before="120" w:after="120"/>
              <w:rPr>
                <w:rFonts w:ascii="Arial" w:hAnsi="Arial" w:cs="Arial"/>
                <w:color w:val="2E2E2E"/>
                <w:lang w:val="en-US"/>
              </w:rPr>
            </w:pPr>
            <w:r w:rsidRPr="006B7EB4">
              <w:rPr>
                <w:rFonts w:ascii="Arial" w:hAnsi="Arial" w:cs="Arial"/>
                <w:color w:val="2E2E2E"/>
                <w:lang w:val="en-US"/>
              </w:rPr>
              <w:t>BD Biosciences</w:t>
            </w:r>
          </w:p>
        </w:tc>
        <w:tc>
          <w:tcPr>
            <w:tcW w:w="4531" w:type="dxa"/>
          </w:tcPr>
          <w:p w14:paraId="78F7F4D8" w14:textId="2F013D01" w:rsidR="009C573C" w:rsidRPr="009C573C" w:rsidRDefault="009C573C" w:rsidP="009C573C">
            <w:pPr>
              <w:tabs>
                <w:tab w:val="left" w:pos="1878"/>
              </w:tabs>
              <w:spacing w:before="120" w:after="120"/>
              <w:rPr>
                <w:rFonts w:ascii="Arial" w:hAnsi="Arial" w:cs="Arial"/>
                <w:lang w:val="en-US"/>
              </w:rPr>
            </w:pPr>
            <w:r>
              <w:rPr>
                <w:rFonts w:ascii="Arial" w:hAnsi="Arial" w:cs="Arial"/>
              </w:rPr>
              <w:t>Cat# 560525;</w:t>
            </w:r>
            <w:r>
              <w:rPr>
                <w:rFonts w:ascii="Arial" w:hAnsi="Arial" w:cs="Arial"/>
              </w:rPr>
              <w:tab/>
            </w:r>
            <w:r w:rsidRPr="009C573C">
              <w:rPr>
                <w:rFonts w:ascii="Arial" w:hAnsi="Arial" w:cs="Arial"/>
              </w:rPr>
              <w:t>RRID:</w:t>
            </w:r>
            <w:r>
              <w:rPr>
                <w:rFonts w:ascii="Arial" w:hAnsi="Arial" w:cs="Arial"/>
              </w:rPr>
              <w:t xml:space="preserve"> </w:t>
            </w:r>
            <w:r w:rsidRPr="009C573C">
              <w:rPr>
                <w:rFonts w:ascii="Arial" w:hAnsi="Arial" w:cs="Arial"/>
              </w:rPr>
              <w:t>AB_1727558</w:t>
            </w:r>
          </w:p>
        </w:tc>
      </w:tr>
      <w:tr w:rsidR="009C573C" w:rsidRPr="006B7EB4" w14:paraId="567B5D7E" w14:textId="77777777" w:rsidTr="002D6711">
        <w:tc>
          <w:tcPr>
            <w:tcW w:w="0" w:type="auto"/>
            <w:vAlign w:val="center"/>
          </w:tcPr>
          <w:p w14:paraId="4BC479AD"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Anti-Ly6C</w:t>
            </w:r>
          </w:p>
        </w:tc>
        <w:tc>
          <w:tcPr>
            <w:tcW w:w="1908" w:type="dxa"/>
            <w:vAlign w:val="center"/>
          </w:tcPr>
          <w:p w14:paraId="4B7CCDE5"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0DF3A130" w14:textId="7B52F5D4" w:rsidR="009C573C" w:rsidRPr="009C573C" w:rsidRDefault="009C573C" w:rsidP="009C573C">
            <w:pPr>
              <w:tabs>
                <w:tab w:val="left" w:pos="1878"/>
              </w:tabs>
              <w:spacing w:before="120" w:after="120"/>
              <w:rPr>
                <w:rFonts w:ascii="Arial" w:hAnsi="Arial" w:cs="Arial"/>
                <w:lang w:val="en-US"/>
              </w:rPr>
            </w:pPr>
            <w:r>
              <w:rPr>
                <w:rFonts w:ascii="Arial" w:hAnsi="Arial" w:cs="Arial"/>
              </w:rPr>
              <w:t>Cat# 128012;</w:t>
            </w:r>
            <w:r>
              <w:rPr>
                <w:rFonts w:ascii="Arial" w:hAnsi="Arial" w:cs="Arial"/>
              </w:rPr>
              <w:tab/>
            </w:r>
            <w:r w:rsidRPr="009C573C">
              <w:rPr>
                <w:rFonts w:ascii="Arial" w:hAnsi="Arial" w:cs="Arial"/>
              </w:rPr>
              <w:t>RRID:</w:t>
            </w:r>
            <w:r>
              <w:rPr>
                <w:rFonts w:ascii="Arial" w:hAnsi="Arial" w:cs="Arial"/>
              </w:rPr>
              <w:t xml:space="preserve"> AB_1659241</w:t>
            </w:r>
          </w:p>
        </w:tc>
      </w:tr>
      <w:tr w:rsidR="009C573C" w:rsidRPr="006B7EB4" w14:paraId="7AA2C1F6" w14:textId="77777777" w:rsidTr="002D6711">
        <w:tc>
          <w:tcPr>
            <w:tcW w:w="0" w:type="auto"/>
            <w:vAlign w:val="center"/>
            <w:hideMark/>
          </w:tcPr>
          <w:p w14:paraId="55BE874F"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Anti-Ly6G</w:t>
            </w:r>
          </w:p>
        </w:tc>
        <w:tc>
          <w:tcPr>
            <w:tcW w:w="1908" w:type="dxa"/>
            <w:vAlign w:val="center"/>
            <w:hideMark/>
          </w:tcPr>
          <w:p w14:paraId="0959C80E" w14:textId="77777777" w:rsidR="009C573C" w:rsidRPr="006B7EB4" w:rsidRDefault="009C573C" w:rsidP="009C573C">
            <w:pPr>
              <w:spacing w:before="120" w:after="120"/>
              <w:rPr>
                <w:rFonts w:ascii="Arial" w:hAnsi="Arial" w:cs="Arial"/>
                <w:color w:val="2E2E2E"/>
                <w:lang w:val="en-US"/>
              </w:rPr>
            </w:pPr>
            <w:proofErr w:type="spellStart"/>
            <w:r w:rsidRPr="006B7EB4">
              <w:rPr>
                <w:rFonts w:ascii="Arial" w:hAnsi="Arial" w:cs="Arial"/>
                <w:color w:val="2E2E2E"/>
                <w:lang w:val="en-US"/>
              </w:rPr>
              <w:t>Biolegend</w:t>
            </w:r>
            <w:proofErr w:type="spellEnd"/>
          </w:p>
        </w:tc>
        <w:tc>
          <w:tcPr>
            <w:tcW w:w="4531" w:type="dxa"/>
          </w:tcPr>
          <w:p w14:paraId="545C7935" w14:textId="3D48E70D" w:rsidR="009C573C" w:rsidRPr="009C573C" w:rsidRDefault="009C573C" w:rsidP="009C573C">
            <w:pPr>
              <w:tabs>
                <w:tab w:val="left" w:pos="1878"/>
              </w:tabs>
              <w:spacing w:before="120" w:after="120"/>
              <w:rPr>
                <w:rFonts w:ascii="Arial" w:hAnsi="Arial" w:cs="Arial"/>
                <w:lang w:val="en-US"/>
              </w:rPr>
            </w:pPr>
            <w:r>
              <w:rPr>
                <w:rFonts w:ascii="Arial" w:hAnsi="Arial" w:cs="Arial"/>
              </w:rPr>
              <w:t>Cat# 127624;</w:t>
            </w:r>
            <w:r>
              <w:rPr>
                <w:rFonts w:ascii="Arial" w:hAnsi="Arial" w:cs="Arial"/>
              </w:rPr>
              <w:tab/>
            </w:r>
            <w:r w:rsidRPr="009C573C">
              <w:rPr>
                <w:rFonts w:ascii="Arial" w:hAnsi="Arial" w:cs="Arial"/>
              </w:rPr>
              <w:t>RRID:</w:t>
            </w:r>
            <w:r>
              <w:rPr>
                <w:rFonts w:ascii="Arial" w:hAnsi="Arial" w:cs="Arial"/>
              </w:rPr>
              <w:t xml:space="preserve"> </w:t>
            </w:r>
            <w:r w:rsidRPr="009C573C">
              <w:rPr>
                <w:rFonts w:ascii="Arial" w:hAnsi="Arial" w:cs="Arial"/>
              </w:rPr>
              <w:t>AB_10640819</w:t>
            </w:r>
          </w:p>
        </w:tc>
      </w:tr>
      <w:tr w:rsidR="009C573C" w:rsidRPr="006B7EB4" w14:paraId="1D783C69" w14:textId="77777777" w:rsidTr="002D6711">
        <w:tc>
          <w:tcPr>
            <w:tcW w:w="0" w:type="auto"/>
            <w:vAlign w:val="center"/>
          </w:tcPr>
          <w:p w14:paraId="50F80728" w14:textId="77777777" w:rsidR="009C573C" w:rsidRPr="006B7EB4" w:rsidRDefault="009C573C" w:rsidP="009C573C">
            <w:pPr>
              <w:spacing w:before="120" w:after="120"/>
              <w:rPr>
                <w:rFonts w:ascii="Arial" w:hAnsi="Arial" w:cs="Arial"/>
                <w:lang w:val="en-US"/>
              </w:rPr>
            </w:pPr>
            <w:r w:rsidRPr="006B7EB4">
              <w:rPr>
                <w:rFonts w:ascii="Arial" w:hAnsi="Arial" w:cs="Arial"/>
                <w:lang w:val="en-US"/>
              </w:rPr>
              <w:t>Anti-MerTK</w:t>
            </w:r>
          </w:p>
        </w:tc>
        <w:tc>
          <w:tcPr>
            <w:tcW w:w="1908" w:type="dxa"/>
            <w:vAlign w:val="center"/>
          </w:tcPr>
          <w:p w14:paraId="56376F0F" w14:textId="77777777" w:rsidR="009C573C" w:rsidRPr="006B7EB4" w:rsidRDefault="009C573C" w:rsidP="009C573C">
            <w:pPr>
              <w:spacing w:before="120" w:after="120"/>
              <w:rPr>
                <w:rFonts w:ascii="Arial" w:hAnsi="Arial" w:cs="Arial"/>
                <w:color w:val="2E2E2E"/>
                <w:lang w:val="en-US"/>
              </w:rPr>
            </w:pPr>
            <w:r w:rsidRPr="006B7EB4">
              <w:rPr>
                <w:rFonts w:ascii="Arial" w:hAnsi="Arial" w:cs="Arial"/>
                <w:color w:val="2E2E2E"/>
                <w:lang w:val="en-US"/>
              </w:rPr>
              <w:t>Invitrogen</w:t>
            </w:r>
          </w:p>
        </w:tc>
        <w:tc>
          <w:tcPr>
            <w:tcW w:w="4531" w:type="dxa"/>
          </w:tcPr>
          <w:p w14:paraId="27AC7103" w14:textId="240EF149" w:rsidR="009C573C" w:rsidRPr="009C573C" w:rsidRDefault="009C573C" w:rsidP="009C573C">
            <w:pPr>
              <w:tabs>
                <w:tab w:val="left" w:pos="1878"/>
              </w:tabs>
              <w:spacing w:before="120" w:after="120"/>
              <w:rPr>
                <w:rFonts w:ascii="Arial" w:hAnsi="Arial" w:cs="Arial"/>
                <w:lang w:val="en-US"/>
              </w:rPr>
            </w:pPr>
            <w:r>
              <w:rPr>
                <w:rFonts w:ascii="Arial" w:hAnsi="Arial" w:cs="Arial"/>
              </w:rPr>
              <w:t>Cat# 25-5751;</w:t>
            </w:r>
            <w:r>
              <w:rPr>
                <w:rFonts w:ascii="Arial" w:hAnsi="Arial" w:cs="Arial"/>
              </w:rPr>
              <w:tab/>
            </w:r>
            <w:r w:rsidRPr="009C573C">
              <w:rPr>
                <w:rFonts w:ascii="Arial" w:hAnsi="Arial" w:cs="Arial"/>
              </w:rPr>
              <w:t>RRID:</w:t>
            </w:r>
            <w:r>
              <w:rPr>
                <w:rFonts w:ascii="Arial" w:hAnsi="Arial" w:cs="Arial"/>
              </w:rPr>
              <w:t xml:space="preserve"> AB_2573466</w:t>
            </w:r>
          </w:p>
        </w:tc>
      </w:tr>
    </w:tbl>
    <w:p w14:paraId="143129BC" w14:textId="3D1AD4CF" w:rsidR="00F50026" w:rsidRDefault="00F50026" w:rsidP="00137B3E">
      <w:pPr>
        <w:spacing w:after="0" w:line="480" w:lineRule="auto"/>
        <w:jc w:val="both"/>
        <w:rPr>
          <w:rFonts w:ascii="Arial" w:hAnsi="Arial" w:cs="Arial"/>
          <w:lang w:val="en-US"/>
        </w:rPr>
      </w:pPr>
    </w:p>
    <w:p w14:paraId="6D6A4AED" w14:textId="21C964CE" w:rsidR="00F50026" w:rsidRDefault="00F50026" w:rsidP="00137B3E">
      <w:pPr>
        <w:spacing w:after="0" w:line="480" w:lineRule="auto"/>
        <w:jc w:val="both"/>
        <w:rPr>
          <w:rFonts w:ascii="Arial" w:hAnsi="Arial" w:cs="Arial"/>
          <w:lang w:val="en-US"/>
        </w:rPr>
      </w:pPr>
    </w:p>
    <w:p w14:paraId="70CF88F0" w14:textId="64C54B62" w:rsidR="00F50026" w:rsidRDefault="00F50026" w:rsidP="00137B3E">
      <w:pPr>
        <w:spacing w:after="0" w:line="480" w:lineRule="auto"/>
        <w:jc w:val="both"/>
        <w:rPr>
          <w:rFonts w:ascii="Arial" w:hAnsi="Arial" w:cs="Arial"/>
          <w:lang w:val="en-US"/>
        </w:rPr>
      </w:pPr>
    </w:p>
    <w:p w14:paraId="4454FC1C" w14:textId="2E0486EB" w:rsidR="00F50026" w:rsidRPr="00F50026" w:rsidRDefault="00F50026" w:rsidP="00F50026">
      <w:pPr>
        <w:spacing w:after="0" w:line="480" w:lineRule="auto"/>
        <w:jc w:val="both"/>
        <w:rPr>
          <w:rFonts w:ascii="Arial" w:hAnsi="Arial" w:cs="Arial"/>
          <w:b/>
          <w:lang w:val="en-US"/>
        </w:rPr>
      </w:pPr>
      <w:r w:rsidRPr="00F50026">
        <w:rPr>
          <w:rFonts w:ascii="Arial" w:hAnsi="Arial" w:cs="Arial"/>
          <w:b/>
          <w:lang w:val="en-US"/>
        </w:rPr>
        <w:t xml:space="preserve">Suppl. Table </w:t>
      </w:r>
      <w:r w:rsidR="005A0F9D">
        <w:rPr>
          <w:rFonts w:ascii="Arial" w:hAnsi="Arial" w:cs="Arial"/>
          <w:b/>
          <w:lang w:val="en-US"/>
        </w:rPr>
        <w:t>4</w:t>
      </w:r>
      <w:r>
        <w:rPr>
          <w:rFonts w:ascii="Arial" w:hAnsi="Arial" w:cs="Arial"/>
          <w:b/>
          <w:lang w:val="en-US"/>
        </w:rPr>
        <w:t>:</w:t>
      </w:r>
      <w:r>
        <w:rPr>
          <w:rFonts w:ascii="Arial" w:hAnsi="Arial" w:cs="Arial"/>
          <w:b/>
          <w:lang w:val="en-US"/>
        </w:rPr>
        <w:tab/>
        <w:t>Primers</w:t>
      </w:r>
    </w:p>
    <w:tbl>
      <w:tblPr>
        <w:tblStyle w:val="Tabellenraster"/>
        <w:tblW w:w="0" w:type="auto"/>
        <w:tblLook w:val="04A0" w:firstRow="1" w:lastRow="0" w:firstColumn="1" w:lastColumn="0" w:noHBand="0" w:noVBand="1"/>
      </w:tblPr>
      <w:tblGrid>
        <w:gridCol w:w="3397"/>
        <w:gridCol w:w="1843"/>
        <w:gridCol w:w="3822"/>
      </w:tblGrid>
      <w:tr w:rsidR="00D67738" w14:paraId="731AF024" w14:textId="77777777" w:rsidTr="005A0F9D">
        <w:tc>
          <w:tcPr>
            <w:tcW w:w="3397" w:type="dxa"/>
            <w:vAlign w:val="center"/>
          </w:tcPr>
          <w:p w14:paraId="0DCB384F" w14:textId="77D77936" w:rsidR="00D67738" w:rsidRPr="00D67738" w:rsidRDefault="00D67738" w:rsidP="005A0F9D">
            <w:pPr>
              <w:spacing w:before="120" w:after="120"/>
              <w:jc w:val="both"/>
              <w:rPr>
                <w:rFonts w:ascii="Arial" w:hAnsi="Arial" w:cs="Arial"/>
                <w:color w:val="000000"/>
                <w:shd w:val="clear" w:color="auto" w:fill="FFFFFF"/>
                <w:lang w:val="en-US"/>
              </w:rPr>
            </w:pPr>
            <w:r w:rsidRPr="006B7EB4">
              <w:rPr>
                <w:rFonts w:ascii="Arial" w:hAnsi="Arial" w:cs="Arial"/>
                <w:color w:val="000000"/>
                <w:shd w:val="clear" w:color="auto" w:fill="FFFFFF"/>
                <w:lang w:val="en-US"/>
              </w:rPr>
              <w:t>Tata-box binding protein [</w:t>
            </w:r>
            <w:proofErr w:type="spellStart"/>
            <w:r w:rsidRPr="006B7EB4">
              <w:rPr>
                <w:rFonts w:ascii="Arial" w:hAnsi="Arial" w:cs="Arial"/>
                <w:color w:val="000000"/>
                <w:shd w:val="clear" w:color="auto" w:fill="FFFFFF"/>
                <w:lang w:val="en-US"/>
              </w:rPr>
              <w:t>Tbp</w:t>
            </w:r>
            <w:proofErr w:type="spellEnd"/>
            <w:r w:rsidRPr="006B7EB4">
              <w:rPr>
                <w:rFonts w:ascii="Arial" w:hAnsi="Arial" w:cs="Arial"/>
                <w:color w:val="000000"/>
                <w:shd w:val="clear" w:color="auto" w:fill="FFFFFF"/>
                <w:lang w:val="en-US"/>
              </w:rPr>
              <w:t>]</w:t>
            </w:r>
          </w:p>
        </w:tc>
        <w:tc>
          <w:tcPr>
            <w:tcW w:w="1843" w:type="dxa"/>
            <w:vAlign w:val="center"/>
          </w:tcPr>
          <w:p w14:paraId="483BE446" w14:textId="5FD45C50" w:rsidR="00D67738" w:rsidRDefault="005A0F9D" w:rsidP="005A0F9D">
            <w:pPr>
              <w:spacing w:before="120" w:after="120"/>
              <w:jc w:val="both"/>
              <w:rPr>
                <w:rFonts w:ascii="Arial" w:hAnsi="Arial" w:cs="Arial"/>
                <w:lang w:val="en-US"/>
              </w:rPr>
            </w:pPr>
            <w:r>
              <w:rPr>
                <w:rFonts w:ascii="Arial" w:hAnsi="Arial" w:cs="Arial"/>
                <w:lang w:val="en-US"/>
              </w:rPr>
              <w:t>forward</w:t>
            </w:r>
          </w:p>
        </w:tc>
        <w:tc>
          <w:tcPr>
            <w:tcW w:w="3822" w:type="dxa"/>
            <w:vAlign w:val="center"/>
          </w:tcPr>
          <w:p w14:paraId="3CB12666" w14:textId="68E6F4EA" w:rsidR="00D67738" w:rsidRPr="005A0F9D" w:rsidRDefault="00D67738" w:rsidP="005A0F9D">
            <w:pPr>
              <w:spacing w:before="120" w:after="120"/>
              <w:jc w:val="both"/>
              <w:rPr>
                <w:rFonts w:ascii="Arial" w:hAnsi="Arial" w:cs="Arial"/>
                <w:lang w:val="en-US"/>
              </w:rPr>
            </w:pPr>
            <w:r w:rsidRPr="005A0F9D">
              <w:rPr>
                <w:rFonts w:ascii="Arial" w:hAnsi="Arial" w:cs="Arial"/>
                <w:iCs/>
                <w:color w:val="000000"/>
                <w:shd w:val="clear" w:color="auto" w:fill="FFFFFF"/>
                <w:lang w:val="en-US"/>
              </w:rPr>
              <w:t>CTGACCACTGCACCGTTGCCA</w:t>
            </w:r>
          </w:p>
        </w:tc>
      </w:tr>
      <w:tr w:rsidR="00D67738" w14:paraId="351992E9" w14:textId="77777777" w:rsidTr="005A0F9D">
        <w:tc>
          <w:tcPr>
            <w:tcW w:w="3397" w:type="dxa"/>
            <w:vAlign w:val="center"/>
          </w:tcPr>
          <w:p w14:paraId="6B7B9427" w14:textId="77777777" w:rsidR="00D67738" w:rsidRDefault="00D67738" w:rsidP="005A0F9D">
            <w:pPr>
              <w:spacing w:before="120" w:after="120"/>
              <w:jc w:val="both"/>
              <w:rPr>
                <w:rFonts w:ascii="Arial" w:hAnsi="Arial" w:cs="Arial"/>
                <w:lang w:val="en-US"/>
              </w:rPr>
            </w:pPr>
          </w:p>
        </w:tc>
        <w:tc>
          <w:tcPr>
            <w:tcW w:w="1843" w:type="dxa"/>
            <w:vAlign w:val="center"/>
          </w:tcPr>
          <w:p w14:paraId="7EEF9EC4" w14:textId="58BB5011" w:rsidR="00D67738" w:rsidRDefault="005A0F9D" w:rsidP="005A0F9D">
            <w:pPr>
              <w:spacing w:before="120" w:after="120"/>
              <w:jc w:val="both"/>
              <w:rPr>
                <w:rFonts w:ascii="Arial" w:hAnsi="Arial" w:cs="Arial"/>
                <w:lang w:val="en-US"/>
              </w:rPr>
            </w:pPr>
            <w:r>
              <w:rPr>
                <w:rFonts w:ascii="Arial" w:hAnsi="Arial" w:cs="Arial"/>
                <w:lang w:val="en-US"/>
              </w:rPr>
              <w:t>reverse</w:t>
            </w:r>
          </w:p>
        </w:tc>
        <w:tc>
          <w:tcPr>
            <w:tcW w:w="3822" w:type="dxa"/>
            <w:vAlign w:val="center"/>
          </w:tcPr>
          <w:p w14:paraId="49AAB61F" w14:textId="59CD5B30" w:rsidR="00D67738" w:rsidRPr="005A0F9D" w:rsidRDefault="00D67738" w:rsidP="005A0F9D">
            <w:pPr>
              <w:spacing w:before="120" w:after="120"/>
              <w:jc w:val="both"/>
              <w:rPr>
                <w:rFonts w:ascii="Arial" w:hAnsi="Arial" w:cs="Arial"/>
                <w:lang w:val="en-US"/>
              </w:rPr>
            </w:pPr>
            <w:r w:rsidRPr="005A0F9D">
              <w:rPr>
                <w:rFonts w:ascii="Arial" w:hAnsi="Arial" w:cs="Arial"/>
                <w:iCs/>
                <w:color w:val="000000"/>
                <w:shd w:val="clear" w:color="auto" w:fill="FFFFFF"/>
                <w:lang w:val="en-US"/>
              </w:rPr>
              <w:t>GACTGCAGCAAATCGCTTGGGA</w:t>
            </w:r>
          </w:p>
        </w:tc>
      </w:tr>
      <w:tr w:rsidR="00D67738" w14:paraId="63409CBD" w14:textId="77777777" w:rsidTr="005A0F9D">
        <w:tc>
          <w:tcPr>
            <w:tcW w:w="3397" w:type="dxa"/>
            <w:vAlign w:val="center"/>
          </w:tcPr>
          <w:p w14:paraId="3125D1B5" w14:textId="688E28B4" w:rsidR="00D67738" w:rsidRDefault="00D67738" w:rsidP="005A0F9D">
            <w:pPr>
              <w:spacing w:before="120" w:after="120"/>
              <w:jc w:val="both"/>
              <w:rPr>
                <w:rFonts w:ascii="Arial" w:hAnsi="Arial" w:cs="Arial"/>
                <w:lang w:val="en-US"/>
              </w:rPr>
            </w:pPr>
            <w:r w:rsidRPr="006B7EB4">
              <w:rPr>
                <w:rFonts w:ascii="Arial" w:hAnsi="Arial" w:cs="Arial"/>
                <w:color w:val="000000"/>
                <w:shd w:val="clear" w:color="auto" w:fill="FFFFFF"/>
                <w:lang w:val="en-US"/>
              </w:rPr>
              <w:t>Ribosomal protein S6 [RPS]</w:t>
            </w:r>
          </w:p>
        </w:tc>
        <w:tc>
          <w:tcPr>
            <w:tcW w:w="1843" w:type="dxa"/>
            <w:vAlign w:val="center"/>
          </w:tcPr>
          <w:p w14:paraId="12EAD729" w14:textId="3A286659" w:rsidR="00D67738" w:rsidRDefault="005A0F9D" w:rsidP="005A0F9D">
            <w:pPr>
              <w:spacing w:before="120" w:after="120"/>
              <w:jc w:val="both"/>
              <w:rPr>
                <w:rFonts w:ascii="Arial" w:hAnsi="Arial" w:cs="Arial"/>
                <w:lang w:val="en-US"/>
              </w:rPr>
            </w:pPr>
            <w:r>
              <w:rPr>
                <w:rFonts w:ascii="Arial" w:hAnsi="Arial" w:cs="Arial"/>
                <w:lang w:val="en-US"/>
              </w:rPr>
              <w:t>forward</w:t>
            </w:r>
          </w:p>
        </w:tc>
        <w:tc>
          <w:tcPr>
            <w:tcW w:w="3822" w:type="dxa"/>
            <w:vAlign w:val="center"/>
          </w:tcPr>
          <w:p w14:paraId="564D0188" w14:textId="1DB740AD" w:rsidR="00D67738" w:rsidRPr="005A0F9D" w:rsidRDefault="00D67738" w:rsidP="005A0F9D">
            <w:pPr>
              <w:spacing w:before="120" w:after="120"/>
              <w:jc w:val="both"/>
              <w:rPr>
                <w:rFonts w:ascii="Arial" w:hAnsi="Arial" w:cs="Arial"/>
                <w:lang w:val="en-US"/>
              </w:rPr>
            </w:pPr>
            <w:r w:rsidRPr="005A0F9D">
              <w:rPr>
                <w:rFonts w:ascii="Arial" w:hAnsi="Arial" w:cs="Arial"/>
                <w:iCs/>
                <w:color w:val="000000"/>
                <w:shd w:val="clear" w:color="auto" w:fill="FFFFFF"/>
                <w:lang w:val="en-US"/>
              </w:rPr>
              <w:t>GAGCGACACTCGGACTTGC</w:t>
            </w:r>
          </w:p>
        </w:tc>
      </w:tr>
      <w:tr w:rsidR="00D67738" w14:paraId="3DE0B92A" w14:textId="77777777" w:rsidTr="005A0F9D">
        <w:tc>
          <w:tcPr>
            <w:tcW w:w="3397" w:type="dxa"/>
            <w:vAlign w:val="center"/>
          </w:tcPr>
          <w:p w14:paraId="46B8B34C" w14:textId="77777777" w:rsidR="00D67738" w:rsidRDefault="00D67738" w:rsidP="005A0F9D">
            <w:pPr>
              <w:spacing w:before="120" w:after="120"/>
              <w:jc w:val="both"/>
              <w:rPr>
                <w:rFonts w:ascii="Arial" w:hAnsi="Arial" w:cs="Arial"/>
                <w:lang w:val="en-US"/>
              </w:rPr>
            </w:pPr>
          </w:p>
        </w:tc>
        <w:tc>
          <w:tcPr>
            <w:tcW w:w="1843" w:type="dxa"/>
            <w:vAlign w:val="center"/>
          </w:tcPr>
          <w:p w14:paraId="36C33FA7" w14:textId="5C48EBA0" w:rsidR="00D67738" w:rsidRDefault="005A0F9D" w:rsidP="005A0F9D">
            <w:pPr>
              <w:spacing w:before="120" w:after="120"/>
              <w:jc w:val="both"/>
              <w:rPr>
                <w:rFonts w:ascii="Arial" w:hAnsi="Arial" w:cs="Arial"/>
                <w:lang w:val="en-US"/>
              </w:rPr>
            </w:pPr>
            <w:r>
              <w:rPr>
                <w:rFonts w:ascii="Arial" w:hAnsi="Arial" w:cs="Arial"/>
                <w:lang w:val="en-US"/>
              </w:rPr>
              <w:t>reverse</w:t>
            </w:r>
          </w:p>
        </w:tc>
        <w:tc>
          <w:tcPr>
            <w:tcW w:w="3822" w:type="dxa"/>
            <w:vAlign w:val="center"/>
          </w:tcPr>
          <w:p w14:paraId="7B6DC9B9" w14:textId="4B6D934B" w:rsidR="00D67738" w:rsidRPr="005A0F9D" w:rsidRDefault="00D67738" w:rsidP="005A0F9D">
            <w:pPr>
              <w:spacing w:before="120" w:after="120"/>
              <w:jc w:val="both"/>
              <w:rPr>
                <w:rFonts w:ascii="Arial" w:hAnsi="Arial" w:cs="Arial"/>
                <w:lang w:val="en-US"/>
              </w:rPr>
            </w:pPr>
            <w:r w:rsidRPr="005A0F9D">
              <w:rPr>
                <w:rFonts w:ascii="Arial" w:hAnsi="Arial" w:cs="Arial"/>
                <w:iCs/>
                <w:color w:val="000000"/>
                <w:shd w:val="clear" w:color="auto" w:fill="FFFFFF"/>
                <w:lang w:val="en-US"/>
              </w:rPr>
              <w:t>GGTATTTCTCGCCATCCACATCT</w:t>
            </w:r>
          </w:p>
        </w:tc>
      </w:tr>
      <w:tr w:rsidR="00D67738" w14:paraId="426DAA8F" w14:textId="77777777" w:rsidTr="005A0F9D">
        <w:tc>
          <w:tcPr>
            <w:tcW w:w="3397" w:type="dxa"/>
            <w:vAlign w:val="center"/>
          </w:tcPr>
          <w:p w14:paraId="1E5D6DCC" w14:textId="7A8EC458" w:rsidR="00D67738" w:rsidRDefault="00D67738" w:rsidP="005A0F9D">
            <w:pPr>
              <w:spacing w:before="120" w:after="120"/>
              <w:jc w:val="both"/>
              <w:rPr>
                <w:rFonts w:ascii="Arial" w:hAnsi="Arial" w:cs="Arial"/>
                <w:lang w:val="en-US"/>
              </w:rPr>
            </w:pPr>
            <w:r w:rsidRPr="006B7EB4">
              <w:rPr>
                <w:rFonts w:ascii="Arial" w:hAnsi="Arial" w:cs="Arial"/>
                <w:color w:val="000000"/>
                <w:shd w:val="clear" w:color="auto" w:fill="FFFFFF"/>
                <w:lang w:val="en-US"/>
              </w:rPr>
              <w:t>CXC-motif receptor 1 [Cx3cr1]</w:t>
            </w:r>
          </w:p>
        </w:tc>
        <w:tc>
          <w:tcPr>
            <w:tcW w:w="1843" w:type="dxa"/>
            <w:vAlign w:val="center"/>
          </w:tcPr>
          <w:p w14:paraId="0149E422" w14:textId="30D44AB4" w:rsidR="00D67738" w:rsidRDefault="005A0F9D" w:rsidP="005A0F9D">
            <w:pPr>
              <w:spacing w:before="120" w:after="120"/>
              <w:jc w:val="both"/>
              <w:rPr>
                <w:rFonts w:ascii="Arial" w:hAnsi="Arial" w:cs="Arial"/>
                <w:lang w:val="en-US"/>
              </w:rPr>
            </w:pPr>
            <w:r>
              <w:rPr>
                <w:rFonts w:ascii="Arial" w:hAnsi="Arial" w:cs="Arial"/>
                <w:lang w:val="en-US"/>
              </w:rPr>
              <w:t>forward</w:t>
            </w:r>
          </w:p>
        </w:tc>
        <w:tc>
          <w:tcPr>
            <w:tcW w:w="3822" w:type="dxa"/>
            <w:vAlign w:val="center"/>
          </w:tcPr>
          <w:p w14:paraId="0AC1A899" w14:textId="78C21D42" w:rsidR="00D67738" w:rsidRPr="005A0F9D" w:rsidRDefault="00D67738" w:rsidP="005A0F9D">
            <w:pPr>
              <w:spacing w:before="120" w:after="120"/>
              <w:jc w:val="both"/>
              <w:rPr>
                <w:rFonts w:ascii="Arial" w:hAnsi="Arial" w:cs="Arial"/>
                <w:lang w:val="en-US"/>
              </w:rPr>
            </w:pPr>
            <w:r w:rsidRPr="005A0F9D">
              <w:rPr>
                <w:rFonts w:ascii="Arial" w:hAnsi="Arial" w:cs="Arial"/>
                <w:color w:val="000000"/>
                <w:shd w:val="clear" w:color="auto" w:fill="FFFFFF"/>
                <w:lang w:val="en-US"/>
              </w:rPr>
              <w:t>GAGTATGACGATTCTGCTGAGG</w:t>
            </w:r>
          </w:p>
        </w:tc>
      </w:tr>
      <w:tr w:rsidR="00D67738" w14:paraId="4D61B05C" w14:textId="77777777" w:rsidTr="005A0F9D">
        <w:tc>
          <w:tcPr>
            <w:tcW w:w="3397" w:type="dxa"/>
            <w:vAlign w:val="center"/>
          </w:tcPr>
          <w:p w14:paraId="13F01282" w14:textId="77777777" w:rsidR="00D67738" w:rsidRDefault="00D67738" w:rsidP="005A0F9D">
            <w:pPr>
              <w:spacing w:before="120" w:after="120"/>
              <w:jc w:val="both"/>
              <w:rPr>
                <w:rFonts w:ascii="Arial" w:hAnsi="Arial" w:cs="Arial"/>
                <w:lang w:val="en-US"/>
              </w:rPr>
            </w:pPr>
          </w:p>
        </w:tc>
        <w:tc>
          <w:tcPr>
            <w:tcW w:w="1843" w:type="dxa"/>
            <w:vAlign w:val="center"/>
          </w:tcPr>
          <w:p w14:paraId="7C02BF71" w14:textId="1EEAB979" w:rsidR="00D67738" w:rsidRDefault="005A0F9D" w:rsidP="005A0F9D">
            <w:pPr>
              <w:spacing w:before="120" w:after="120"/>
              <w:jc w:val="both"/>
              <w:rPr>
                <w:rFonts w:ascii="Arial" w:hAnsi="Arial" w:cs="Arial"/>
                <w:lang w:val="en-US"/>
              </w:rPr>
            </w:pPr>
            <w:r>
              <w:rPr>
                <w:rFonts w:ascii="Arial" w:hAnsi="Arial" w:cs="Arial"/>
                <w:lang w:val="en-US"/>
              </w:rPr>
              <w:t>reverse</w:t>
            </w:r>
          </w:p>
        </w:tc>
        <w:tc>
          <w:tcPr>
            <w:tcW w:w="3822" w:type="dxa"/>
            <w:vAlign w:val="center"/>
          </w:tcPr>
          <w:p w14:paraId="1077576D" w14:textId="548704A9" w:rsidR="00D67738" w:rsidRPr="005A0F9D" w:rsidRDefault="00D67738" w:rsidP="005A0F9D">
            <w:pPr>
              <w:spacing w:before="120" w:after="120"/>
              <w:jc w:val="both"/>
              <w:rPr>
                <w:rFonts w:ascii="Arial" w:hAnsi="Arial" w:cs="Arial"/>
                <w:lang w:val="en-US"/>
              </w:rPr>
            </w:pPr>
            <w:r w:rsidRPr="005A0F9D">
              <w:rPr>
                <w:rFonts w:ascii="Arial" w:hAnsi="Arial" w:cs="Arial"/>
                <w:color w:val="000000"/>
                <w:shd w:val="clear" w:color="auto" w:fill="FFFFFF"/>
                <w:lang w:val="en-US"/>
              </w:rPr>
              <w:t>CAGACCGAACGTGAAGACGAG</w:t>
            </w:r>
          </w:p>
        </w:tc>
      </w:tr>
      <w:tr w:rsidR="00D67738" w14:paraId="7F1F476D" w14:textId="77777777" w:rsidTr="005A0F9D">
        <w:tc>
          <w:tcPr>
            <w:tcW w:w="3397" w:type="dxa"/>
            <w:vAlign w:val="center"/>
          </w:tcPr>
          <w:p w14:paraId="28F8DFBA" w14:textId="48B24007" w:rsidR="00D67738" w:rsidRDefault="00D67738" w:rsidP="005A0F9D">
            <w:pPr>
              <w:spacing w:before="120" w:after="120"/>
              <w:jc w:val="both"/>
              <w:rPr>
                <w:rFonts w:ascii="Arial" w:hAnsi="Arial" w:cs="Arial"/>
                <w:lang w:val="en-US"/>
              </w:rPr>
            </w:pPr>
            <w:r w:rsidRPr="006B7EB4">
              <w:rPr>
                <w:rFonts w:ascii="Arial" w:hAnsi="Arial" w:cs="Arial"/>
                <w:color w:val="000000"/>
                <w:shd w:val="clear" w:color="auto" w:fill="FFFFFF"/>
                <w:lang w:val="en-US"/>
              </w:rPr>
              <w:t>CXC-motif ligand 1 [Cx3cl1]</w:t>
            </w:r>
          </w:p>
        </w:tc>
        <w:tc>
          <w:tcPr>
            <w:tcW w:w="1843" w:type="dxa"/>
            <w:vAlign w:val="center"/>
          </w:tcPr>
          <w:p w14:paraId="6EABAB40" w14:textId="3663D4B5" w:rsidR="00D67738" w:rsidRDefault="005A0F9D" w:rsidP="005A0F9D">
            <w:pPr>
              <w:spacing w:before="120" w:after="120"/>
              <w:jc w:val="both"/>
              <w:rPr>
                <w:rFonts w:ascii="Arial" w:hAnsi="Arial" w:cs="Arial"/>
                <w:lang w:val="en-US"/>
              </w:rPr>
            </w:pPr>
            <w:r>
              <w:rPr>
                <w:rFonts w:ascii="Arial" w:hAnsi="Arial" w:cs="Arial"/>
                <w:lang w:val="en-US"/>
              </w:rPr>
              <w:t>forward</w:t>
            </w:r>
          </w:p>
        </w:tc>
        <w:tc>
          <w:tcPr>
            <w:tcW w:w="3822" w:type="dxa"/>
            <w:vAlign w:val="center"/>
          </w:tcPr>
          <w:p w14:paraId="4AD5976F" w14:textId="26BDC7CA" w:rsidR="00D67738" w:rsidRPr="005A0F9D" w:rsidRDefault="00D67738" w:rsidP="005A0F9D">
            <w:pPr>
              <w:spacing w:before="120" w:after="120"/>
              <w:jc w:val="both"/>
              <w:rPr>
                <w:rFonts w:ascii="Arial" w:hAnsi="Arial" w:cs="Arial"/>
                <w:lang w:val="en-US"/>
              </w:rPr>
            </w:pPr>
            <w:r w:rsidRPr="005A0F9D">
              <w:rPr>
                <w:rFonts w:ascii="Arial" w:hAnsi="Arial" w:cs="Arial"/>
                <w:iCs/>
                <w:caps/>
                <w:color w:val="000000"/>
                <w:shd w:val="clear" w:color="auto" w:fill="FFFFFF"/>
                <w:lang w:val="en-US"/>
              </w:rPr>
              <w:t>ACGAAATGCGAAATCATGTGC</w:t>
            </w:r>
          </w:p>
        </w:tc>
      </w:tr>
      <w:tr w:rsidR="00D67738" w14:paraId="6B7FCF3B" w14:textId="77777777" w:rsidTr="005A0F9D">
        <w:tc>
          <w:tcPr>
            <w:tcW w:w="3397" w:type="dxa"/>
            <w:vAlign w:val="center"/>
          </w:tcPr>
          <w:p w14:paraId="42321B42" w14:textId="77777777" w:rsidR="00D67738" w:rsidRPr="006B7EB4" w:rsidRDefault="00D67738" w:rsidP="005A0F9D">
            <w:pPr>
              <w:spacing w:before="120" w:after="120"/>
              <w:jc w:val="both"/>
              <w:rPr>
                <w:rFonts w:ascii="Arial" w:hAnsi="Arial" w:cs="Arial"/>
                <w:color w:val="000000"/>
                <w:shd w:val="clear" w:color="auto" w:fill="FFFFFF"/>
                <w:lang w:val="en-US"/>
              </w:rPr>
            </w:pPr>
          </w:p>
        </w:tc>
        <w:tc>
          <w:tcPr>
            <w:tcW w:w="1843" w:type="dxa"/>
            <w:vAlign w:val="center"/>
          </w:tcPr>
          <w:p w14:paraId="174C851A" w14:textId="4B314373" w:rsidR="00D67738" w:rsidRDefault="005A0F9D" w:rsidP="005A0F9D">
            <w:pPr>
              <w:spacing w:before="120" w:after="120"/>
              <w:jc w:val="both"/>
              <w:rPr>
                <w:rFonts w:ascii="Arial" w:hAnsi="Arial" w:cs="Arial"/>
                <w:lang w:val="en-US"/>
              </w:rPr>
            </w:pPr>
            <w:r>
              <w:rPr>
                <w:rFonts w:ascii="Arial" w:hAnsi="Arial" w:cs="Arial"/>
                <w:lang w:val="en-US"/>
              </w:rPr>
              <w:t>reverse</w:t>
            </w:r>
          </w:p>
        </w:tc>
        <w:tc>
          <w:tcPr>
            <w:tcW w:w="3822" w:type="dxa"/>
            <w:vAlign w:val="center"/>
          </w:tcPr>
          <w:p w14:paraId="6D9AECEA" w14:textId="71C85EC6" w:rsidR="00D67738" w:rsidRPr="005A0F9D" w:rsidRDefault="00D67738" w:rsidP="005A0F9D">
            <w:pPr>
              <w:spacing w:before="120" w:after="120"/>
              <w:jc w:val="both"/>
              <w:rPr>
                <w:rFonts w:ascii="Arial" w:hAnsi="Arial" w:cs="Arial"/>
                <w:lang w:val="en-US"/>
              </w:rPr>
            </w:pPr>
            <w:r w:rsidRPr="005A0F9D">
              <w:rPr>
                <w:rFonts w:ascii="Arial" w:hAnsi="Arial" w:cs="Arial"/>
                <w:iCs/>
                <w:caps/>
                <w:color w:val="000000"/>
                <w:shd w:val="clear" w:color="auto" w:fill="FFFFFF"/>
                <w:lang w:val="en-US"/>
              </w:rPr>
              <w:t>CTGTGTCGTCTCCAGGACAA</w:t>
            </w:r>
          </w:p>
        </w:tc>
      </w:tr>
    </w:tbl>
    <w:p w14:paraId="0B5885E2" w14:textId="77777777" w:rsidR="00F50026" w:rsidRDefault="00F50026" w:rsidP="00F50026">
      <w:pPr>
        <w:spacing w:after="0" w:line="480" w:lineRule="auto"/>
        <w:jc w:val="both"/>
        <w:rPr>
          <w:rFonts w:ascii="Arial" w:hAnsi="Arial" w:cs="Arial"/>
          <w:lang w:val="en-US"/>
        </w:rPr>
      </w:pPr>
    </w:p>
    <w:p w14:paraId="5CD9D58D" w14:textId="30F8DB9A" w:rsidR="00D67738" w:rsidRDefault="00D67738">
      <w:pPr>
        <w:rPr>
          <w:rFonts w:ascii="Arial" w:hAnsi="Arial" w:cs="Arial"/>
          <w:b/>
          <w:lang w:val="en-US"/>
        </w:rPr>
      </w:pPr>
      <w:r>
        <w:rPr>
          <w:rFonts w:ascii="Arial" w:hAnsi="Arial" w:cs="Arial"/>
          <w:b/>
          <w:lang w:val="en-US"/>
        </w:rPr>
        <w:br w:type="page"/>
      </w:r>
    </w:p>
    <w:p w14:paraId="1518FD81" w14:textId="716578D7" w:rsidR="008D3008" w:rsidRPr="00137B3E" w:rsidRDefault="00BC44F9" w:rsidP="00137B3E">
      <w:pPr>
        <w:spacing w:after="0" w:line="480" w:lineRule="auto"/>
        <w:jc w:val="both"/>
        <w:rPr>
          <w:rFonts w:ascii="Arial" w:hAnsi="Arial" w:cs="Arial"/>
          <w:b/>
          <w:lang w:val="en-US"/>
        </w:rPr>
      </w:pPr>
      <w:r w:rsidRPr="00137B3E">
        <w:rPr>
          <w:rFonts w:ascii="Arial" w:hAnsi="Arial" w:cs="Arial"/>
          <w:b/>
          <w:lang w:val="en-US"/>
        </w:rPr>
        <w:lastRenderedPageBreak/>
        <w:t>Supplementary methods</w:t>
      </w:r>
    </w:p>
    <w:p w14:paraId="3AC907B8" w14:textId="7543CEDF" w:rsidR="0079329A" w:rsidRPr="00137B3E" w:rsidRDefault="00B15C3F" w:rsidP="00137B3E">
      <w:pPr>
        <w:spacing w:after="0" w:line="480" w:lineRule="auto"/>
        <w:jc w:val="both"/>
        <w:rPr>
          <w:rFonts w:ascii="Arial" w:eastAsia="Times New Roman" w:hAnsi="Arial" w:cs="Arial"/>
          <w:color w:val="000000"/>
          <w:lang w:val="en-US"/>
        </w:rPr>
      </w:pPr>
      <w:r w:rsidRPr="00137B3E">
        <w:rPr>
          <w:rFonts w:ascii="Arial" w:eastAsia="Times New Roman" w:hAnsi="Arial" w:cs="Arial"/>
          <w:b/>
          <w:color w:val="000000"/>
          <w:lang w:val="en-US"/>
        </w:rPr>
        <w:t>RNA seq</w:t>
      </w:r>
      <w:r w:rsidR="00137B3E" w:rsidRPr="00137B3E">
        <w:rPr>
          <w:rFonts w:ascii="Arial" w:eastAsia="Times New Roman" w:hAnsi="Arial" w:cs="Arial"/>
          <w:b/>
          <w:color w:val="000000"/>
          <w:lang w:val="en-US"/>
        </w:rPr>
        <w:t xml:space="preserve"> – bioinformatics analysis.</w:t>
      </w:r>
      <w:r w:rsidR="00137B3E" w:rsidRPr="00137B3E">
        <w:rPr>
          <w:rFonts w:ascii="Arial" w:eastAsia="Times New Roman" w:hAnsi="Arial" w:cs="Arial"/>
          <w:color w:val="000000"/>
          <w:lang w:val="en-US"/>
        </w:rPr>
        <w:t xml:space="preserve"> </w:t>
      </w:r>
      <w:r w:rsidR="00137B3E" w:rsidRPr="00137B3E">
        <w:rPr>
          <w:rFonts w:ascii="Arial" w:hAnsi="Arial" w:cs="Arial"/>
          <w:color w:val="000000"/>
          <w:shd w:val="clear" w:color="auto" w:fill="FFFFFF"/>
          <w:lang w:val="en-US"/>
        </w:rPr>
        <w:t xml:space="preserve">The </w:t>
      </w:r>
      <w:proofErr w:type="spellStart"/>
      <w:r w:rsidR="0079329A" w:rsidRPr="00137B3E">
        <w:rPr>
          <w:rFonts w:ascii="Arial" w:hAnsi="Arial" w:cs="Arial"/>
          <w:color w:val="000000"/>
          <w:shd w:val="clear" w:color="auto" w:fill="FFFFFF"/>
          <w:lang w:val="en-US"/>
        </w:rPr>
        <w:t>Bluebee</w:t>
      </w:r>
      <w:proofErr w:type="spellEnd"/>
      <w:r w:rsidR="0079329A" w:rsidRPr="00137B3E">
        <w:rPr>
          <w:rFonts w:ascii="Arial" w:hAnsi="Arial" w:cs="Arial"/>
          <w:color w:val="000000"/>
          <w:shd w:val="clear" w:color="auto" w:fill="FFFFFF"/>
          <w:lang w:val="en-US"/>
        </w:rPr>
        <w:t xml:space="preserve"> </w:t>
      </w:r>
      <w:proofErr w:type="spellStart"/>
      <w:r w:rsidR="0079329A" w:rsidRPr="00137B3E">
        <w:rPr>
          <w:rFonts w:ascii="Arial" w:hAnsi="Arial" w:cs="Arial"/>
          <w:color w:val="000000"/>
          <w:shd w:val="clear" w:color="auto" w:fill="FFFFFF"/>
          <w:lang w:val="en-US"/>
        </w:rPr>
        <w:t>QuantSeq</w:t>
      </w:r>
      <w:proofErr w:type="spellEnd"/>
      <w:r w:rsidR="0079329A" w:rsidRPr="00137B3E">
        <w:rPr>
          <w:rFonts w:ascii="Arial" w:hAnsi="Arial" w:cs="Arial"/>
          <w:color w:val="000000"/>
          <w:shd w:val="clear" w:color="auto" w:fill="FFFFFF"/>
          <w:lang w:val="en-US"/>
        </w:rPr>
        <w:t xml:space="preserve"> FWD-UMI Data Analysis Pipeline for </w:t>
      </w:r>
      <w:proofErr w:type="spellStart"/>
      <w:r w:rsidR="0079329A" w:rsidRPr="00137B3E">
        <w:rPr>
          <w:rFonts w:ascii="Arial" w:hAnsi="Arial" w:cs="Arial"/>
          <w:color w:val="000000"/>
          <w:shd w:val="clear" w:color="auto" w:fill="FFFFFF"/>
          <w:lang w:val="en-US"/>
        </w:rPr>
        <w:t>Lexogen</w:t>
      </w:r>
      <w:proofErr w:type="spellEnd"/>
      <w:r w:rsidR="0079329A" w:rsidRPr="00137B3E">
        <w:rPr>
          <w:rFonts w:ascii="Arial" w:hAnsi="Arial" w:cs="Arial"/>
          <w:color w:val="000000"/>
          <w:shd w:val="clear" w:color="auto" w:fill="FFFFFF"/>
          <w:lang w:val="en-US"/>
        </w:rPr>
        <w:t xml:space="preserve"> </w:t>
      </w:r>
      <w:proofErr w:type="spellStart"/>
      <w:r w:rsidR="0079329A" w:rsidRPr="00137B3E">
        <w:rPr>
          <w:rFonts w:ascii="Arial" w:hAnsi="Arial" w:cs="Arial"/>
          <w:color w:val="000000"/>
          <w:shd w:val="clear" w:color="auto" w:fill="FFFFFF"/>
          <w:lang w:val="en-US"/>
        </w:rPr>
        <w:t>QuantSeq</w:t>
      </w:r>
      <w:proofErr w:type="spellEnd"/>
      <w:r w:rsidR="0079329A" w:rsidRPr="00137B3E">
        <w:rPr>
          <w:rFonts w:ascii="Arial" w:hAnsi="Arial" w:cs="Arial"/>
          <w:color w:val="000000"/>
          <w:shd w:val="clear" w:color="auto" w:fill="FFFFFF"/>
          <w:lang w:val="en-US"/>
        </w:rPr>
        <w:t xml:space="preserve"> 3’ sequencing data uses </w:t>
      </w:r>
      <w:proofErr w:type="spellStart"/>
      <w:r w:rsidR="0079329A" w:rsidRPr="00137B3E">
        <w:rPr>
          <w:rFonts w:ascii="Arial" w:hAnsi="Arial" w:cs="Arial"/>
          <w:color w:val="000000"/>
          <w:shd w:val="clear" w:color="auto" w:fill="FFFFFF"/>
          <w:lang w:val="en-US"/>
        </w:rPr>
        <w:t>Bbduk</w:t>
      </w:r>
      <w:proofErr w:type="spellEnd"/>
      <w:r w:rsidR="0079329A" w:rsidRPr="00137B3E">
        <w:rPr>
          <w:rFonts w:ascii="Arial" w:hAnsi="Arial" w:cs="Arial"/>
          <w:color w:val="000000"/>
          <w:shd w:val="clear" w:color="auto" w:fill="FFFFFF"/>
          <w:lang w:val="en-US"/>
        </w:rPr>
        <w:t xml:space="preserve"> from the </w:t>
      </w:r>
      <w:proofErr w:type="spellStart"/>
      <w:r w:rsidR="0079329A" w:rsidRPr="00137B3E">
        <w:rPr>
          <w:rFonts w:ascii="Arial" w:hAnsi="Arial" w:cs="Arial"/>
          <w:color w:val="000000"/>
          <w:shd w:val="clear" w:color="auto" w:fill="FFFFFF"/>
          <w:lang w:val="en-US"/>
        </w:rPr>
        <w:t>bbmap</w:t>
      </w:r>
      <w:proofErr w:type="spellEnd"/>
      <w:r w:rsidR="0079329A" w:rsidRPr="00137B3E">
        <w:rPr>
          <w:rFonts w:ascii="Arial" w:hAnsi="Arial" w:cs="Arial"/>
          <w:color w:val="000000"/>
          <w:shd w:val="clear" w:color="auto" w:fill="FFFFFF"/>
          <w:lang w:val="en-US"/>
        </w:rPr>
        <w:t xml:space="preserve"> suite to trim low quality tails, poly(A) read-through, and adapter contaminations, and identifies and trims UMIs using the umi2index process. Reads were mapped to the Mus musculus reference genome (GRCm38) using the STAR Aligner with modified ENCODE settings followed by UMI collapse to remove PCR duplicates. </w:t>
      </w:r>
      <w:proofErr w:type="spellStart"/>
      <w:r w:rsidR="0079329A" w:rsidRPr="00137B3E">
        <w:rPr>
          <w:rFonts w:ascii="Arial" w:hAnsi="Arial" w:cs="Arial"/>
          <w:color w:val="000000"/>
          <w:shd w:val="clear" w:color="auto" w:fill="FFFFFF"/>
          <w:lang w:val="en-US"/>
        </w:rPr>
        <w:t>HTSeq</w:t>
      </w:r>
      <w:proofErr w:type="spellEnd"/>
      <w:r w:rsidR="0079329A" w:rsidRPr="00137B3E">
        <w:rPr>
          <w:rFonts w:ascii="Arial" w:hAnsi="Arial" w:cs="Arial"/>
          <w:color w:val="000000"/>
          <w:shd w:val="clear" w:color="auto" w:fill="FFFFFF"/>
          <w:lang w:val="en-US"/>
        </w:rPr>
        <w:t>-count is used for gene read counting and differential expression analysis is carried out using the DESeq2 pipeline.</w:t>
      </w:r>
    </w:p>
    <w:p w14:paraId="78DE5436" w14:textId="6BC6BE75" w:rsidR="00BC44F9" w:rsidRPr="00137B3E" w:rsidRDefault="00137B3E" w:rsidP="00137B3E">
      <w:pPr>
        <w:spacing w:after="0" w:line="480" w:lineRule="auto"/>
        <w:jc w:val="both"/>
        <w:rPr>
          <w:rFonts w:ascii="Arial" w:eastAsia="Times New Roman" w:hAnsi="Arial" w:cs="Arial"/>
          <w:b/>
          <w:color w:val="000000"/>
          <w:lang w:val="en-US"/>
        </w:rPr>
      </w:pPr>
      <w:r>
        <w:rPr>
          <w:rFonts w:ascii="Arial" w:eastAsia="Times New Roman" w:hAnsi="Arial" w:cs="Arial"/>
          <w:b/>
          <w:color w:val="000000"/>
          <w:lang w:val="en-US"/>
        </w:rPr>
        <w:t>Prostanoid analysis.</w:t>
      </w:r>
      <w:r>
        <w:rPr>
          <w:rFonts w:ascii="Arial" w:hAnsi="Arial" w:cs="Arial"/>
          <w:lang w:val="en-US"/>
        </w:rPr>
        <w:t xml:space="preserve"> </w:t>
      </w:r>
      <w:r w:rsidR="007A114D" w:rsidRPr="00137B3E">
        <w:rPr>
          <w:rFonts w:ascii="Arial" w:hAnsi="Arial" w:cs="Arial"/>
          <w:lang w:val="en-US"/>
        </w:rPr>
        <w:t xml:space="preserve">Prostanoid </w:t>
      </w:r>
      <w:r w:rsidR="00CF0B7C">
        <w:rPr>
          <w:rFonts w:ascii="Arial" w:hAnsi="Arial" w:cs="Arial"/>
          <w:lang w:val="en-US"/>
        </w:rPr>
        <w:t>analytics we</w:t>
      </w:r>
      <w:bookmarkStart w:id="0" w:name="_GoBack"/>
      <w:bookmarkEnd w:id="0"/>
      <w:r w:rsidR="007A114D" w:rsidRPr="00137B3E">
        <w:rPr>
          <w:rFonts w:ascii="Arial" w:hAnsi="Arial" w:cs="Arial"/>
          <w:lang w:val="en-US"/>
        </w:rPr>
        <w:t>re carried out as previously described</w:t>
      </w:r>
      <w:r>
        <w:rPr>
          <w:rFonts w:ascii="Arial" w:hAnsi="Arial" w:cs="Arial"/>
          <w:lang w:val="en-US"/>
        </w:rPr>
        <w:t xml:space="preserve"> (</w:t>
      </w:r>
      <w:proofErr w:type="spellStart"/>
      <w:r>
        <w:rPr>
          <w:rFonts w:ascii="Arial" w:hAnsi="Arial" w:cs="Arial"/>
          <w:lang w:val="en-US"/>
        </w:rPr>
        <w:t>Bärnthaler</w:t>
      </w:r>
      <w:proofErr w:type="spellEnd"/>
      <w:r>
        <w:rPr>
          <w:rFonts w:ascii="Arial" w:hAnsi="Arial" w:cs="Arial"/>
          <w:lang w:val="en-US"/>
        </w:rPr>
        <w:t xml:space="preserve"> et al., 2019)</w:t>
      </w:r>
      <w:r w:rsidR="007A114D" w:rsidRPr="00137B3E">
        <w:rPr>
          <w:rFonts w:ascii="Arial" w:hAnsi="Arial" w:cs="Arial"/>
          <w:lang w:val="en-US"/>
        </w:rPr>
        <w:t xml:space="preserve">. Briefly, 200 </w:t>
      </w:r>
      <w:proofErr w:type="spellStart"/>
      <w:r w:rsidR="007A114D" w:rsidRPr="00137B3E">
        <w:rPr>
          <w:rFonts w:ascii="Arial" w:hAnsi="Arial" w:cs="Arial"/>
          <w:lang w:val="en-US"/>
        </w:rPr>
        <w:t>μL</w:t>
      </w:r>
      <w:proofErr w:type="spellEnd"/>
      <w:r w:rsidR="007A114D" w:rsidRPr="00137B3E">
        <w:rPr>
          <w:rFonts w:ascii="Arial" w:hAnsi="Arial" w:cs="Arial"/>
          <w:lang w:val="en-US"/>
        </w:rPr>
        <w:t xml:space="preserve"> supernatant or plasma was spiked with the isotopically labeled internal standards and extracted using ethyl acetate. The chromatographic separation of the analytes was carried out using a chiral column Lux Amylose-2 (150 x 2 mm inner diameter, 3 </w:t>
      </w:r>
      <w:proofErr w:type="spellStart"/>
      <w:r w:rsidR="007A114D" w:rsidRPr="00137B3E">
        <w:rPr>
          <w:rFonts w:ascii="Arial" w:hAnsi="Arial" w:cs="Arial"/>
          <w:lang w:val="en-US"/>
        </w:rPr>
        <w:t>μm</w:t>
      </w:r>
      <w:proofErr w:type="spellEnd"/>
      <w:r w:rsidR="007A114D" w:rsidRPr="00137B3E">
        <w:rPr>
          <w:rFonts w:ascii="Arial" w:hAnsi="Arial" w:cs="Arial"/>
          <w:lang w:val="en-US"/>
        </w:rPr>
        <w:t xml:space="preserve">) coupled to a </w:t>
      </w:r>
      <w:proofErr w:type="spellStart"/>
      <w:r w:rsidR="007A114D" w:rsidRPr="00137B3E">
        <w:rPr>
          <w:rFonts w:ascii="Arial" w:hAnsi="Arial" w:cs="Arial"/>
          <w:lang w:val="en-US"/>
        </w:rPr>
        <w:t>Synergi</w:t>
      </w:r>
      <w:proofErr w:type="spellEnd"/>
      <w:r w:rsidR="007A114D" w:rsidRPr="00137B3E">
        <w:rPr>
          <w:rFonts w:ascii="Arial" w:hAnsi="Arial" w:cs="Arial"/>
          <w:lang w:val="en-US"/>
        </w:rPr>
        <w:t xml:space="preserve"> Hydro-RP column (150 x 2 mm inner diameter, 4 </w:t>
      </w:r>
      <w:proofErr w:type="spellStart"/>
      <w:r w:rsidR="007A114D" w:rsidRPr="00137B3E">
        <w:rPr>
          <w:rFonts w:ascii="Arial" w:hAnsi="Arial" w:cs="Arial"/>
          <w:lang w:val="en-US"/>
        </w:rPr>
        <w:t>μm</w:t>
      </w:r>
      <w:proofErr w:type="spellEnd"/>
      <w:r w:rsidR="007A114D" w:rsidRPr="00137B3E">
        <w:rPr>
          <w:rFonts w:ascii="Arial" w:hAnsi="Arial" w:cs="Arial"/>
          <w:lang w:val="en-US"/>
        </w:rPr>
        <w:t xml:space="preserve">; both from </w:t>
      </w:r>
      <w:proofErr w:type="spellStart"/>
      <w:r w:rsidR="007A114D" w:rsidRPr="00137B3E">
        <w:rPr>
          <w:rFonts w:ascii="Arial" w:hAnsi="Arial" w:cs="Arial"/>
          <w:lang w:val="en-US"/>
        </w:rPr>
        <w:t>Phenomenex</w:t>
      </w:r>
      <w:proofErr w:type="spellEnd"/>
      <w:r w:rsidR="007A114D" w:rsidRPr="00137B3E">
        <w:rPr>
          <w:rFonts w:ascii="Arial" w:hAnsi="Arial" w:cs="Arial"/>
          <w:lang w:val="en-US"/>
        </w:rPr>
        <w:t xml:space="preserve">, Aschaffenburg, Germany) under gradient conditions. Water and acetonitrile, both containing 0.1% formic acid, were used as mobile phases and sample run time was 22 min. The MS/MS system consisted of a hybrid triple quadrupole-ion trap mass spectrometer </w:t>
      </w:r>
      <w:proofErr w:type="spellStart"/>
      <w:r w:rsidR="007A114D" w:rsidRPr="00137B3E">
        <w:rPr>
          <w:rFonts w:ascii="Arial" w:hAnsi="Arial" w:cs="Arial"/>
          <w:lang w:val="en-US"/>
        </w:rPr>
        <w:t>QTrap</w:t>
      </w:r>
      <w:proofErr w:type="spellEnd"/>
      <w:r w:rsidR="007A114D" w:rsidRPr="00137B3E">
        <w:rPr>
          <w:rFonts w:ascii="Arial" w:hAnsi="Arial" w:cs="Arial"/>
          <w:lang w:val="en-US"/>
        </w:rPr>
        <w:t xml:space="preserve"> 5500 (</w:t>
      </w:r>
      <w:proofErr w:type="spellStart"/>
      <w:r w:rsidR="007A114D" w:rsidRPr="00137B3E">
        <w:rPr>
          <w:rFonts w:ascii="Arial" w:hAnsi="Arial" w:cs="Arial"/>
          <w:lang w:val="en-US"/>
        </w:rPr>
        <w:t>Sciex</w:t>
      </w:r>
      <w:proofErr w:type="spellEnd"/>
      <w:r w:rsidR="007A114D" w:rsidRPr="00137B3E">
        <w:rPr>
          <w:rFonts w:ascii="Arial" w:hAnsi="Arial" w:cs="Arial"/>
          <w:lang w:val="en-US"/>
        </w:rPr>
        <w:t xml:space="preserve">, Darmstadt, Germany) equipped with a Turbo-V-source operating in the negative electrospray </w:t>
      </w:r>
      <w:proofErr w:type="spellStart"/>
      <w:r w:rsidR="007A114D" w:rsidRPr="00137B3E">
        <w:rPr>
          <w:rFonts w:ascii="Arial" w:hAnsi="Arial" w:cs="Arial"/>
          <w:lang w:val="en-US"/>
        </w:rPr>
        <w:t>ionisation</w:t>
      </w:r>
      <w:proofErr w:type="spellEnd"/>
      <w:r w:rsidR="007A114D" w:rsidRPr="00137B3E">
        <w:rPr>
          <w:rFonts w:ascii="Arial" w:hAnsi="Arial" w:cs="Arial"/>
          <w:lang w:val="en-US"/>
        </w:rPr>
        <w:t xml:space="preserve"> mode. Analysis was done in the Multiple Reaction Monitoring mode with a dwell time of 50 </w:t>
      </w:r>
      <w:proofErr w:type="spellStart"/>
      <w:r w:rsidR="007A114D" w:rsidRPr="00137B3E">
        <w:rPr>
          <w:rFonts w:ascii="Arial" w:hAnsi="Arial" w:cs="Arial"/>
          <w:lang w:val="en-US"/>
        </w:rPr>
        <w:t>ms</w:t>
      </w:r>
      <w:proofErr w:type="spellEnd"/>
      <w:r w:rsidR="007A114D" w:rsidRPr="00137B3E">
        <w:rPr>
          <w:rFonts w:ascii="Arial" w:hAnsi="Arial" w:cs="Arial"/>
          <w:lang w:val="en-US"/>
        </w:rPr>
        <w:t xml:space="preserve"> for all </w:t>
      </w:r>
      <w:proofErr w:type="spellStart"/>
      <w:r w:rsidR="007A114D" w:rsidRPr="00137B3E">
        <w:rPr>
          <w:rFonts w:ascii="Arial" w:hAnsi="Arial" w:cs="Arial"/>
          <w:lang w:val="en-US"/>
        </w:rPr>
        <w:t>analytes</w:t>
      </w:r>
      <w:proofErr w:type="spellEnd"/>
      <w:r w:rsidR="007A114D" w:rsidRPr="00137B3E">
        <w:rPr>
          <w:rFonts w:ascii="Arial" w:hAnsi="Arial" w:cs="Arial"/>
          <w:lang w:val="en-US"/>
        </w:rPr>
        <w:t xml:space="preserve">. Data were acquired using Analyst Software V 1.6 and quantified with </w:t>
      </w:r>
      <w:proofErr w:type="spellStart"/>
      <w:r w:rsidR="007A114D" w:rsidRPr="00137B3E">
        <w:rPr>
          <w:rFonts w:ascii="Arial" w:hAnsi="Arial" w:cs="Arial"/>
          <w:lang w:val="en-US"/>
        </w:rPr>
        <w:t>MultiQuant</w:t>
      </w:r>
      <w:proofErr w:type="spellEnd"/>
      <w:r w:rsidR="007A114D" w:rsidRPr="00137B3E">
        <w:rPr>
          <w:rFonts w:ascii="Arial" w:hAnsi="Arial" w:cs="Arial"/>
          <w:lang w:val="en-US"/>
        </w:rPr>
        <w:t xml:space="preserve"> Software V 3.0 (both </w:t>
      </w:r>
      <w:proofErr w:type="spellStart"/>
      <w:r w:rsidR="007A114D" w:rsidRPr="00137B3E">
        <w:rPr>
          <w:rFonts w:ascii="Arial" w:hAnsi="Arial" w:cs="Arial"/>
          <w:lang w:val="en-US"/>
        </w:rPr>
        <w:t>Sciex</w:t>
      </w:r>
      <w:proofErr w:type="spellEnd"/>
      <w:r w:rsidR="007A114D" w:rsidRPr="00137B3E">
        <w:rPr>
          <w:rFonts w:ascii="Arial" w:hAnsi="Arial" w:cs="Arial"/>
          <w:lang w:val="en-US"/>
        </w:rPr>
        <w:t>), using the internal standard method (isotope dilution mass spectrometry).</w:t>
      </w:r>
    </w:p>
    <w:p w14:paraId="30FCC7D7" w14:textId="6C8B41AB" w:rsidR="00137B3E" w:rsidRDefault="00137B3E" w:rsidP="00137B3E">
      <w:pPr>
        <w:spacing w:after="0" w:line="480" w:lineRule="auto"/>
        <w:jc w:val="both"/>
        <w:rPr>
          <w:rFonts w:ascii="Arial" w:eastAsia="Times New Roman" w:hAnsi="Arial" w:cs="Arial"/>
          <w:color w:val="000000"/>
          <w:lang w:val="en-US"/>
        </w:rPr>
      </w:pPr>
    </w:p>
    <w:p w14:paraId="356330A9" w14:textId="16626CBE" w:rsidR="00137B3E" w:rsidRPr="00BE7EF1" w:rsidRDefault="00137B3E" w:rsidP="00137B3E">
      <w:pPr>
        <w:spacing w:after="0" w:line="480" w:lineRule="auto"/>
        <w:jc w:val="both"/>
        <w:rPr>
          <w:rFonts w:ascii="Arial" w:eastAsia="Times New Roman" w:hAnsi="Arial" w:cs="Arial"/>
          <w:b/>
          <w:color w:val="000000"/>
        </w:rPr>
      </w:pPr>
      <w:r w:rsidRPr="00BE7EF1">
        <w:rPr>
          <w:rFonts w:ascii="Arial" w:eastAsia="Times New Roman" w:hAnsi="Arial" w:cs="Arial"/>
          <w:b/>
          <w:color w:val="000000"/>
        </w:rPr>
        <w:t>References</w:t>
      </w:r>
    </w:p>
    <w:p w14:paraId="58F28040" w14:textId="10B37217" w:rsidR="00137B3E" w:rsidRPr="00137B3E" w:rsidRDefault="00137B3E" w:rsidP="00137B3E">
      <w:pPr>
        <w:spacing w:after="0" w:line="480" w:lineRule="auto"/>
        <w:jc w:val="both"/>
        <w:rPr>
          <w:rFonts w:ascii="Arial" w:eastAsia="Times New Roman" w:hAnsi="Arial" w:cs="Arial"/>
          <w:color w:val="000000"/>
          <w:lang w:val="en-US"/>
        </w:rPr>
      </w:pPr>
      <w:r w:rsidRPr="00BE7EF1">
        <w:rPr>
          <w:rFonts w:ascii="Arial" w:eastAsia="Times New Roman" w:hAnsi="Arial" w:cs="Arial"/>
          <w:color w:val="000000"/>
        </w:rPr>
        <w:t xml:space="preserve">Bärnthaler, T. </w:t>
      </w:r>
      <w:r w:rsidRPr="00BE7EF1">
        <w:rPr>
          <w:rFonts w:ascii="Arial" w:eastAsia="Times New Roman" w:hAnsi="Arial" w:cs="Arial"/>
          <w:i/>
          <w:color w:val="000000"/>
        </w:rPr>
        <w:t>et al.</w:t>
      </w:r>
      <w:r w:rsidRPr="00BE7EF1">
        <w:rPr>
          <w:rFonts w:ascii="Arial" w:eastAsia="Times New Roman" w:hAnsi="Arial" w:cs="Arial"/>
          <w:color w:val="000000"/>
        </w:rPr>
        <w:t xml:space="preserve"> </w:t>
      </w:r>
      <w:proofErr w:type="spellStart"/>
      <w:r w:rsidRPr="00137B3E">
        <w:rPr>
          <w:rFonts w:ascii="Arial" w:eastAsia="Times New Roman" w:hAnsi="Arial" w:cs="Arial"/>
          <w:color w:val="000000"/>
          <w:lang w:val="en-US"/>
        </w:rPr>
        <w:t>Imatinib</w:t>
      </w:r>
      <w:proofErr w:type="spellEnd"/>
      <w:r w:rsidRPr="00137B3E">
        <w:rPr>
          <w:rFonts w:ascii="Arial" w:eastAsia="Times New Roman" w:hAnsi="Arial" w:cs="Arial"/>
          <w:color w:val="000000"/>
          <w:lang w:val="en-US"/>
        </w:rPr>
        <w:t xml:space="preserve"> stimulates prostaglandin E2 and attenuates cytokine release via EP4 receptor activation. </w:t>
      </w:r>
      <w:r w:rsidRPr="00137B3E">
        <w:rPr>
          <w:rFonts w:ascii="Arial" w:eastAsia="Times New Roman" w:hAnsi="Arial" w:cs="Arial"/>
          <w:i/>
          <w:color w:val="000000"/>
          <w:lang w:val="en-US"/>
        </w:rPr>
        <w:t>The Journal of allergy and clinical immunology</w:t>
      </w:r>
      <w:r w:rsidRPr="00137B3E">
        <w:rPr>
          <w:rFonts w:ascii="Arial" w:eastAsia="Times New Roman" w:hAnsi="Arial" w:cs="Arial"/>
          <w:color w:val="000000"/>
          <w:lang w:val="en-US"/>
        </w:rPr>
        <w:t xml:space="preserve"> </w:t>
      </w:r>
      <w:r w:rsidRPr="00137B3E">
        <w:rPr>
          <w:rFonts w:ascii="Arial" w:eastAsia="Times New Roman" w:hAnsi="Arial" w:cs="Arial"/>
          <w:b/>
          <w:color w:val="000000"/>
          <w:lang w:val="en-US"/>
        </w:rPr>
        <w:t>143</w:t>
      </w:r>
      <w:r w:rsidRPr="00137B3E">
        <w:rPr>
          <w:rFonts w:ascii="Arial" w:eastAsia="Times New Roman" w:hAnsi="Arial" w:cs="Arial"/>
          <w:color w:val="000000"/>
          <w:lang w:val="en-US"/>
        </w:rPr>
        <w:t>, 794-797.e10; 10.1016/j.jaci.2018.09.030 (2019).</w:t>
      </w:r>
    </w:p>
    <w:sectPr w:rsidR="00137B3E" w:rsidRPr="00137B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F9"/>
    <w:rsid w:val="000F0C7C"/>
    <w:rsid w:val="00137B3E"/>
    <w:rsid w:val="001462A0"/>
    <w:rsid w:val="00247DE1"/>
    <w:rsid w:val="002551CE"/>
    <w:rsid w:val="002A6D55"/>
    <w:rsid w:val="002A7CC8"/>
    <w:rsid w:val="002B00B1"/>
    <w:rsid w:val="002B5810"/>
    <w:rsid w:val="003238F5"/>
    <w:rsid w:val="003E057A"/>
    <w:rsid w:val="003F3C05"/>
    <w:rsid w:val="00502D77"/>
    <w:rsid w:val="00522C4E"/>
    <w:rsid w:val="00562341"/>
    <w:rsid w:val="00565F53"/>
    <w:rsid w:val="005725CC"/>
    <w:rsid w:val="00593DBE"/>
    <w:rsid w:val="005A0F9D"/>
    <w:rsid w:val="005E5150"/>
    <w:rsid w:val="00676B13"/>
    <w:rsid w:val="006B622B"/>
    <w:rsid w:val="00745ADD"/>
    <w:rsid w:val="0079329A"/>
    <w:rsid w:val="007A114D"/>
    <w:rsid w:val="009C304A"/>
    <w:rsid w:val="009C573C"/>
    <w:rsid w:val="009E1346"/>
    <w:rsid w:val="009E5708"/>
    <w:rsid w:val="00AB62AE"/>
    <w:rsid w:val="00B02A0D"/>
    <w:rsid w:val="00B15C3F"/>
    <w:rsid w:val="00B42C38"/>
    <w:rsid w:val="00BB175E"/>
    <w:rsid w:val="00BC44F9"/>
    <w:rsid w:val="00BE7EF1"/>
    <w:rsid w:val="00BF6578"/>
    <w:rsid w:val="00BF6C0E"/>
    <w:rsid w:val="00C454EF"/>
    <w:rsid w:val="00C57736"/>
    <w:rsid w:val="00C67704"/>
    <w:rsid w:val="00C84C92"/>
    <w:rsid w:val="00C873EB"/>
    <w:rsid w:val="00CE0A7C"/>
    <w:rsid w:val="00CF0B7C"/>
    <w:rsid w:val="00D450BB"/>
    <w:rsid w:val="00D67738"/>
    <w:rsid w:val="00D74E11"/>
    <w:rsid w:val="00E51EB6"/>
    <w:rsid w:val="00E60D1A"/>
    <w:rsid w:val="00EA6722"/>
    <w:rsid w:val="00EE2659"/>
    <w:rsid w:val="00EF5DA3"/>
    <w:rsid w:val="00F50026"/>
    <w:rsid w:val="00F50D67"/>
    <w:rsid w:val="00F75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AFFC"/>
  <w15:chartTrackingRefBased/>
  <w15:docId w15:val="{1782819B-DB3B-4F7F-9E1E-16C8B7B6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A114D"/>
    <w:rPr>
      <w:sz w:val="16"/>
      <w:szCs w:val="16"/>
    </w:rPr>
  </w:style>
  <w:style w:type="paragraph" w:styleId="Kommentartext">
    <w:name w:val="annotation text"/>
    <w:basedOn w:val="Standard"/>
    <w:link w:val="KommentartextZchn"/>
    <w:uiPriority w:val="99"/>
    <w:semiHidden/>
    <w:unhideWhenUsed/>
    <w:rsid w:val="007A11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114D"/>
    <w:rPr>
      <w:sz w:val="20"/>
      <w:szCs w:val="20"/>
    </w:rPr>
  </w:style>
  <w:style w:type="paragraph" w:styleId="Sprechblasentext">
    <w:name w:val="Balloon Text"/>
    <w:basedOn w:val="Standard"/>
    <w:link w:val="SprechblasentextZchn"/>
    <w:uiPriority w:val="99"/>
    <w:semiHidden/>
    <w:unhideWhenUsed/>
    <w:rsid w:val="00137B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B3E"/>
    <w:rPr>
      <w:rFonts w:ascii="Segoe UI" w:hAnsi="Segoe UI" w:cs="Segoe UI"/>
      <w:sz w:val="18"/>
      <w:szCs w:val="18"/>
    </w:rPr>
  </w:style>
  <w:style w:type="table" w:styleId="Tabellenraster">
    <w:name w:val="Table Grid"/>
    <w:basedOn w:val="NormaleTabelle"/>
    <w:uiPriority w:val="39"/>
    <w:rsid w:val="00D677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7738"/>
    <w:rPr>
      <w:color w:val="0000FF"/>
      <w:u w:val="single"/>
    </w:rPr>
  </w:style>
  <w:style w:type="paragraph" w:styleId="Kommentarthema">
    <w:name w:val="annotation subject"/>
    <w:basedOn w:val="Kommentartext"/>
    <w:next w:val="Kommentartext"/>
    <w:link w:val="KommentarthemaZchn"/>
    <w:uiPriority w:val="99"/>
    <w:semiHidden/>
    <w:unhideWhenUsed/>
    <w:rsid w:val="002B5810"/>
    <w:rPr>
      <w:b/>
      <w:bCs/>
    </w:rPr>
  </w:style>
  <w:style w:type="character" w:customStyle="1" w:styleId="KommentarthemaZchn">
    <w:name w:val="Kommentarthema Zchn"/>
    <w:basedOn w:val="KommentartextZchn"/>
    <w:link w:val="Kommentarthema"/>
    <w:uiPriority w:val="99"/>
    <w:semiHidden/>
    <w:rsid w:val="002B5810"/>
    <w:rPr>
      <w:b/>
      <w:bCs/>
      <w:sz w:val="20"/>
      <w:szCs w:val="20"/>
    </w:rPr>
  </w:style>
  <w:style w:type="paragraph" w:styleId="Listenabsatz">
    <w:name w:val="List Paragraph"/>
    <w:basedOn w:val="Standard"/>
    <w:uiPriority w:val="34"/>
    <w:qFormat/>
    <w:rsid w:val="00C8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6580-00F4-4E4A-B208-F864780C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4</cp:revision>
  <cp:lastPrinted>2020-11-06T14:42:00Z</cp:lastPrinted>
  <dcterms:created xsi:type="dcterms:W3CDTF">2020-11-11T09:45:00Z</dcterms:created>
  <dcterms:modified xsi:type="dcterms:W3CDTF">2020-11-18T08:46:00Z</dcterms:modified>
</cp:coreProperties>
</file>