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D7C9B" w14:textId="6E1C0941" w:rsidR="00DB0E46" w:rsidRPr="00EF203A" w:rsidRDefault="00DB0E46" w:rsidP="00E36D81">
      <w:pPr>
        <w:spacing w:line="480" w:lineRule="auto"/>
        <w:rPr>
          <w:rFonts w:ascii="Times New Roman" w:hAnsi="Times New Roman"/>
          <w:b/>
          <w:color w:val="000000" w:themeColor="text1"/>
          <w:sz w:val="22"/>
          <w:szCs w:val="22"/>
          <w:u w:val="single"/>
        </w:rPr>
      </w:pPr>
      <w:r w:rsidRPr="00EF203A">
        <w:rPr>
          <w:rFonts w:ascii="Times New Roman" w:hAnsi="Times New Roman"/>
          <w:b/>
          <w:color w:val="000000" w:themeColor="text1"/>
          <w:sz w:val="22"/>
          <w:szCs w:val="22"/>
          <w:u w:val="single"/>
        </w:rPr>
        <w:t>Supplementary material</w:t>
      </w:r>
    </w:p>
    <w:p w14:paraId="64D20E63" w14:textId="77777777" w:rsidR="001663AE" w:rsidRPr="001663AE" w:rsidRDefault="00746270" w:rsidP="00E36D81">
      <w:pPr>
        <w:spacing w:line="480" w:lineRule="auto"/>
        <w:rPr>
          <w:rFonts w:ascii="Times New Roman" w:hAnsi="Times New Roman"/>
          <w:b/>
          <w:color w:val="000000" w:themeColor="text1"/>
          <w:sz w:val="22"/>
          <w:szCs w:val="22"/>
          <w:u w:val="single"/>
        </w:rPr>
      </w:pPr>
      <w:r w:rsidRPr="00EF203A">
        <w:rPr>
          <w:rFonts w:ascii="Times New Roman" w:hAnsi="Times New Roman"/>
          <w:b/>
          <w:color w:val="000000" w:themeColor="text1"/>
          <w:sz w:val="22"/>
          <w:szCs w:val="22"/>
          <w:u w:val="single"/>
        </w:rPr>
        <w:t xml:space="preserve">Full title: </w:t>
      </w:r>
      <w:r w:rsidR="001663AE" w:rsidRPr="001663AE">
        <w:rPr>
          <w:rFonts w:ascii="Times New Roman" w:hAnsi="Times New Roman"/>
          <w:b/>
          <w:color w:val="000000" w:themeColor="text1"/>
          <w:sz w:val="22"/>
          <w:szCs w:val="22"/>
          <w:u w:val="single"/>
        </w:rPr>
        <w:t>Myocardial Fibrosis and Inflammation by CMR Predict Cardiovascular Outcome in People Living With HIV</w:t>
      </w:r>
    </w:p>
    <w:p w14:paraId="284126C6" w14:textId="2DFFF87D" w:rsidR="00746270" w:rsidRPr="00EF203A" w:rsidRDefault="00746270" w:rsidP="00E36D81">
      <w:pPr>
        <w:spacing w:line="480" w:lineRule="auto"/>
        <w:rPr>
          <w:rFonts w:ascii="Times New Roman" w:hAnsi="Times New Roman"/>
          <w:b/>
          <w:color w:val="000000" w:themeColor="text1"/>
          <w:sz w:val="22"/>
          <w:szCs w:val="22"/>
          <w:u w:val="single"/>
        </w:rPr>
      </w:pPr>
    </w:p>
    <w:p w14:paraId="421C005D" w14:textId="77777777" w:rsidR="001663AE" w:rsidRPr="001663AE" w:rsidRDefault="00746270" w:rsidP="00E36D81">
      <w:pPr>
        <w:spacing w:line="480" w:lineRule="auto"/>
        <w:rPr>
          <w:rFonts w:ascii="Times New Roman" w:hAnsi="Times New Roman"/>
          <w:b/>
          <w:color w:val="000000" w:themeColor="text1"/>
          <w:sz w:val="22"/>
          <w:szCs w:val="22"/>
          <w:u w:val="single"/>
        </w:rPr>
      </w:pPr>
      <w:r w:rsidRPr="00EF203A">
        <w:rPr>
          <w:rFonts w:ascii="Times New Roman" w:hAnsi="Times New Roman"/>
          <w:b/>
          <w:color w:val="000000" w:themeColor="text1"/>
          <w:sz w:val="22"/>
          <w:szCs w:val="22"/>
          <w:u w:val="single"/>
        </w:rPr>
        <w:t xml:space="preserve">Short title: </w:t>
      </w:r>
      <w:r w:rsidR="001663AE" w:rsidRPr="001663AE">
        <w:rPr>
          <w:rFonts w:ascii="Times New Roman" w:hAnsi="Times New Roman"/>
          <w:b/>
          <w:color w:val="000000" w:themeColor="text1"/>
          <w:sz w:val="22"/>
          <w:szCs w:val="22"/>
          <w:u w:val="single"/>
        </w:rPr>
        <w:t>Myocardial Inflammation and Fibrosis and Outcome in HIV</w:t>
      </w:r>
    </w:p>
    <w:p w14:paraId="66793439" w14:textId="4746D3BD" w:rsidR="00746270" w:rsidRPr="001663AE" w:rsidRDefault="00746270" w:rsidP="00E36D81">
      <w:pPr>
        <w:spacing w:line="480" w:lineRule="auto"/>
        <w:rPr>
          <w:rFonts w:ascii="Times New Roman" w:hAnsi="Times New Roman"/>
          <w:b/>
          <w:color w:val="000000" w:themeColor="text1"/>
          <w:sz w:val="22"/>
          <w:szCs w:val="22"/>
          <w:u w:val="single"/>
        </w:rPr>
      </w:pPr>
    </w:p>
    <w:p w14:paraId="5E205609" w14:textId="0BB14947" w:rsidR="00530703" w:rsidRPr="00EF203A" w:rsidRDefault="00AA66DE" w:rsidP="00E36D81">
      <w:pPr>
        <w:spacing w:line="480" w:lineRule="auto"/>
        <w:rPr>
          <w:rFonts w:ascii="Times New Roman" w:hAnsi="Times New Roman"/>
          <w:b/>
          <w:color w:val="000000" w:themeColor="text1"/>
          <w:sz w:val="22"/>
          <w:szCs w:val="22"/>
        </w:rPr>
      </w:pPr>
      <w:r w:rsidRPr="00EF203A">
        <w:rPr>
          <w:rFonts w:ascii="Times New Roman" w:hAnsi="Times New Roman"/>
          <w:b/>
          <w:color w:val="000000" w:themeColor="text1"/>
          <w:sz w:val="22"/>
          <w:szCs w:val="22"/>
        </w:rPr>
        <w:t>CMR acquisition an</w:t>
      </w:r>
      <w:r w:rsidR="00D02DAD" w:rsidRPr="00EF203A">
        <w:rPr>
          <w:rFonts w:ascii="Times New Roman" w:hAnsi="Times New Roman"/>
          <w:b/>
          <w:color w:val="000000" w:themeColor="text1"/>
          <w:sz w:val="22"/>
          <w:szCs w:val="22"/>
        </w:rPr>
        <w:t>d</w:t>
      </w:r>
      <w:r w:rsidRPr="00EF203A">
        <w:rPr>
          <w:rFonts w:ascii="Times New Roman" w:hAnsi="Times New Roman"/>
          <w:b/>
          <w:color w:val="000000" w:themeColor="text1"/>
          <w:sz w:val="22"/>
          <w:szCs w:val="22"/>
        </w:rPr>
        <w:t xml:space="preserve"> postprocessing</w:t>
      </w:r>
    </w:p>
    <w:p w14:paraId="765A78A7" w14:textId="2AFA4CC6" w:rsidR="002077D3" w:rsidRDefault="00AA66DE" w:rsidP="00E36D81">
      <w:pPr>
        <w:spacing w:line="480" w:lineRule="auto"/>
        <w:rPr>
          <w:rFonts w:ascii="Times New Roman" w:hAnsi="Times New Roman" w:cs="Times New Roman"/>
          <w:color w:val="000000" w:themeColor="text1"/>
          <w:sz w:val="22"/>
          <w:szCs w:val="22"/>
          <w:lang w:val="en-US"/>
        </w:rPr>
      </w:pPr>
      <w:r w:rsidRPr="00EF203A">
        <w:rPr>
          <w:rFonts w:ascii="Times New Roman" w:hAnsi="Times New Roman"/>
          <w:color w:val="000000" w:themeColor="text1"/>
          <w:sz w:val="22"/>
          <w:szCs w:val="22"/>
        </w:rPr>
        <w:t>Details of acquisition and postprocessing were reported previously</w:t>
      </w:r>
      <w:r w:rsidR="00860912" w:rsidRPr="00EF203A">
        <w:rPr>
          <w:rFonts w:ascii="Times New Roman" w:hAnsi="Times New Roman"/>
          <w:color w:val="000000" w:themeColor="text1"/>
          <w:sz w:val="22"/>
          <w:szCs w:val="22"/>
        </w:rPr>
        <w:fldChar w:fldCharType="begin"/>
      </w:r>
      <w:r w:rsidR="00AC216C">
        <w:rPr>
          <w:rFonts w:ascii="Times New Roman" w:hAnsi="Times New Roman"/>
          <w:color w:val="000000" w:themeColor="text1"/>
          <w:sz w:val="22"/>
          <w:szCs w:val="22"/>
        </w:rPr>
        <w:instrText xml:space="preserve"> ADDIN PAPERS2_CITATIONS &lt;citation&gt;&lt;priority&gt;0&lt;/priority&gt;&lt;uuid&gt;4D8A8C87-0C0C-4E4B-B7B7-32B385748C98&lt;/uuid&gt;&lt;publications&gt;&lt;publication&gt;&lt;subtype&gt;400&lt;/subtype&gt;&lt;title&gt;T1-Mapping and Outcome in Nonischemic Cardiomyopathy&lt;/title&gt;&lt;url&gt;https://linkinghub.elsevier.com/retrieve/pii/S1936878X15009225&lt;/url&gt;&lt;volume&gt;9&lt;/volume&gt;&lt;publication_date&gt;99201601001200000000220000&lt;/publication_date&gt;&lt;uuid&gt;C00F0910-1CF4-4467-9FC2-6A7B83C9EEE6&lt;/uuid&gt;&lt;type&gt;400&lt;/type&gt;&lt;number&gt;1&lt;/number&gt;&lt;doi&gt;10.1016/j.jcmg.2015.12.001&lt;/doi&gt;&lt;startpage&gt;40&lt;/startpage&gt;&lt;endpage&gt;50&lt;/endpage&gt;&lt;bundle&gt;&lt;publication&gt;&lt;title&gt;JACC. Cardiovascular imaging&lt;/title&gt;&lt;uuid&gt;0AE7C6CF-8DE6-4411-AD1E-C76C3D140F4A&lt;/uuid&gt;&lt;subtype&gt;-100&lt;/subtype&gt;&lt;publisher&gt;Elsevier Inc&lt;/publisher&gt;&lt;type&gt;-100&lt;/type&gt;&lt;/publication&gt;&lt;/bundle&gt;&lt;authors&gt;&lt;author&gt;&lt;lastName&gt;Puntmann&lt;/lastName&gt;&lt;firstName&gt;Valentina&lt;/firstName&gt;&lt;middleNames&gt;O&lt;/middleNames&gt;&lt;/author&gt;&lt;author&gt;&lt;lastName&gt;Carr-White&lt;/lastName&gt;&lt;firstName&gt;Gerry&lt;/firstName&gt;&lt;/author&gt;&lt;author&gt;&lt;lastName&gt;Jabbour&lt;/lastName&gt;&lt;firstName&gt;Andrew&lt;/firstName&gt;&lt;/author&gt;&lt;author&gt;&lt;lastName&gt;Yu&lt;/lastName&gt;&lt;firstName&gt;Chung-Yao&lt;/firstName&gt;&lt;/author&gt;&lt;author&gt;&lt;lastName&gt;Gebker&lt;/lastName&gt;&lt;firstName&gt;Rolf&lt;/firstName&gt;&lt;/author&gt;&lt;author&gt;&lt;lastName&gt;Kelle&lt;/lastName&gt;&lt;firstName&gt;Sebastian&lt;/firstName&gt;&lt;/author&gt;&lt;author&gt;&lt;lastName&gt;Hinojar&lt;/lastName&gt;&lt;firstName&gt;Rocio&lt;/firstName&gt;&lt;/author&gt;&lt;author&gt;&lt;lastName&gt;Doltra&lt;/lastName&gt;&lt;firstName&gt;Adelina&lt;/firstName&gt;&lt;/author&gt;&lt;author&gt;&lt;lastName&gt;Varma&lt;/lastName&gt;&lt;firstName&gt;Niharika&lt;/firstName&gt;&lt;/author&gt;&lt;author&gt;&lt;lastName&gt;Child&lt;/lastName&gt;&lt;firstName&gt;Nicholas&lt;/firstName&gt;&lt;/author&gt;&lt;author&gt;&lt;lastName&gt;Rogers&lt;/lastName&gt;&lt;firstName&gt;Toby&lt;/firstName&gt;&lt;/author&gt;&lt;author&gt;&lt;lastName&gt;Suna&lt;/lastName&gt;&lt;firstName&gt;Gonca&lt;/firstName&gt;&lt;/author&gt;&lt;author&gt;&lt;lastName&gt;Arroyo Ucar&lt;/lastName&gt;&lt;firstName&gt;Eduardo&lt;/firstName&gt;&lt;/author&gt;&lt;author&gt;&lt;lastName&gt;Goodman&lt;/lastName&gt;&lt;firstName&gt;Ben&lt;/firstName&gt;&lt;/author&gt;&lt;author&gt;&lt;lastName&gt;Khan&lt;/lastName&gt;&lt;firstName&gt;Sitara&lt;/firstName&gt;&lt;/author&gt;&lt;author&gt;&lt;lastName&gt;Dabir&lt;/lastName&gt;&lt;firstName&gt;Darius&lt;/firstName&gt;&lt;/author&gt;&lt;author&gt;&lt;lastName&gt;Herrmann&lt;/lastName&gt;&lt;firstName&gt;Eva&lt;/firstName&gt;&lt;/author&gt;&lt;author&gt;&lt;lastName&gt;Zeiher&lt;/lastName&gt;&lt;firstName&gt;Andreas&lt;/firstName&gt;&lt;middleNames&gt;M&lt;/middleNames&gt;&lt;/author&gt;&lt;author&gt;&lt;lastName&gt;Nagel&lt;/lastName&gt;&lt;firstName&gt;Eike&lt;/firstName&gt;&lt;/author&gt;&lt;/authors&gt;&lt;/publication&gt;&lt;publication&gt;&lt;subtype&gt;400&lt;/subtype&gt;&lt;title&gt;Reference values for healthy human myocardium using a T1 mapping methodology: results from the International T1 Multicenter cardiovascular magnetic resonance study&lt;/title&gt;&lt;url&gt;http://jcmr-online.biomedcentral.com/articles/10.1186/s12968-014-0069-x&lt;/url&gt;&lt;volume&gt;16&lt;/volume&gt;&lt;publication_date&gt;99201410211200000000222000&lt;/publication_date&gt;&lt;uuid&gt;75115679-4DE1-4A92-B6E6-3DC576045620&lt;/uuid&gt;&lt;type&gt;400&lt;/type&gt;&lt;number&gt;1&lt;/number&gt;&lt;doi&gt;10.1186/s12968-014-0069-x&lt;/doi&gt;&lt;startpage&gt;34&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Dabir&lt;/lastName&gt;&lt;firstName&gt;Darius&lt;/firstName&gt;&lt;/author&gt;&lt;author&gt;&lt;lastName&gt;Child&lt;/lastName&gt;&lt;firstName&gt;Nicholas&lt;/firstName&gt;&lt;/author&gt;&lt;author&gt;&lt;lastName&gt;Kalra&lt;/lastName&gt;&lt;firstName&gt;Ashwin&lt;/firstName&gt;&lt;/author&gt;&lt;author&gt;&lt;lastName&gt;Rogers&lt;/lastName&gt;&lt;firstName&gt;Toby&lt;/firstName&gt;&lt;/author&gt;&lt;author&gt;&lt;lastName&gt;Gebker&lt;/lastName&gt;&lt;firstName&gt;Rolf&lt;/firstName&gt;&lt;/author&gt;&lt;author&gt;&lt;lastName&gt;Jabbour&lt;/lastName&gt;&lt;firstName&gt;Andrew&lt;/firstName&gt;&lt;/author&gt;&lt;author&gt;&lt;lastName&gt;Plein&lt;/lastName&gt;&lt;firstName&gt;Sven&lt;/firstName&gt;&lt;/author&gt;&lt;author&gt;&lt;lastName&gt;Yu&lt;/lastName&gt;&lt;firstName&gt;Chung-Yao&lt;/firstName&gt;&lt;/author&gt;&lt;author&gt;&lt;lastName&gt;Otton&lt;/lastName&gt;&lt;firstName&gt;James&lt;/firstName&gt;&lt;/author&gt;&lt;author&gt;&lt;lastName&gt;Kidambi&lt;/lastName&gt;&lt;firstName&gt;Ananth&lt;/firstName&gt;&lt;/author&gt;&lt;author&gt;&lt;lastName&gt;McDiarmid&lt;/lastName&gt;&lt;firstName&gt;Adam&lt;/firstName&gt;&lt;/author&gt;&lt;author&gt;&lt;lastName&gt;Broadbent&lt;/lastName&gt;&lt;firstName&gt;David&lt;/firstName&gt;&lt;/author&gt;&lt;author&gt;&lt;lastName&gt;Higgins&lt;/lastName&gt;&lt;firstName&gt;David&lt;/firstName&gt;&lt;middleNames&gt;M&lt;/middleNames&gt;&lt;/author&gt;&lt;author&gt;&lt;lastName&gt;Schnackenburg&lt;/lastName&gt;&lt;firstName&gt;Bernhard&lt;/firstName&gt;&lt;/author&gt;&lt;author&gt;&lt;lastName&gt;Foote&lt;/lastName&gt;&lt;firstName&gt;Lucy&lt;/firstName&gt;&lt;/author&gt;&lt;author&gt;&lt;lastName&gt;Cummins&lt;/lastName&gt;&lt;firstName&gt;Ciara&lt;/firstName&gt;&lt;/author&gt;&lt;author&gt;&lt;lastName&gt;Nagel&lt;/lastName&gt;&lt;firstName&gt;Eike&lt;/firstName&gt;&lt;/author&gt;&lt;author&gt;&lt;lastName&gt;Puntmann&lt;/lastName&gt;&lt;firstName&gt;Valentina&lt;/firstName&gt;&lt;middleNames&gt;O&lt;/middleNames&gt;&lt;/author&gt;&lt;/authors&gt;&lt;/publication&gt;&lt;publication&gt;&lt;subtype&gt;400&lt;/subtype&gt;&lt;title&gt;Standardization of T1 measurements with MOLLI in differentiation between health and disease – the ConSept study&lt;/title&gt;&lt;url&gt;http://jcmr-online.biomedcentral.com/articles/10.1186/1532-429X-15-78&lt;/url&gt;&lt;volume&gt;15&lt;/volume&gt;&lt;publication_date&gt;99201300001200000000200000&lt;/publication_date&gt;&lt;uuid&gt;4579565B-1226-4B69-A0C6-351509B1DB35&lt;/uuid&gt;&lt;type&gt;400&lt;/type&gt;&lt;number&gt;1&lt;/number&gt;&lt;citekey&gt;Rogers:2013ki&lt;/citekey&gt;&lt;doi&gt;10.1186/1532-429X-15-78&lt;/doi&gt;&lt;startpage&gt;78&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Rogers&lt;/lastName&gt;&lt;firstName&gt;Toby&lt;/firstName&gt;&lt;/author&gt;&lt;author&gt;&lt;lastName&gt;Dabir&lt;/lastName&gt;&lt;firstName&gt;Darius&lt;/firstName&gt;&lt;/author&gt;&lt;author&gt;&lt;lastName&gt;Mahmoud&lt;/lastName&gt;&lt;firstName&gt;Islam&lt;/firstName&gt;&lt;/author&gt;&lt;author&gt;&lt;lastName&gt;Voigt&lt;/lastName&gt;&lt;firstName&gt;Tobias&lt;/firstName&gt;&lt;/author&gt;&lt;author&gt;&lt;lastName&gt;Schaeffter&lt;/lastName&gt;&lt;firstName&gt;Tobias&lt;/firstName&gt;&lt;/author&gt;&lt;author&gt;&lt;lastName&gt;Nagel&lt;/lastName&gt;&lt;firstName&gt;Eike&lt;/firstName&gt;&lt;/author&gt;&lt;author&gt;&lt;lastName&gt;Puntmann&lt;/lastName&gt;&lt;firstName&gt;Valentina&lt;/firstName&gt;&lt;middleNames&gt;O&lt;/middleNames&gt;&lt;/author&gt;&lt;/authors&gt;&lt;/publication&gt;&lt;/publications&gt;&lt;cites&gt;&lt;/cites&gt;&lt;/citation&gt;</w:instrText>
      </w:r>
      <w:r w:rsidR="00860912" w:rsidRPr="00EF203A">
        <w:rPr>
          <w:rFonts w:ascii="Times New Roman" w:hAnsi="Times New Roman"/>
          <w:color w:val="000000" w:themeColor="text1"/>
          <w:sz w:val="22"/>
          <w:szCs w:val="22"/>
        </w:rPr>
        <w:fldChar w:fldCharType="separate"/>
      </w:r>
      <w:r w:rsidR="00C97265">
        <w:rPr>
          <w:rFonts w:ascii="Times New Roman" w:hAnsi="Times New Roman" w:cs="Times New Roman"/>
          <w:sz w:val="22"/>
          <w:szCs w:val="22"/>
        </w:rPr>
        <w:t>(1-3)</w:t>
      </w:r>
      <w:r w:rsidR="00860912" w:rsidRPr="00EF203A">
        <w:rPr>
          <w:rFonts w:ascii="Times New Roman" w:hAnsi="Times New Roman"/>
          <w:color w:val="000000" w:themeColor="text1"/>
          <w:sz w:val="22"/>
          <w:szCs w:val="22"/>
        </w:rPr>
        <w:fldChar w:fldCharType="end"/>
      </w:r>
      <w:r w:rsidRPr="00EF203A">
        <w:rPr>
          <w:rFonts w:ascii="Times New Roman" w:hAnsi="Times New Roman"/>
          <w:color w:val="000000" w:themeColor="text1"/>
          <w:sz w:val="22"/>
          <w:szCs w:val="22"/>
        </w:rPr>
        <w:t>.</w:t>
      </w:r>
      <w:r w:rsidR="00860912" w:rsidRPr="00EF203A">
        <w:rPr>
          <w:rFonts w:ascii="Times New Roman" w:hAnsi="Times New Roman"/>
          <w:color w:val="000000" w:themeColor="text1"/>
          <w:sz w:val="22"/>
          <w:szCs w:val="22"/>
        </w:rPr>
        <w:t xml:space="preserve"> </w:t>
      </w:r>
      <w:r w:rsidRPr="00EF203A">
        <w:rPr>
          <w:rFonts w:ascii="Times New Roman" w:hAnsi="Times New Roman"/>
          <w:color w:val="000000" w:themeColor="text1"/>
          <w:sz w:val="22"/>
          <w:szCs w:val="22"/>
        </w:rPr>
        <w:t xml:space="preserve">Standardization of T1-mapping acquisition </w:t>
      </w:r>
      <w:r w:rsidR="001663AE">
        <w:rPr>
          <w:rFonts w:ascii="Times New Roman" w:hAnsi="Times New Roman"/>
          <w:color w:val="000000" w:themeColor="text1"/>
          <w:sz w:val="22"/>
          <w:szCs w:val="22"/>
        </w:rPr>
        <w:t xml:space="preserve">on Siemens platform </w:t>
      </w:r>
      <w:r w:rsidRPr="00EF203A">
        <w:rPr>
          <w:rFonts w:ascii="Times New Roman" w:hAnsi="Times New Roman"/>
          <w:color w:val="000000" w:themeColor="text1"/>
          <w:sz w:val="22"/>
          <w:szCs w:val="22"/>
        </w:rPr>
        <w:t xml:space="preserve">was performed prior to the onset of patient recruitment. </w:t>
      </w:r>
      <w:r w:rsidR="00776DC4" w:rsidRPr="00EF203A">
        <w:rPr>
          <w:rFonts w:ascii="Times New Roman" w:hAnsi="Times New Roman" w:cs="Times New Roman"/>
          <w:color w:val="000000" w:themeColor="text1"/>
          <w:sz w:val="22"/>
          <w:szCs w:val="22"/>
        </w:rPr>
        <w:t xml:space="preserve">Comparability and reproducibility of measurements were determined at each location for each field strength. </w:t>
      </w:r>
      <w:r w:rsidR="002077D3" w:rsidRPr="00EF203A">
        <w:rPr>
          <w:rFonts w:ascii="Times New Roman" w:hAnsi="Times New Roman" w:cs="Times New Roman"/>
          <w:color w:val="000000" w:themeColor="text1"/>
          <w:sz w:val="22"/>
          <w:szCs w:val="22"/>
          <w:lang w:val="en-US"/>
        </w:rPr>
        <w:t xml:space="preserve">All subjects underwent a standardized CMR protocol for routine assessment of cardiac volumes, mass and LGE imaging, 3-Tesla (T) scanner equipped with advanced cardiac </w:t>
      </w:r>
      <w:r w:rsidR="001663AE">
        <w:rPr>
          <w:rFonts w:ascii="Times New Roman" w:hAnsi="Times New Roman" w:cs="Times New Roman"/>
          <w:color w:val="000000" w:themeColor="text1"/>
          <w:sz w:val="22"/>
          <w:szCs w:val="22"/>
          <w:lang w:val="en-US"/>
        </w:rPr>
        <w:t>software on</w:t>
      </w:r>
      <w:r w:rsidR="002077D3" w:rsidRPr="00EF203A">
        <w:rPr>
          <w:rFonts w:ascii="Times New Roman" w:hAnsi="Times New Roman" w:cs="Times New Roman"/>
          <w:color w:val="000000" w:themeColor="text1"/>
          <w:sz w:val="22"/>
          <w:szCs w:val="22"/>
          <w:lang w:val="en-US"/>
        </w:rPr>
        <w:t xml:space="preserve"> Siemens </w:t>
      </w:r>
      <w:proofErr w:type="spellStart"/>
      <w:r w:rsidR="002077D3" w:rsidRPr="00EF203A">
        <w:rPr>
          <w:rFonts w:ascii="Times New Roman" w:hAnsi="Times New Roman" w:cs="Times New Roman"/>
          <w:color w:val="000000" w:themeColor="text1"/>
          <w:sz w:val="22"/>
          <w:szCs w:val="22"/>
          <w:lang w:val="en-US"/>
        </w:rPr>
        <w:t>Skyra</w:t>
      </w:r>
      <w:proofErr w:type="spellEnd"/>
      <w:r w:rsidR="002077D3" w:rsidRPr="00EF203A">
        <w:rPr>
          <w:rFonts w:ascii="Times New Roman" w:hAnsi="Times New Roman" w:cs="Times New Roman"/>
          <w:color w:val="000000" w:themeColor="text1"/>
          <w:sz w:val="22"/>
          <w:szCs w:val="22"/>
          <w:lang w:val="en-US"/>
        </w:rPr>
        <w:t xml:space="preserve"> with 6 channel </w:t>
      </w:r>
      <w:proofErr w:type="gramStart"/>
      <w:r w:rsidR="002077D3" w:rsidRPr="00EF203A">
        <w:rPr>
          <w:rFonts w:ascii="Times New Roman" w:hAnsi="Times New Roman" w:cs="Times New Roman"/>
          <w:color w:val="000000" w:themeColor="text1"/>
          <w:sz w:val="22"/>
          <w:szCs w:val="22"/>
          <w:lang w:val="en-US"/>
        </w:rPr>
        <w:t>coil</w:t>
      </w:r>
      <w:proofErr w:type="gramEnd"/>
      <w:r w:rsidR="001663AE">
        <w:rPr>
          <w:rFonts w:ascii="Times New Roman" w:hAnsi="Times New Roman" w:cs="Times New Roman"/>
          <w:color w:val="000000" w:themeColor="text1"/>
          <w:sz w:val="22"/>
          <w:szCs w:val="22"/>
          <w:lang w:val="en-US"/>
        </w:rPr>
        <w:t xml:space="preserve"> (</w:t>
      </w:r>
      <w:proofErr w:type="spellStart"/>
      <w:r w:rsidR="001663AE" w:rsidRPr="001663AE">
        <w:rPr>
          <w:rFonts w:ascii="Times New Roman" w:hAnsi="Times New Roman" w:cs="Times New Roman"/>
          <w:color w:val="000000" w:themeColor="text1"/>
          <w:sz w:val="22"/>
          <w:szCs w:val="22"/>
          <w:lang w:val="en-US"/>
        </w:rPr>
        <w:t>Skyra</w:t>
      </w:r>
      <w:proofErr w:type="spellEnd"/>
      <w:r w:rsidR="001663AE" w:rsidRPr="001663AE">
        <w:rPr>
          <w:rFonts w:ascii="Times New Roman" w:hAnsi="Times New Roman" w:cs="Times New Roman"/>
          <w:color w:val="000000" w:themeColor="text1"/>
          <w:sz w:val="22"/>
          <w:szCs w:val="22"/>
          <w:lang w:val="en-US"/>
        </w:rPr>
        <w:t xml:space="preserve">, Siemens </w:t>
      </w:r>
      <w:proofErr w:type="spellStart"/>
      <w:r w:rsidR="001663AE" w:rsidRPr="001663AE">
        <w:rPr>
          <w:rFonts w:ascii="Times New Roman" w:hAnsi="Times New Roman" w:cs="Times New Roman"/>
          <w:color w:val="000000" w:themeColor="text1"/>
          <w:sz w:val="22"/>
          <w:szCs w:val="22"/>
          <w:lang w:val="en-US"/>
        </w:rPr>
        <w:t>Healthineers</w:t>
      </w:r>
      <w:proofErr w:type="spellEnd"/>
      <w:r w:rsidR="001663AE" w:rsidRPr="001663AE">
        <w:rPr>
          <w:rFonts w:ascii="Times New Roman" w:hAnsi="Times New Roman" w:cs="Times New Roman"/>
          <w:color w:val="000000" w:themeColor="text1"/>
          <w:sz w:val="22"/>
          <w:szCs w:val="22"/>
          <w:lang w:val="en-US"/>
        </w:rPr>
        <w:t>, Erlangen, Germany, Software Version VE11)</w:t>
      </w:r>
      <w:r w:rsidR="002077D3" w:rsidRPr="001663AE">
        <w:rPr>
          <w:rFonts w:ascii="Times New Roman" w:hAnsi="Times New Roman" w:cs="Times New Roman"/>
          <w:color w:val="000000" w:themeColor="text1"/>
          <w:sz w:val="22"/>
          <w:szCs w:val="22"/>
          <w:lang w:val="en-US"/>
        </w:rPr>
        <w:t>.</w:t>
      </w:r>
      <w:r w:rsidR="002077D3" w:rsidRPr="00EF203A">
        <w:rPr>
          <w:rFonts w:ascii="Times New Roman" w:hAnsi="Times New Roman" w:cs="Times New Roman"/>
          <w:color w:val="000000" w:themeColor="text1"/>
          <w:sz w:val="22"/>
          <w:szCs w:val="22"/>
          <w:lang w:val="en-US"/>
        </w:rPr>
        <w:t xml:space="preserve"> </w:t>
      </w:r>
    </w:p>
    <w:p w14:paraId="694856DC" w14:textId="77777777" w:rsidR="00D803F1" w:rsidRPr="001663AE" w:rsidRDefault="00D803F1" w:rsidP="00E36D81">
      <w:pPr>
        <w:spacing w:line="480" w:lineRule="auto"/>
        <w:rPr>
          <w:rFonts w:ascii="Times New Roman" w:hAnsi="Times New Roman" w:cs="Times New Roman"/>
          <w:color w:val="000000" w:themeColor="text1"/>
          <w:sz w:val="22"/>
          <w:szCs w:val="22"/>
          <w:lang w:val="en-US"/>
        </w:rPr>
      </w:pPr>
    </w:p>
    <w:p w14:paraId="2E48DDA7" w14:textId="77777777" w:rsidR="00D6609E" w:rsidRPr="008D067F" w:rsidRDefault="00D6609E" w:rsidP="00E36D81">
      <w:pPr>
        <w:spacing w:line="480" w:lineRule="auto"/>
        <w:rPr>
          <w:rFonts w:ascii="Times New Roman" w:hAnsi="Times New Roman" w:cs="Times New Roman"/>
          <w:b/>
          <w:color w:val="000000" w:themeColor="text1"/>
          <w:sz w:val="22"/>
          <w:szCs w:val="22"/>
          <w:u w:val="single"/>
          <w:lang w:val="en-US"/>
        </w:rPr>
      </w:pPr>
      <w:r w:rsidRPr="008D067F">
        <w:rPr>
          <w:rFonts w:ascii="Times New Roman" w:hAnsi="Times New Roman" w:cs="Times New Roman"/>
          <w:b/>
          <w:color w:val="000000" w:themeColor="text1"/>
          <w:sz w:val="22"/>
          <w:szCs w:val="22"/>
          <w:u w:val="single"/>
          <w:lang w:val="en-US"/>
        </w:rPr>
        <w:t>Sequence parameters:</w:t>
      </w:r>
    </w:p>
    <w:p w14:paraId="3C6C2889" w14:textId="77777777" w:rsidR="00D6609E" w:rsidRPr="00B43006" w:rsidRDefault="00D6609E" w:rsidP="00E36D81">
      <w:pPr>
        <w:pStyle w:val="ListParagraph"/>
        <w:numPr>
          <w:ilvl w:val="0"/>
          <w:numId w:val="6"/>
        </w:numPr>
        <w:spacing w:line="480" w:lineRule="auto"/>
        <w:rPr>
          <w:rFonts w:ascii="Times New Roman" w:hAnsi="Times New Roman" w:cs="Times New Roman"/>
          <w:color w:val="000000" w:themeColor="text1"/>
          <w:sz w:val="22"/>
          <w:szCs w:val="22"/>
        </w:rPr>
      </w:pPr>
      <w:r w:rsidRPr="00B43006">
        <w:rPr>
          <w:rFonts w:ascii="Times New Roman" w:hAnsi="Times New Roman" w:cs="Times New Roman"/>
          <w:color w:val="000000" w:themeColor="text1"/>
          <w:sz w:val="22"/>
          <w:szCs w:val="22"/>
        </w:rPr>
        <w:t>Cine imaging was performed using a balanced steady-state free precession sequence in combination with parallel imaging (</w:t>
      </w:r>
      <w:proofErr w:type="spellStart"/>
      <w:r w:rsidRPr="00B43006">
        <w:rPr>
          <w:rFonts w:ascii="Times New Roman" w:hAnsi="Times New Roman" w:cs="Times New Roman"/>
          <w:color w:val="000000" w:themeColor="text1"/>
          <w:sz w:val="22"/>
          <w:szCs w:val="22"/>
        </w:rPr>
        <w:t>SENSitivity</w:t>
      </w:r>
      <w:proofErr w:type="spellEnd"/>
      <w:r w:rsidRPr="00B43006">
        <w:rPr>
          <w:rFonts w:ascii="Times New Roman" w:hAnsi="Times New Roman" w:cs="Times New Roman"/>
          <w:color w:val="000000" w:themeColor="text1"/>
          <w:sz w:val="22"/>
          <w:szCs w:val="22"/>
        </w:rPr>
        <w:t xml:space="preserve"> Encoding, factor 2) and retrospective gating during expiratory breath- hold (TE/TR/flip-angle: 1.7ms/3.4ms/60°, spatial resolution 1.8x1.8x8 mm), as a gapless short axis (SAX) stack for assessment of cardiac volumes and function, or single slice long-axis views (2-chamber, 3-chamber, and 4 chamber view).</w:t>
      </w:r>
    </w:p>
    <w:p w14:paraId="4ED6E42A" w14:textId="4ADD9B78" w:rsidR="00D6609E" w:rsidRPr="00E36D81" w:rsidRDefault="00D6609E" w:rsidP="00E36D81">
      <w:pPr>
        <w:pStyle w:val="ListParagraph"/>
        <w:numPr>
          <w:ilvl w:val="0"/>
          <w:numId w:val="6"/>
        </w:numPr>
        <w:spacing w:line="480" w:lineRule="auto"/>
        <w:rPr>
          <w:rFonts w:ascii="Times New Roman" w:hAnsi="Times New Roman" w:cs="Times New Roman"/>
          <w:color w:val="000000" w:themeColor="text1"/>
          <w:sz w:val="22"/>
          <w:szCs w:val="22"/>
        </w:rPr>
      </w:pPr>
      <w:r w:rsidRPr="00E36D81">
        <w:rPr>
          <w:rFonts w:ascii="Times New Roman" w:hAnsi="Times New Roman" w:cs="Times New Roman"/>
          <w:color w:val="000000" w:themeColor="text1"/>
          <w:sz w:val="22"/>
          <w:szCs w:val="22"/>
        </w:rPr>
        <w:t>Myocardial perfusion was</w:t>
      </w:r>
      <w:r w:rsidR="00036CED" w:rsidRPr="00E36D81">
        <w:rPr>
          <w:rFonts w:ascii="Times New Roman" w:hAnsi="Times New Roman" w:cs="Times New Roman"/>
          <w:color w:val="000000" w:themeColor="text1"/>
          <w:sz w:val="22"/>
          <w:szCs w:val="22"/>
        </w:rPr>
        <w:t xml:space="preserve"> performed</w:t>
      </w:r>
      <w:r w:rsidRPr="00E36D81">
        <w:rPr>
          <w:rFonts w:ascii="Times New Roman" w:hAnsi="Times New Roman" w:cs="Times New Roman"/>
          <w:color w:val="000000" w:themeColor="text1"/>
          <w:sz w:val="22"/>
          <w:szCs w:val="22"/>
        </w:rPr>
        <w:t xml:space="preserve"> </w:t>
      </w:r>
      <w:r w:rsidR="00036CED" w:rsidRPr="00E36D81">
        <w:rPr>
          <w:rFonts w:ascii="Times New Roman" w:hAnsi="Times New Roman" w:cs="Times New Roman"/>
          <w:color w:val="000000" w:themeColor="text1"/>
          <w:sz w:val="22"/>
          <w:szCs w:val="22"/>
        </w:rPr>
        <w:t>after a</w:t>
      </w:r>
      <w:r w:rsidRPr="00E36D81">
        <w:rPr>
          <w:rFonts w:ascii="Times New Roman" w:hAnsi="Times New Roman" w:cs="Times New Roman"/>
          <w:color w:val="000000" w:themeColor="text1"/>
          <w:sz w:val="22"/>
          <w:szCs w:val="22"/>
        </w:rPr>
        <w:t xml:space="preserve"> Regadenosone bolus (400mcg/5ml i</w:t>
      </w:r>
      <w:r w:rsidR="00120762">
        <w:rPr>
          <w:rFonts w:ascii="Times New Roman" w:hAnsi="Times New Roman" w:cs="Times New Roman"/>
          <w:color w:val="000000" w:themeColor="text1"/>
          <w:sz w:val="22"/>
          <w:szCs w:val="22"/>
        </w:rPr>
        <w:t xml:space="preserve">v.) </w:t>
      </w:r>
      <w:r w:rsidRPr="00E36D81">
        <w:rPr>
          <w:rFonts w:ascii="Times New Roman" w:hAnsi="Times New Roman" w:cs="Times New Roman"/>
          <w:color w:val="000000" w:themeColor="text1"/>
          <w:sz w:val="22"/>
          <w:szCs w:val="22"/>
        </w:rPr>
        <w:t xml:space="preserve">during the delivery of gadolinium-based contrast agent (GBCA, gadobutrol 0.1mmol/kg, Gadovist®, Bayer, </w:t>
      </w:r>
      <w:r w:rsidR="00036CED">
        <w:rPr>
          <w:rFonts w:ascii="Times New Roman" w:hAnsi="Times New Roman" w:cs="Times New Roman"/>
          <w:color w:val="000000" w:themeColor="text1"/>
          <w:sz w:val="22"/>
          <w:szCs w:val="22"/>
        </w:rPr>
        <w:t>Leverkusen</w:t>
      </w:r>
      <w:r w:rsidRPr="00E36D81">
        <w:rPr>
          <w:rFonts w:ascii="Times New Roman" w:hAnsi="Times New Roman" w:cs="Times New Roman"/>
          <w:color w:val="000000" w:themeColor="text1"/>
          <w:sz w:val="22"/>
          <w:szCs w:val="22"/>
        </w:rPr>
        <w:t xml:space="preserve">, Germany) at 3 ml/s by an injector pump using a dual bolus delivery scheme (the first bolus with 5%, the second bolus with 100% GBCA, both followed by chaser of 20ml saline, with a break of </w:t>
      </w:r>
      <w:r w:rsidR="00F871A0" w:rsidRPr="00E36D81">
        <w:rPr>
          <w:rFonts w:ascii="Times New Roman" w:hAnsi="Times New Roman" w:cs="Times New Roman"/>
          <w:color w:val="000000" w:themeColor="text1"/>
          <w:sz w:val="22"/>
          <w:szCs w:val="22"/>
        </w:rPr>
        <w:t>15</w:t>
      </w:r>
      <w:r w:rsidRPr="00E36D81">
        <w:rPr>
          <w:rFonts w:ascii="Times New Roman" w:hAnsi="Times New Roman" w:cs="Times New Roman"/>
          <w:color w:val="000000" w:themeColor="text1"/>
          <w:sz w:val="22"/>
          <w:szCs w:val="22"/>
        </w:rPr>
        <w:t xml:space="preserve"> between two boluses) </w:t>
      </w:r>
      <w:r w:rsidRPr="00E36D81">
        <w:rPr>
          <w:rFonts w:ascii="Times New Roman" w:hAnsi="Times New Roman" w:cs="Times New Roman"/>
          <w:color w:val="000000" w:themeColor="text1"/>
          <w:sz w:val="22"/>
          <w:szCs w:val="22"/>
        </w:rPr>
        <w:fldChar w:fldCharType="begin"/>
      </w:r>
      <w:r w:rsidR="00AC216C">
        <w:rPr>
          <w:rFonts w:ascii="Times New Roman" w:hAnsi="Times New Roman" w:cs="Times New Roman"/>
          <w:color w:val="000000" w:themeColor="text1"/>
          <w:sz w:val="22"/>
          <w:szCs w:val="22"/>
        </w:rPr>
        <w:instrText xml:space="preserve"> ADDIN PAPERS2_CITATIONS &lt;citation&gt;&lt;priority&gt;12&lt;/priority&gt;&lt;uuid&gt;5457F3F5-486B-460F-B788-8BEC3D098673&lt;/uuid&gt;&lt;publications&gt;&lt;publication&gt;&lt;subtype&gt;400&lt;/subtype&gt;&lt;title&gt;Development of a universal dual-bolus injection scheme for the quantitative assessment of myocardial perfusion cardiovascular magnetic resonance&lt;/title&gt;&lt;url&gt;https://jcmr-online.biomedcentral.com/articles/10.1186/1532-429X-13-28&lt;/url&gt;&lt;volume&gt;13&lt;/volume&gt;&lt;publication_date&gt;99201105241200000000222000&lt;/publication_date&gt;&lt;uuid&gt;6CB4A532-8B44-49F7-9DB3-D466199D62C0&lt;/uuid&gt;&lt;type&gt;400&lt;/type&gt;&lt;number&gt;1&lt;/number&gt;&lt;doi&gt;10.1186/1532-429X-13-28&lt;/doi&gt;&lt;startpage&gt;73&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Ishida&lt;/lastName&gt;&lt;firstName&gt;Masaki&lt;/firstName&gt;&lt;/author&gt;&lt;author&gt;&lt;lastName&gt;Schuster&lt;/lastName&gt;&lt;firstName&gt;Andreas&lt;/firstName&gt;&lt;/author&gt;&lt;author&gt;&lt;lastName&gt;Morton&lt;/lastName&gt;&lt;firstName&gt;Geraint&lt;/firstName&gt;&lt;/author&gt;&lt;author&gt;&lt;lastName&gt;Chiribiri&lt;/lastName&gt;&lt;firstName&gt;Amedeo&lt;/firstName&gt;&lt;/author&gt;&lt;author&gt;&lt;lastName&gt;Hussain&lt;/lastName&gt;&lt;firstName&gt;Shazia&lt;/firstName&gt;&lt;/author&gt;&lt;author&gt;&lt;lastName&gt;Paul&lt;/lastName&gt;&lt;firstName&gt;Matthias&lt;/firstName&gt;&lt;/author&gt;&lt;author&gt;&lt;lastName&gt;Merkle&lt;/lastName&gt;&lt;firstName&gt;Nico&lt;/firstName&gt;&lt;/author&gt;&lt;author&gt;&lt;lastName&gt;Steen&lt;/lastName&gt;&lt;firstName&gt;Henning&lt;/firstName&gt;&lt;/author&gt;&lt;author&gt;&lt;lastName&gt;Lossnitzer&lt;/lastName&gt;&lt;firstName&gt;Dirk&lt;/firstName&gt;&lt;/author&gt;&lt;author&gt;&lt;lastName&gt;Schnackenburg&lt;/lastName&gt;&lt;firstName&gt;Bernhard&lt;/firstName&gt;&lt;/author&gt;&lt;author&gt;&lt;lastName&gt;Alfakih&lt;/lastName&gt;&lt;firstName&gt;Khaled&lt;/firstName&gt;&lt;/author&gt;&lt;author&gt;&lt;lastName&gt;Plein&lt;/lastName&gt;&lt;firstName&gt;Sven&lt;/firstName&gt;&lt;/author&gt;&lt;author&gt;&lt;lastName&gt;Nagel&lt;/lastName&gt;&lt;firstName&gt;Eike&lt;/firstName&gt;&lt;/author&gt;&lt;/authors&gt;&lt;/publication&gt;&lt;publication&gt;&lt;subtype&gt;400&lt;/subtype&gt;&lt;title&gt;Design and rationale of the MR-INFORM study: stress perfusion cardiovascular magnetic resonance imaging to guide the management of patients with stable coronary artery disease&lt;/title&gt;&lt;url&gt;https://jcmr-online.biomedcentral.com/articles/10.1186/1532-429X-14-65&lt;/url&gt;&lt;volume&gt;14&lt;/volume&gt;&lt;publication_date&gt;99201209191200000000222000&lt;/publication_date&gt;&lt;uuid&gt;08AD5BC6-9B0B-4D31-8A0E-0CF566D1F35C&lt;/uuid&gt;&lt;type&gt;400&lt;/type&gt;&lt;number&gt;1&lt;/number&gt;&lt;doi&gt;10.1186/1532-429X-14-65&lt;/doi&gt;&lt;startpage&gt;1503&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Hussain&lt;/lastName&gt;&lt;firstName&gt;Shazia&lt;/firstName&gt;&lt;middleNames&gt;T&lt;/middleNames&gt;&lt;/author&gt;&lt;author&gt;&lt;lastName&gt;Paul&lt;/lastName&gt;&lt;firstName&gt;Matthias&lt;/firstName&gt;&lt;/author&gt;&lt;author&gt;&lt;lastName&gt;Plein&lt;/lastName&gt;&lt;firstName&gt;Sven&lt;/firstName&gt;&lt;/author&gt;&lt;author&gt;&lt;lastName&gt;McCann&lt;/lastName&gt;&lt;firstName&gt;Gerry&lt;/firstName&gt;&lt;middleNames&gt;P&lt;/middleNames&gt;&lt;/author&gt;&lt;author&gt;&lt;lastName&gt;Shah&lt;/lastName&gt;&lt;firstName&gt;Ajay&lt;/firstName&gt;&lt;middleNames&gt;M&lt;/middleNames&gt;&lt;/author&gt;&lt;author&gt;&lt;lastName&gt;Marber&lt;/lastName&gt;&lt;firstName&gt;Michael&lt;/firstName&gt;&lt;middleNames&gt;S&lt;/middleNames&gt;&lt;/author&gt;&lt;author&gt;&lt;lastName&gt;Chiribiri&lt;/lastName&gt;&lt;firstName&gt;Amedeo&lt;/firstName&gt;&lt;/author&gt;&lt;author&gt;&lt;lastName&gt;Morton&lt;/lastName&gt;&lt;firstName&gt;Geraint&lt;/firstName&gt;&lt;/author&gt;&lt;author&gt;&lt;lastName&gt;Redwood&lt;/lastName&gt;&lt;firstName&gt;Simon&lt;/firstName&gt;&lt;/author&gt;&lt;author&gt;&lt;lastName&gt;MacCarthy&lt;/lastName&gt;&lt;firstName&gt;Philip&lt;/firstName&gt;&lt;/author&gt;&lt;author&gt;&lt;lastName&gt;Schuster&lt;/lastName&gt;&lt;firstName&gt;Andreas&lt;/firstName&gt;&lt;/author&gt;&lt;author&gt;&lt;lastName&gt;Ishida&lt;/lastName&gt;&lt;firstName&gt;Masaki&lt;/firstName&gt;&lt;/author&gt;&lt;author&gt;&lt;lastName&gt;Westwood&lt;/lastName&gt;&lt;firstName&gt;Mark&lt;/firstName&gt;&lt;middleNames&gt;A&lt;/middleNames&gt;&lt;/author&gt;&lt;author&gt;&lt;lastName&gt;Perera&lt;/lastName&gt;&lt;firstName&gt;Divaka&lt;/firstName&gt;&lt;/author&gt;&lt;author&gt;&lt;lastName&gt;Nagel&lt;/lastName&gt;&lt;firstName&gt;Eike&lt;/firstName&gt;&lt;/author&gt;&lt;/authors&gt;&lt;/publication&gt;&lt;/publications&gt;&lt;cites&gt;&lt;/cites&gt;&lt;/citation&gt;</w:instrText>
      </w:r>
      <w:r w:rsidRPr="00E36D81">
        <w:rPr>
          <w:rFonts w:ascii="Times New Roman" w:hAnsi="Times New Roman" w:cs="Times New Roman"/>
          <w:color w:val="000000" w:themeColor="text1"/>
          <w:sz w:val="22"/>
          <w:szCs w:val="22"/>
        </w:rPr>
        <w:fldChar w:fldCharType="separate"/>
      </w:r>
      <w:r w:rsidR="00C97265">
        <w:rPr>
          <w:rFonts w:ascii="Times New Roman" w:hAnsi="Times New Roman" w:cs="Times New Roman"/>
          <w:sz w:val="22"/>
          <w:szCs w:val="22"/>
        </w:rPr>
        <w:t>(4, 5)</w:t>
      </w:r>
      <w:r w:rsidRPr="00E36D81">
        <w:rPr>
          <w:rFonts w:ascii="Times New Roman" w:hAnsi="Times New Roman" w:cs="Times New Roman"/>
          <w:color w:val="000000" w:themeColor="text1"/>
          <w:sz w:val="22"/>
          <w:szCs w:val="22"/>
        </w:rPr>
        <w:fldChar w:fldCharType="end"/>
      </w:r>
      <w:r w:rsidRPr="00E36D81">
        <w:rPr>
          <w:rFonts w:ascii="Times New Roman" w:hAnsi="Times New Roman" w:cs="Times New Roman"/>
          <w:color w:val="000000" w:themeColor="text1"/>
          <w:sz w:val="22"/>
          <w:szCs w:val="22"/>
        </w:rPr>
        <w:t xml:space="preserve">. </w:t>
      </w:r>
      <w:r w:rsidR="00036CED">
        <w:rPr>
          <w:rFonts w:ascii="Times New Roman" w:hAnsi="Times New Roman" w:cs="Times New Roman"/>
          <w:color w:val="000000" w:themeColor="text1"/>
          <w:sz w:val="22"/>
          <w:szCs w:val="22"/>
        </w:rPr>
        <w:t>Three short axis views, defined</w:t>
      </w:r>
      <w:r w:rsidR="00036CED" w:rsidRPr="00E319CB">
        <w:rPr>
          <w:rFonts w:ascii="Times New Roman" w:hAnsi="Times New Roman" w:cs="Times New Roman"/>
          <w:color w:val="000000" w:themeColor="text1"/>
          <w:sz w:val="22"/>
          <w:szCs w:val="22"/>
        </w:rPr>
        <w:t xml:space="preserve"> at 25%, 50% and 75% of end-</w:t>
      </w:r>
      <w:r w:rsidR="00036CED" w:rsidRPr="00E319CB">
        <w:rPr>
          <w:rFonts w:ascii="Times New Roman" w:hAnsi="Times New Roman" w:cs="Times New Roman"/>
          <w:color w:val="000000" w:themeColor="text1"/>
          <w:sz w:val="22"/>
          <w:szCs w:val="22"/>
        </w:rPr>
        <w:lastRenderedPageBreak/>
        <w:t>systolic length of the left ventricle in the 3 and 4-chamber view</w:t>
      </w:r>
      <w:r w:rsidRPr="00E36D81">
        <w:rPr>
          <w:rFonts w:ascii="Times New Roman" w:hAnsi="Times New Roman" w:cs="Times New Roman"/>
          <w:color w:val="000000" w:themeColor="text1"/>
          <w:sz w:val="22"/>
          <w:szCs w:val="22"/>
        </w:rPr>
        <w:t xml:space="preserve"> were acquired at every heartbeat </w:t>
      </w:r>
      <w:r w:rsidRPr="00E36D81">
        <w:rPr>
          <w:rFonts w:ascii="Times New Roman" w:hAnsi="Times New Roman" w:cs="Times New Roman"/>
          <w:color w:val="000000" w:themeColor="text1"/>
          <w:sz w:val="22"/>
          <w:szCs w:val="22"/>
        </w:rPr>
        <w:fldChar w:fldCharType="begin"/>
      </w:r>
      <w:r w:rsidR="00AC216C">
        <w:rPr>
          <w:rFonts w:ascii="Times New Roman" w:hAnsi="Times New Roman" w:cs="Times New Roman"/>
          <w:color w:val="000000" w:themeColor="text1"/>
          <w:sz w:val="22"/>
          <w:szCs w:val="22"/>
        </w:rPr>
        <w:instrText xml:space="preserve"> ADDIN PAPERS2_CITATIONS &lt;citation&gt;&lt;priority&gt;14&lt;/priority&gt;&lt;uuid&gt;B28AEB41-6CC1-4BEF-A57A-A5E7928A0066&lt;/uuid&gt;&lt;publications&gt;&lt;publication&gt;&lt;subtype&gt;400&lt;/subtype&gt;&lt;title&gt;How-to guide on biomarkers: biomarker definitions, validation and applications with examples from cardiovascular disease&lt;/title&gt;&lt;url&gt;http://pmj.bmj.com/cgi/doi/10.1136/pgmj.2008.073759&lt;/url&gt;&lt;volume&gt;85&lt;/volume&gt;&lt;publication_date&gt;99200909291200000000222000&lt;/publication_date&gt;&lt;uuid&gt;3D0B6977-A5CF-4E8A-B18C-279B846B7387&lt;/uuid&gt;&lt;type&gt;400&lt;/type&gt;&lt;number&gt;1008&lt;/number&gt;&lt;doi&gt;10.1136/pgmj.2008.073759&lt;/doi&gt;&lt;startpage&gt;538&lt;/startpage&gt;&lt;endpage&gt;545&lt;/endpage&gt;&lt;bundle&gt;&lt;publication&gt;&lt;title&gt;Postgraduate Medical Journal&lt;/title&gt;&lt;uuid&gt;AE489921-3CBC-4C3A-96C1-950228D81605&lt;/uuid&gt;&lt;subtype&gt;-100&lt;/subtype&gt;&lt;type&gt;-100&lt;/type&gt;&lt;/publication&gt;&lt;/bundle&gt;&lt;authors&gt;&lt;author&gt;&lt;lastName&gt;Puntmann&lt;/lastName&gt;&lt;firstName&gt;V&lt;/firstName&gt;&lt;middleNames&gt;O&lt;/middleNames&gt;&lt;/author&gt;&lt;/authors&gt;&lt;/publication&gt;&lt;/publications&gt;&lt;cites&gt;&lt;/cites&gt;&lt;/citation&gt;</w:instrText>
      </w:r>
      <w:r w:rsidRPr="00E36D81">
        <w:rPr>
          <w:rFonts w:ascii="Times New Roman" w:hAnsi="Times New Roman" w:cs="Times New Roman"/>
          <w:color w:val="000000" w:themeColor="text1"/>
          <w:sz w:val="22"/>
          <w:szCs w:val="22"/>
        </w:rPr>
        <w:fldChar w:fldCharType="separate"/>
      </w:r>
      <w:r w:rsidR="00C97265">
        <w:rPr>
          <w:rFonts w:ascii="Times New Roman" w:hAnsi="Times New Roman" w:cs="Times New Roman"/>
          <w:sz w:val="22"/>
          <w:szCs w:val="22"/>
        </w:rPr>
        <w:t>(6)</w:t>
      </w:r>
      <w:r w:rsidRPr="00E36D81">
        <w:rPr>
          <w:rFonts w:ascii="Times New Roman" w:hAnsi="Times New Roman" w:cs="Times New Roman"/>
          <w:color w:val="000000" w:themeColor="text1"/>
          <w:sz w:val="22"/>
          <w:szCs w:val="22"/>
        </w:rPr>
        <w:fldChar w:fldCharType="end"/>
      </w:r>
      <w:r w:rsidRPr="00E36D81">
        <w:rPr>
          <w:rFonts w:ascii="Times New Roman" w:hAnsi="Times New Roman" w:cs="Times New Roman"/>
          <w:color w:val="000000" w:themeColor="text1"/>
          <w:sz w:val="22"/>
          <w:szCs w:val="22"/>
        </w:rPr>
        <w:t xml:space="preserve">. Sequence parameters include steady-state free precession sequence, TE/TR/flip-angle 2.0/3.5/35-50°, saturation preparation pre-pulse, 100ms pre-pulse delay, typical acquired resolution of 2.5×2.5×8mm. </w:t>
      </w:r>
    </w:p>
    <w:p w14:paraId="09D0BD5F" w14:textId="64139DB0" w:rsidR="00D6609E" w:rsidRPr="00B43006" w:rsidRDefault="00D6609E" w:rsidP="00E36D81">
      <w:pPr>
        <w:pStyle w:val="ListParagraph"/>
        <w:numPr>
          <w:ilvl w:val="0"/>
          <w:numId w:val="6"/>
        </w:numPr>
        <w:spacing w:line="480" w:lineRule="auto"/>
        <w:rPr>
          <w:rFonts w:ascii="Times New Roman" w:hAnsi="Times New Roman" w:cs="Times New Roman"/>
          <w:color w:val="000000" w:themeColor="text1"/>
          <w:sz w:val="22"/>
          <w:szCs w:val="22"/>
          <w:lang w:val="en-US"/>
        </w:rPr>
      </w:pPr>
      <w:r w:rsidRPr="00B43006">
        <w:rPr>
          <w:rFonts w:ascii="Times New Roman" w:hAnsi="Times New Roman" w:cs="Times New Roman"/>
          <w:color w:val="000000" w:themeColor="text1"/>
          <w:sz w:val="22"/>
          <w:szCs w:val="22"/>
        </w:rPr>
        <w:t xml:space="preserve">LGE </w:t>
      </w:r>
      <w:r>
        <w:rPr>
          <w:rFonts w:ascii="Times New Roman" w:hAnsi="Times New Roman" w:cs="Times New Roman"/>
          <w:color w:val="000000" w:themeColor="text1"/>
          <w:sz w:val="22"/>
          <w:szCs w:val="22"/>
        </w:rPr>
        <w:t xml:space="preserve">imaging </w:t>
      </w:r>
      <w:r w:rsidRPr="00B43006">
        <w:rPr>
          <w:rFonts w:ascii="Times New Roman" w:hAnsi="Times New Roman" w:cs="Times New Roman"/>
          <w:color w:val="000000" w:themeColor="text1"/>
          <w:sz w:val="22"/>
          <w:szCs w:val="22"/>
          <w:lang w:val="en-US"/>
        </w:rPr>
        <w:t>was performed using whole heart coverage of SAX slices ~15 m</w:t>
      </w:r>
      <w:r>
        <w:rPr>
          <w:rFonts w:ascii="Times New Roman" w:hAnsi="Times New Roman" w:cs="Times New Roman"/>
          <w:color w:val="000000" w:themeColor="text1"/>
          <w:sz w:val="22"/>
          <w:szCs w:val="22"/>
          <w:lang w:val="en-US"/>
        </w:rPr>
        <w:t>inutes after administration of above bolus of</w:t>
      </w:r>
      <w:r w:rsidRPr="00B43006">
        <w:rPr>
          <w:rFonts w:ascii="Times New Roman" w:hAnsi="Times New Roman" w:cs="Times New Roman"/>
          <w:color w:val="000000" w:themeColor="text1"/>
          <w:sz w:val="22"/>
          <w:szCs w:val="22"/>
          <w:lang w:val="en-US"/>
        </w:rPr>
        <w:t xml:space="preserve"> </w:t>
      </w:r>
      <w:r w:rsidR="00036CED">
        <w:rPr>
          <w:rFonts w:ascii="Times New Roman" w:hAnsi="Times New Roman" w:cs="Times New Roman"/>
          <w:color w:val="000000" w:themeColor="text1"/>
          <w:sz w:val="22"/>
          <w:szCs w:val="22"/>
          <w:lang w:val="en-US"/>
        </w:rPr>
        <w:t xml:space="preserve">0.1 mmol </w:t>
      </w:r>
      <w:r w:rsidRPr="00B43006">
        <w:rPr>
          <w:rFonts w:ascii="Times New Roman" w:hAnsi="Times New Roman" w:cs="Times New Roman"/>
          <w:color w:val="000000" w:themeColor="text1"/>
          <w:sz w:val="22"/>
          <w:szCs w:val="22"/>
          <w:lang w:val="en-US"/>
        </w:rPr>
        <w:t>gadobutrol</w:t>
      </w:r>
      <w:r w:rsidR="00036CED">
        <w:rPr>
          <w:rFonts w:ascii="Times New Roman" w:hAnsi="Times New Roman" w:cs="Times New Roman"/>
          <w:color w:val="000000" w:themeColor="text1"/>
          <w:sz w:val="22"/>
          <w:szCs w:val="22"/>
          <w:lang w:val="en-US"/>
        </w:rPr>
        <w:t>/kg body weight</w:t>
      </w:r>
      <w:r w:rsidRPr="00B43006">
        <w:rPr>
          <w:rFonts w:ascii="Times New Roman" w:hAnsi="Times New Roman" w:cs="Times New Roman"/>
          <w:color w:val="000000" w:themeColor="text1"/>
          <w:sz w:val="22"/>
          <w:szCs w:val="22"/>
          <w:lang w:val="en-US"/>
        </w:rPr>
        <w:t xml:space="preserve"> (Gadovist®, Bayer, Leverkusen, Germany),</w:t>
      </w:r>
      <w:r w:rsidRPr="00B43006">
        <w:rPr>
          <w:rFonts w:ascii="Times New Roman" w:hAnsi="Times New Roman" w:cs="Times New Roman"/>
          <w:color w:val="000000" w:themeColor="text1"/>
          <w:sz w:val="22"/>
          <w:szCs w:val="22"/>
        </w:rPr>
        <w:t xml:space="preserve"> </w:t>
      </w:r>
      <w:r w:rsidRPr="00B43006">
        <w:rPr>
          <w:rFonts w:ascii="Times New Roman" w:hAnsi="Times New Roman" w:cs="Times New Roman"/>
          <w:color w:val="000000" w:themeColor="text1"/>
          <w:sz w:val="22"/>
          <w:szCs w:val="22"/>
          <w:lang w:val="en-US"/>
        </w:rPr>
        <w:t>using a mid-diastolic inversion prepared 2-dimensional gradient echo sequence (TE/TR/flip-angle 2.0 msec/3.4 msec/25°, acquired voxel size 1.4x1.4x8mm) with an individually adapted prepulse delay to achieve optimally nulled myocardium.</w:t>
      </w:r>
    </w:p>
    <w:p w14:paraId="27FD8881" w14:textId="051D1A70" w:rsidR="00D6609E" w:rsidRDefault="00D6609E" w:rsidP="00E36D81">
      <w:pPr>
        <w:pStyle w:val="ListParagraph"/>
        <w:numPr>
          <w:ilvl w:val="0"/>
          <w:numId w:val="6"/>
        </w:numPr>
        <w:spacing w:line="48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en-US"/>
        </w:rPr>
        <w:t xml:space="preserve">T1 mapping: </w:t>
      </w:r>
      <w:r w:rsidRPr="00B43006">
        <w:rPr>
          <w:rFonts w:ascii="Times New Roman" w:hAnsi="Times New Roman" w:cs="Times New Roman"/>
          <w:color w:val="000000" w:themeColor="text1"/>
          <w:sz w:val="22"/>
          <w:szCs w:val="22"/>
          <w:lang w:val="en-US"/>
        </w:rPr>
        <w:t>Balanced steady state free precession single breath-hold modified Look-Locker Imaging (</w:t>
      </w:r>
      <w:r w:rsidR="00120762">
        <w:rPr>
          <w:rFonts w:ascii="Times New Roman" w:hAnsi="Times New Roman" w:cs="Times New Roman"/>
          <w:color w:val="000000" w:themeColor="text1"/>
          <w:sz w:val="22"/>
          <w:szCs w:val="22"/>
          <w:lang w:val="en-US"/>
        </w:rPr>
        <w:t xml:space="preserve">Goethe CVI® </w:t>
      </w:r>
      <w:r w:rsidRPr="00B43006">
        <w:rPr>
          <w:rFonts w:ascii="Times New Roman" w:hAnsi="Times New Roman" w:cs="Times New Roman"/>
          <w:color w:val="000000" w:themeColor="text1"/>
          <w:sz w:val="22"/>
          <w:szCs w:val="22"/>
          <w:lang w:val="en-US"/>
        </w:rPr>
        <w:t>MOLLI)</w:t>
      </w:r>
      <w:r w:rsidRPr="00B43006">
        <w:rPr>
          <w:rFonts w:ascii="Times New Roman" w:hAnsi="Times New Roman" w:cs="Times New Roman"/>
          <w:color w:val="000000" w:themeColor="text1"/>
          <w:sz w:val="22"/>
          <w:szCs w:val="22"/>
        </w:rPr>
        <w:t xml:space="preserve"> </w:t>
      </w:r>
      <w:r w:rsidRPr="00B43006">
        <w:rPr>
          <w:rFonts w:ascii="Times New Roman" w:hAnsi="Times New Roman" w:cs="Times New Roman"/>
          <w:color w:val="000000" w:themeColor="text1"/>
          <w:sz w:val="22"/>
          <w:szCs w:val="22"/>
          <w:lang w:val="en-US"/>
        </w:rPr>
        <w:t>was used for T1 mapping and performed in a single midventricular SAX slice at mid-diastole, prior to contrast administration, respectively (TE/TR/flip-angle: 1.64msec/3.3msec/50°, acquired voxel size 1.8x1.8x8 mm, phase encoding steps n=166, 6/8 half scan, 11 images corresponding to  3 different inversion times using a nonselective 180° prepulse in an algorithm of n-images/n-beats 3(2)3(2)5 MOLLI scheme</w:t>
      </w:r>
      <w:r w:rsidRPr="00B43006">
        <w:rPr>
          <w:rFonts w:ascii="Times New Roman" w:hAnsi="Times New Roman" w:cs="Times New Roman"/>
          <w:color w:val="000000" w:themeColor="text1"/>
          <w:sz w:val="22"/>
          <w:szCs w:val="22"/>
          <w:lang w:val="en-US"/>
        </w:rPr>
        <w:fldChar w:fldCharType="begin"/>
      </w:r>
      <w:r w:rsidR="00AC216C">
        <w:rPr>
          <w:rFonts w:ascii="Times New Roman" w:hAnsi="Times New Roman" w:cs="Times New Roman"/>
          <w:color w:val="000000" w:themeColor="text1"/>
          <w:sz w:val="22"/>
          <w:szCs w:val="22"/>
          <w:lang w:val="en-US"/>
        </w:rPr>
        <w:instrText xml:space="preserve"> ADDIN PAPERS2_CITATIONS &lt;citation&gt;&lt;priority&gt;0&lt;/priority&gt;&lt;uuid&gt;349C16E6-8D6D-4C86-97E8-C01574B815FF&lt;/uuid&gt;&lt;publications&gt;&lt;publication&gt;&lt;subtype&gt;400&lt;/subtype&gt;&lt;title&gt;T1-Mapping and Outcome in Nonischemic Cardiomyopathy&lt;/title&gt;&lt;url&gt;https://linkinghub.elsevier.com/retrieve/pii/S1936878X15009225&lt;/url&gt;&lt;volume&gt;9&lt;/volume&gt;&lt;publication_date&gt;99201601001200000000220000&lt;/publication_date&gt;&lt;uuid&gt;C00F0910-1CF4-4467-9FC2-6A7B83C9EEE6&lt;/uuid&gt;&lt;type&gt;400&lt;/type&gt;&lt;number&gt;1&lt;/number&gt;&lt;doi&gt;10.1016/j.jcmg.2015.12.001&lt;/doi&gt;&lt;startpage&gt;40&lt;/startpage&gt;&lt;endpage&gt;50&lt;/endpage&gt;&lt;bundle&gt;&lt;publication&gt;&lt;title&gt;JACC. Cardiovascular imaging&lt;/title&gt;&lt;uuid&gt;0AE7C6CF-8DE6-4411-AD1E-C76C3D140F4A&lt;/uuid&gt;&lt;subtype&gt;-100&lt;/subtype&gt;&lt;publisher&gt;Elsevier Inc&lt;/publisher&gt;&lt;type&gt;-100&lt;/type&gt;&lt;/publication&gt;&lt;/bundle&gt;&lt;authors&gt;&lt;author&gt;&lt;lastName&gt;Puntmann&lt;/lastName&gt;&lt;firstName&gt;Valentina&lt;/firstName&gt;&lt;middleNames&gt;O&lt;/middleNames&gt;&lt;/author&gt;&lt;author&gt;&lt;lastName&gt;Carr-White&lt;/lastName&gt;&lt;firstName&gt;Gerry&lt;/firstName&gt;&lt;/author&gt;&lt;author&gt;&lt;lastName&gt;Jabbour&lt;/lastName&gt;&lt;firstName&gt;Andrew&lt;/firstName&gt;&lt;/author&gt;&lt;author&gt;&lt;lastName&gt;Yu&lt;/lastName&gt;&lt;firstName&gt;Chung-Yao&lt;/firstName&gt;&lt;/author&gt;&lt;author&gt;&lt;lastName&gt;Gebker&lt;/lastName&gt;&lt;firstName&gt;Rolf&lt;/firstName&gt;&lt;/author&gt;&lt;author&gt;&lt;lastName&gt;Kelle&lt;/lastName&gt;&lt;firstName&gt;Sebastian&lt;/firstName&gt;&lt;/author&gt;&lt;author&gt;&lt;lastName&gt;Hinojar&lt;/lastName&gt;&lt;firstName&gt;Rocio&lt;/firstName&gt;&lt;/author&gt;&lt;author&gt;&lt;lastName&gt;Doltra&lt;/lastName&gt;&lt;firstName&gt;Adelina&lt;/firstName&gt;&lt;/author&gt;&lt;author&gt;&lt;lastName&gt;Varma&lt;/lastName&gt;&lt;firstName&gt;Niharika&lt;/firstName&gt;&lt;/author&gt;&lt;author&gt;&lt;lastName&gt;Child&lt;/lastName&gt;&lt;firstName&gt;Nicholas&lt;/firstName&gt;&lt;/author&gt;&lt;author&gt;&lt;lastName&gt;Rogers&lt;/lastName&gt;&lt;firstName&gt;Toby&lt;/firstName&gt;&lt;/author&gt;&lt;author&gt;&lt;lastName&gt;Suna&lt;/lastName&gt;&lt;firstName&gt;Gonca&lt;/firstName&gt;&lt;/author&gt;&lt;author&gt;&lt;lastName&gt;Arroyo Ucar&lt;/lastName&gt;&lt;firstName&gt;Eduardo&lt;/firstName&gt;&lt;/author&gt;&lt;author&gt;&lt;lastName&gt;Goodman&lt;/lastName&gt;&lt;firstName&gt;Ben&lt;/firstName&gt;&lt;/author&gt;&lt;author&gt;&lt;lastName&gt;Khan&lt;/lastName&gt;&lt;firstName&gt;Sitara&lt;/firstName&gt;&lt;/author&gt;&lt;author&gt;&lt;lastName&gt;Dabir&lt;/lastName&gt;&lt;firstName&gt;Darius&lt;/firstName&gt;&lt;/author&gt;&lt;author&gt;&lt;lastName&gt;Herrmann&lt;/lastName&gt;&lt;firstName&gt;Eva&lt;/firstName&gt;&lt;/author&gt;&lt;author&gt;&lt;lastName&gt;Zeiher&lt;/lastName&gt;&lt;firstName&gt;Andreas&lt;/firstName&gt;&lt;middleNames&gt;M&lt;/middleNames&gt;&lt;/author&gt;&lt;author&gt;&lt;lastName&gt;Nagel&lt;/lastName&gt;&lt;firstName&gt;Eike&lt;/firstName&gt;&lt;/author&gt;&lt;/authors&gt;&lt;/publication&gt;&lt;/publications&gt;&lt;cites&gt;&lt;/cites&gt;&lt;/citation&gt;</w:instrText>
      </w:r>
      <w:r w:rsidRPr="00B43006">
        <w:rPr>
          <w:rFonts w:ascii="Times New Roman" w:hAnsi="Times New Roman" w:cs="Times New Roman"/>
          <w:color w:val="000000" w:themeColor="text1"/>
          <w:sz w:val="22"/>
          <w:szCs w:val="22"/>
          <w:lang w:val="en-US"/>
        </w:rPr>
        <w:fldChar w:fldCharType="separate"/>
      </w:r>
      <w:r w:rsidR="00C97265">
        <w:rPr>
          <w:rFonts w:ascii="Times New Roman" w:hAnsi="Times New Roman" w:cs="Times New Roman"/>
          <w:sz w:val="22"/>
          <w:szCs w:val="22"/>
        </w:rPr>
        <w:t>(1)</w:t>
      </w:r>
      <w:r w:rsidRPr="00B43006">
        <w:rPr>
          <w:rFonts w:ascii="Times New Roman" w:hAnsi="Times New Roman" w:cs="Times New Roman"/>
          <w:color w:val="000000" w:themeColor="text1"/>
          <w:sz w:val="22"/>
          <w:szCs w:val="22"/>
          <w:lang w:val="en-US"/>
        </w:rPr>
        <w:fldChar w:fldCharType="end"/>
      </w:r>
      <w:r w:rsidRPr="00B43006">
        <w:rPr>
          <w:rFonts w:ascii="Times New Roman" w:hAnsi="Times New Roman" w:cs="Times New Roman"/>
          <w:color w:val="000000" w:themeColor="text1"/>
          <w:sz w:val="22"/>
          <w:szCs w:val="22"/>
          <w:lang w:val="en-US"/>
        </w:rPr>
        <w:t xml:space="preserve">. </w:t>
      </w:r>
      <w:r w:rsidRPr="00B43006">
        <w:rPr>
          <w:rFonts w:ascii="Times New Roman" w:hAnsi="Times New Roman" w:cs="Times New Roman"/>
          <w:color w:val="000000" w:themeColor="text1"/>
          <w:sz w:val="22"/>
          <w:szCs w:val="22"/>
        </w:rPr>
        <w:t xml:space="preserve">T1 mapping sequence </w:t>
      </w:r>
      <w:proofErr w:type="spellStart"/>
      <w:r w:rsidRPr="00B43006">
        <w:rPr>
          <w:rFonts w:ascii="Times New Roman" w:hAnsi="Times New Roman" w:cs="Times New Roman"/>
          <w:color w:val="000000" w:themeColor="text1"/>
          <w:sz w:val="22"/>
          <w:szCs w:val="22"/>
        </w:rPr>
        <w:t>examcards</w:t>
      </w:r>
      <w:proofErr w:type="spellEnd"/>
      <w:r w:rsidRPr="00B43006">
        <w:rPr>
          <w:rFonts w:ascii="Times New Roman" w:hAnsi="Times New Roman" w:cs="Times New Roman"/>
          <w:color w:val="000000" w:themeColor="text1"/>
          <w:sz w:val="22"/>
          <w:szCs w:val="22"/>
        </w:rPr>
        <w:t xml:space="preserve"> used in this study have been published previously</w:t>
      </w:r>
      <w:r w:rsidRPr="00B43006">
        <w:rPr>
          <w:rFonts w:ascii="Times New Roman" w:hAnsi="Times New Roman" w:cs="Times New Roman"/>
          <w:color w:val="000000" w:themeColor="text1"/>
          <w:sz w:val="22"/>
          <w:szCs w:val="22"/>
        </w:rPr>
        <w:fldChar w:fldCharType="begin"/>
      </w:r>
      <w:r w:rsidR="00AC216C">
        <w:rPr>
          <w:rFonts w:ascii="Times New Roman" w:hAnsi="Times New Roman" w:cs="Times New Roman"/>
          <w:color w:val="000000" w:themeColor="text1"/>
          <w:sz w:val="22"/>
          <w:szCs w:val="22"/>
        </w:rPr>
        <w:instrText xml:space="preserve"> ADDIN PAPERS2_CITATIONS &lt;citation&gt;&lt;priority&gt;0&lt;/priority&gt;&lt;uuid&gt;D357D5F2-B7A7-4325-9DB4-03A9081E55B5&lt;/uuid&gt;&lt;publications&gt;&lt;publication&gt;&lt;subtype&gt;400&lt;/subtype&gt;&lt;title&gt;T1-Mapping and Outcome in Nonischemic Cardiomyopathy&lt;/title&gt;&lt;url&gt;https://linkinghub.elsevier.com/retrieve/pii/S1936878X15009225&lt;/url&gt;&lt;volume&gt;9&lt;/volume&gt;&lt;publication_date&gt;99201601001200000000220000&lt;/publication_date&gt;&lt;uuid&gt;C00F0910-1CF4-4467-9FC2-6A7B83C9EEE6&lt;/uuid&gt;&lt;type&gt;400&lt;/type&gt;&lt;number&gt;1&lt;/number&gt;&lt;doi&gt;10.1016/j.jcmg.2015.12.001&lt;/doi&gt;&lt;startpage&gt;40&lt;/startpage&gt;&lt;endpage&gt;50&lt;/endpage&gt;&lt;bundle&gt;&lt;publication&gt;&lt;title&gt;JACC. Cardiovascular imaging&lt;/title&gt;&lt;uuid&gt;0AE7C6CF-8DE6-4411-AD1E-C76C3D140F4A&lt;/uuid&gt;&lt;subtype&gt;-100&lt;/subtype&gt;&lt;publisher&gt;Elsevier Inc&lt;/publisher&gt;&lt;type&gt;-100&lt;/type&gt;&lt;/publication&gt;&lt;/bundle&gt;&lt;authors&gt;&lt;author&gt;&lt;lastName&gt;Puntmann&lt;/lastName&gt;&lt;firstName&gt;Valentina&lt;/firstName&gt;&lt;middleNames&gt;O&lt;/middleNames&gt;&lt;/author&gt;&lt;author&gt;&lt;lastName&gt;Carr-White&lt;/lastName&gt;&lt;firstName&gt;Gerry&lt;/firstName&gt;&lt;/author&gt;&lt;author&gt;&lt;lastName&gt;Jabbour&lt;/lastName&gt;&lt;firstName&gt;Andrew&lt;/firstName&gt;&lt;/author&gt;&lt;author&gt;&lt;lastName&gt;Yu&lt;/lastName&gt;&lt;firstName&gt;Chung-Yao&lt;/firstName&gt;&lt;/author&gt;&lt;author&gt;&lt;lastName&gt;Gebker&lt;/lastName&gt;&lt;firstName&gt;Rolf&lt;/firstName&gt;&lt;/author&gt;&lt;author&gt;&lt;lastName&gt;Kelle&lt;/lastName&gt;&lt;firstName&gt;Sebastian&lt;/firstName&gt;&lt;/author&gt;&lt;author&gt;&lt;lastName&gt;Hinojar&lt;/lastName&gt;&lt;firstName&gt;Rocio&lt;/firstName&gt;&lt;/author&gt;&lt;author&gt;&lt;lastName&gt;Doltra&lt;/lastName&gt;&lt;firstName&gt;Adelina&lt;/firstName&gt;&lt;/author&gt;&lt;author&gt;&lt;lastName&gt;Varma&lt;/lastName&gt;&lt;firstName&gt;Niharika&lt;/firstName&gt;&lt;/author&gt;&lt;author&gt;&lt;lastName&gt;Child&lt;/lastName&gt;&lt;firstName&gt;Nicholas&lt;/firstName&gt;&lt;/author&gt;&lt;author&gt;&lt;lastName&gt;Rogers&lt;/lastName&gt;&lt;firstName&gt;Toby&lt;/firstName&gt;&lt;/author&gt;&lt;author&gt;&lt;lastName&gt;Suna&lt;/lastName&gt;&lt;firstName&gt;Gonca&lt;/firstName&gt;&lt;/author&gt;&lt;author&gt;&lt;lastName&gt;Arroyo Ucar&lt;/lastName&gt;&lt;firstName&gt;Eduardo&lt;/firstName&gt;&lt;/author&gt;&lt;author&gt;&lt;lastName&gt;Goodman&lt;/lastName&gt;&lt;firstName&gt;Ben&lt;/firstName&gt;&lt;/author&gt;&lt;author&gt;&lt;lastName&gt;Khan&lt;/lastName&gt;&lt;firstName&gt;Sitara&lt;/firstName&gt;&lt;/author&gt;&lt;author&gt;&lt;lastName&gt;Dabir&lt;/lastName&gt;&lt;firstName&gt;Darius&lt;/firstName&gt;&lt;/author&gt;&lt;author&gt;&lt;lastName&gt;Herrmann&lt;/lastName&gt;&lt;firstName&gt;Eva&lt;/firstName&gt;&lt;/author&gt;&lt;author&gt;&lt;lastName&gt;Zeiher&lt;/lastName&gt;&lt;firstName&gt;Andreas&lt;/firstName&gt;&lt;middleNames&gt;M&lt;/middleNames&gt;&lt;/author&gt;&lt;author&gt;&lt;lastName&gt;Nagel&lt;/lastName&gt;&lt;firstName&gt;Eike&lt;/firstName&gt;&lt;/author&gt;&lt;/authors&gt;&lt;/publication&gt;&lt;/publications&gt;&lt;cites&gt;&lt;/cites&gt;&lt;/citation&gt;</w:instrText>
      </w:r>
      <w:r w:rsidRPr="00B43006">
        <w:rPr>
          <w:rFonts w:ascii="Times New Roman" w:hAnsi="Times New Roman" w:cs="Times New Roman"/>
          <w:color w:val="000000" w:themeColor="text1"/>
          <w:sz w:val="22"/>
          <w:szCs w:val="22"/>
        </w:rPr>
        <w:fldChar w:fldCharType="separate"/>
      </w:r>
      <w:r w:rsidR="00C97265">
        <w:rPr>
          <w:rFonts w:ascii="Times New Roman" w:hAnsi="Times New Roman" w:cs="Times New Roman"/>
          <w:sz w:val="22"/>
          <w:szCs w:val="22"/>
        </w:rPr>
        <w:t>(1)</w:t>
      </w:r>
      <w:r w:rsidRPr="00B43006">
        <w:rPr>
          <w:rFonts w:ascii="Times New Roman" w:hAnsi="Times New Roman" w:cs="Times New Roman"/>
          <w:color w:val="000000" w:themeColor="text1"/>
          <w:sz w:val="22"/>
          <w:szCs w:val="22"/>
        </w:rPr>
        <w:fldChar w:fldCharType="end"/>
      </w:r>
      <w:r w:rsidRPr="008D067F">
        <w:rPr>
          <w:rFonts w:ascii="Times New Roman" w:hAnsi="Times New Roman" w:cs="Times New Roman"/>
          <w:color w:val="000000" w:themeColor="text1"/>
          <w:sz w:val="22"/>
          <w:szCs w:val="22"/>
        </w:rPr>
        <w:t>.</w:t>
      </w:r>
    </w:p>
    <w:p w14:paraId="446A9009" w14:textId="4909B20D" w:rsidR="00D6609E" w:rsidRPr="00337116" w:rsidRDefault="00D6609E" w:rsidP="00E36D81">
      <w:pPr>
        <w:pStyle w:val="ListParagraph"/>
        <w:numPr>
          <w:ilvl w:val="0"/>
          <w:numId w:val="6"/>
        </w:numPr>
        <w:spacing w:line="480" w:lineRule="auto"/>
        <w:rPr>
          <w:rFonts w:ascii="Times New Roman" w:hAnsi="Times New Roman" w:cs="Times New Roman"/>
          <w:color w:val="000000" w:themeColor="text1"/>
          <w:sz w:val="22"/>
          <w:szCs w:val="22"/>
        </w:rPr>
      </w:pPr>
      <w:r w:rsidRPr="00CD7445">
        <w:rPr>
          <w:rFonts w:ascii="Times New Roman" w:hAnsi="Times New Roman" w:cs="Times New Roman" w:hint="cs"/>
          <w:color w:val="000000" w:themeColor="text1"/>
          <w:sz w:val="22"/>
          <w:szCs w:val="22"/>
        </w:rPr>
        <w:t xml:space="preserve">T2-prepared SSFP pulse sequence </w:t>
      </w:r>
      <w:r>
        <w:rPr>
          <w:rFonts w:ascii="Times New Roman" w:hAnsi="Times New Roman" w:cs="Times New Roman"/>
          <w:color w:val="000000" w:themeColor="text1"/>
          <w:sz w:val="22"/>
          <w:szCs w:val="22"/>
        </w:rPr>
        <w:t>(T2-FLASH)</w:t>
      </w:r>
      <w:r>
        <w:rPr>
          <w:rFonts w:ascii="Times New Roman" w:hAnsi="Times New Roman" w:cs="Times New Roman"/>
          <w:sz w:val="22"/>
          <w:szCs w:val="22"/>
          <w:lang w:val="en-US"/>
        </w:rPr>
        <w:fldChar w:fldCharType="begin"/>
      </w:r>
      <w:r w:rsidR="00AC216C">
        <w:rPr>
          <w:rFonts w:ascii="Times New Roman" w:hAnsi="Times New Roman" w:cs="Times New Roman"/>
          <w:sz w:val="22"/>
          <w:szCs w:val="22"/>
          <w:lang w:val="en-US"/>
        </w:rPr>
        <w:instrText xml:space="preserve"> ADDIN PAPERS2_CITATIONS &lt;citation&gt;&lt;priority&gt;2&lt;/priority&gt;&lt;uuid&gt;3B4916B7-0FCD-4732-AB39-D94D1C3792A7&lt;/uuid&gt;&lt;publications&gt;&lt;publication&gt;&lt;subtype&gt;400&lt;/subtype&gt;&lt;title&gt;T2 quantification for improved detection of myocardial edema&lt;/title&gt;&lt;url&gt;http://jcmr-online.biomedcentral.com/articles/10.1186/1532-429X-11-56&lt;/url&gt;&lt;volume&gt;11&lt;/volume&gt;&lt;publication_date&gt;99200900001200000000200000&lt;/publication_date&gt;&lt;uuid&gt;8274C70C-93EF-43C4-92C2-3F724AE5ABA5&lt;/uuid&gt;&lt;type&gt;400&lt;/type&gt;&lt;number&gt;1&lt;/number&gt;&lt;doi&gt;10.1186/1532-429X-11-56&lt;/doi&gt;&lt;startpage&gt;56&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Giri&lt;/lastName&gt;&lt;firstName&gt;Shivraman&lt;/firstName&gt;&lt;/author&gt;&lt;author&gt;&lt;lastName&gt;Chung&lt;/lastName&gt;&lt;firstName&gt;Yiu-Cho&lt;/firstName&gt;&lt;/author&gt;&lt;author&gt;&lt;lastName&gt;Merchant&lt;/lastName&gt;&lt;firstName&gt;Ali&lt;/firstName&gt;&lt;/author&gt;&lt;author&gt;&lt;lastName&gt;Mihai&lt;/lastName&gt;&lt;firstName&gt;Georgeta&lt;/firstName&gt;&lt;/author&gt;&lt;author&gt;&lt;lastName&gt;Rajagopalan&lt;/lastName&gt;&lt;firstName&gt;Sanjay&lt;/firstName&gt;&lt;/author&gt;&lt;author&gt;&lt;lastName&gt;Raman&lt;/lastName&gt;&lt;firstName&gt;Subha&lt;/firstName&gt;&lt;middleNames&gt;V&lt;/middleNames&gt;&lt;/author&gt;&lt;author&gt;&lt;lastName&gt;Simonetti&lt;/lastName&gt;&lt;firstName&gt;Orlando&lt;/firstName&gt;&lt;middleNames&gt;P&lt;/middleNames&gt;&lt;/author&gt;&lt;/authors&gt;&lt;/publication&gt;&lt;/publications&gt;&lt;cites&gt;&lt;/cites&gt;&lt;/citation&gt;</w:instrText>
      </w:r>
      <w:r>
        <w:rPr>
          <w:rFonts w:ascii="Times New Roman" w:hAnsi="Times New Roman" w:cs="Times New Roman"/>
          <w:sz w:val="22"/>
          <w:szCs w:val="22"/>
          <w:lang w:val="en-US"/>
        </w:rPr>
        <w:fldChar w:fldCharType="separate"/>
      </w:r>
      <w:r w:rsidR="00C97265">
        <w:rPr>
          <w:rFonts w:ascii="Times New Roman" w:hAnsi="Times New Roman" w:cs="Times New Roman"/>
          <w:sz w:val="22"/>
          <w:szCs w:val="22"/>
        </w:rPr>
        <w:t>(7)</w:t>
      </w:r>
      <w:r>
        <w:rPr>
          <w:rFonts w:ascii="Times New Roman" w:hAnsi="Times New Roman" w:cs="Times New Roman"/>
          <w:sz w:val="22"/>
          <w:szCs w:val="22"/>
          <w:lang w:val="en-US"/>
        </w:rPr>
        <w:fldChar w:fldCharType="end"/>
      </w:r>
      <w:r w:rsidR="00036CED">
        <w:rPr>
          <w:rFonts w:ascii="Times New Roman" w:hAnsi="Times New Roman" w:cs="Times New Roman"/>
          <w:color w:val="000000" w:themeColor="text1"/>
          <w:sz w:val="22"/>
          <w:szCs w:val="22"/>
        </w:rPr>
        <w:t xml:space="preserve">: </w:t>
      </w:r>
      <w:r w:rsidRPr="00CD7445">
        <w:rPr>
          <w:rFonts w:ascii="Times New Roman" w:hAnsi="Times New Roman" w:cs="Times New Roman"/>
          <w:color w:val="000000" w:themeColor="text1"/>
          <w:sz w:val="22"/>
          <w:szCs w:val="22"/>
        </w:rPr>
        <w:t>A T2-prepared steady-state free precession sequence was used to generate three T2W images with different T2 preparation times (TE</w:t>
      </w:r>
      <w:r>
        <w:rPr>
          <w:rFonts w:ascii="Times New Roman" w:hAnsi="Times New Roman" w:cs="Times New Roman"/>
          <w:color w:val="000000" w:themeColor="text1"/>
          <w:sz w:val="22"/>
          <w:szCs w:val="22"/>
        </w:rPr>
        <w:t xml:space="preserve"> </w:t>
      </w:r>
      <w:r w:rsidRPr="00CD7445">
        <w:rPr>
          <w:rFonts w:ascii="Times New Roman" w:hAnsi="Times New Roman" w:cs="Times New Roman"/>
          <w:color w:val="000000" w:themeColor="text1"/>
          <w:sz w:val="22"/>
          <w:szCs w:val="22"/>
        </w:rPr>
        <w:t xml:space="preserve">T2P = 0 ms, 24 ms, 55 ms). </w:t>
      </w:r>
      <w:r>
        <w:rPr>
          <w:rFonts w:ascii="Times New Roman" w:hAnsi="Times New Roman" w:cs="Times New Roman"/>
          <w:color w:val="000000" w:themeColor="text1"/>
          <w:sz w:val="22"/>
          <w:szCs w:val="22"/>
        </w:rPr>
        <w:t xml:space="preserve">Other sequence parameters include repetition time </w:t>
      </w:r>
      <w:r w:rsidRPr="00337116">
        <w:rPr>
          <w:rFonts w:ascii="Times New Roman" w:hAnsi="Times New Roman" w:cs="Times New Roman" w:hint="cs"/>
          <w:color w:val="000000" w:themeColor="text1"/>
          <w:sz w:val="22"/>
          <w:szCs w:val="22"/>
        </w:rPr>
        <w:t>3 × RR</w:t>
      </w:r>
      <w:r w:rsidRPr="00337116">
        <w:rPr>
          <w:rFonts w:ascii="Times New Roman" w:hAnsi="Times New Roman" w:cs="Times New Roman"/>
          <w:color w:val="000000" w:themeColor="text1"/>
          <w:sz w:val="22"/>
          <w:szCs w:val="22"/>
        </w:rPr>
        <w:t xml:space="preserve">, acquisition time 7xRR, image matrix </w:t>
      </w:r>
      <w:r w:rsidRPr="00337116">
        <w:rPr>
          <w:rFonts w:ascii="Times New Roman" w:hAnsi="Times New Roman" w:cs="Times New Roman" w:hint="cs"/>
          <w:color w:val="000000" w:themeColor="text1"/>
          <w:sz w:val="22"/>
          <w:szCs w:val="22"/>
        </w:rPr>
        <w:t>96 × 160</w:t>
      </w:r>
      <w:r w:rsidRPr="00337116">
        <w:rPr>
          <w:rFonts w:ascii="Times New Roman" w:hAnsi="Times New Roman" w:cs="Times New Roman"/>
          <w:color w:val="000000" w:themeColor="text1"/>
          <w:sz w:val="22"/>
          <w:szCs w:val="22"/>
        </w:rPr>
        <w:t>,</w:t>
      </w:r>
      <w:r w:rsidRPr="00337116">
        <w:rPr>
          <w:rFonts w:ascii="Times New Roman" w:hAnsi="Times New Roman" w:cs="Times New Roman" w:hint="cs"/>
          <w:color w:val="000000" w:themeColor="text1"/>
          <w:sz w:val="22"/>
          <w:szCs w:val="22"/>
        </w:rPr>
        <w:t xml:space="preserve"> </w:t>
      </w:r>
      <w:r w:rsidRPr="00337116">
        <w:rPr>
          <w:rFonts w:ascii="Times New Roman" w:hAnsi="Times New Roman" w:cs="Times New Roman"/>
          <w:color w:val="000000" w:themeColor="text1"/>
          <w:sz w:val="22"/>
          <w:szCs w:val="22"/>
        </w:rPr>
        <w:t>echo spacing (ms)</w:t>
      </w:r>
      <w:r w:rsidRPr="00337116">
        <w:rPr>
          <w:rFonts w:ascii="Times New Roman" w:hAnsi="Times New Roman" w:cs="Times New Roman" w:hint="cs"/>
          <w:color w:val="000000" w:themeColor="text1"/>
          <w:sz w:val="22"/>
          <w:szCs w:val="22"/>
        </w:rPr>
        <w:t xml:space="preserve"> 2.6</w:t>
      </w:r>
      <w:r w:rsidRPr="00337116">
        <w:rPr>
          <w:rFonts w:ascii="Times New Roman" w:hAnsi="Times New Roman" w:cs="Times New Roman"/>
          <w:color w:val="000000" w:themeColor="text1"/>
          <w:sz w:val="22"/>
          <w:szCs w:val="22"/>
        </w:rPr>
        <w:t>, s</w:t>
      </w:r>
      <w:r w:rsidRPr="00337116">
        <w:rPr>
          <w:rFonts w:ascii="Times New Roman" w:hAnsi="Times New Roman" w:cs="Times New Roman" w:hint="cs"/>
          <w:color w:val="000000" w:themeColor="text1"/>
          <w:sz w:val="22"/>
          <w:szCs w:val="22"/>
        </w:rPr>
        <w:t xml:space="preserve">ingle shot </w:t>
      </w:r>
      <w:r w:rsidRPr="00337116">
        <w:rPr>
          <w:rFonts w:ascii="Times New Roman" w:hAnsi="Times New Roman" w:cs="Times New Roman"/>
          <w:color w:val="000000" w:themeColor="text1"/>
          <w:sz w:val="22"/>
          <w:szCs w:val="22"/>
        </w:rPr>
        <w:t>acquisition, flip angle</w:t>
      </w:r>
      <w:r w:rsidRPr="00337116">
        <w:rPr>
          <w:rFonts w:ascii="Times New Roman" w:hAnsi="Times New Roman" w:cs="Times New Roman" w:hint="cs"/>
          <w:color w:val="000000" w:themeColor="text1"/>
          <w:sz w:val="22"/>
          <w:szCs w:val="22"/>
        </w:rPr>
        <w:t xml:space="preserve"> 40°</w:t>
      </w:r>
      <w:r w:rsidRPr="00337116">
        <w:rPr>
          <w:rFonts w:ascii="Times New Roman" w:hAnsi="Times New Roman" w:cs="Times New Roman"/>
          <w:color w:val="000000" w:themeColor="text1"/>
          <w:sz w:val="22"/>
          <w:szCs w:val="22"/>
        </w:rPr>
        <w:t>, bandwi</w:t>
      </w:r>
      <w:r w:rsidR="00036CED">
        <w:rPr>
          <w:rFonts w:ascii="Times New Roman" w:hAnsi="Times New Roman" w:cs="Times New Roman"/>
          <w:color w:val="000000" w:themeColor="text1"/>
          <w:sz w:val="22"/>
          <w:szCs w:val="22"/>
        </w:rPr>
        <w:t>d</w:t>
      </w:r>
      <w:r w:rsidRPr="00337116">
        <w:rPr>
          <w:rFonts w:ascii="Times New Roman" w:hAnsi="Times New Roman" w:cs="Times New Roman"/>
          <w:color w:val="000000" w:themeColor="text1"/>
          <w:sz w:val="22"/>
          <w:szCs w:val="22"/>
        </w:rPr>
        <w:t>th</w:t>
      </w:r>
      <w:r w:rsidRPr="00337116">
        <w:rPr>
          <w:rFonts w:ascii="Times New Roman" w:hAnsi="Times New Roman" w:cs="Times New Roman" w:hint="cs"/>
          <w:color w:val="000000" w:themeColor="text1"/>
          <w:sz w:val="22"/>
          <w:szCs w:val="22"/>
        </w:rPr>
        <w:t xml:space="preserve"> 1488</w:t>
      </w:r>
      <w:r w:rsidRPr="00337116">
        <w:rPr>
          <w:rFonts w:ascii="Times New Roman" w:hAnsi="Times New Roman" w:cs="Times New Roman"/>
          <w:color w:val="000000" w:themeColor="text1"/>
          <w:sz w:val="22"/>
          <w:szCs w:val="22"/>
        </w:rPr>
        <w:t>, parallel acquisition (acceleration)</w:t>
      </w:r>
      <w:r w:rsidRPr="00337116">
        <w:rPr>
          <w:rFonts w:ascii="Times New Roman" w:hAnsi="Times New Roman" w:cs="Times New Roman" w:hint="cs"/>
          <w:color w:val="000000" w:themeColor="text1"/>
          <w:sz w:val="22"/>
          <w:szCs w:val="22"/>
        </w:rPr>
        <w:t xml:space="preserve"> GRAPPA</w:t>
      </w:r>
      <w:r w:rsidRPr="00337116">
        <w:rPr>
          <w:rFonts w:ascii="Times New Roman" w:hAnsi="Times New Roman" w:cs="Times New Roman"/>
          <w:color w:val="000000" w:themeColor="text1"/>
          <w:sz w:val="22"/>
          <w:szCs w:val="22"/>
        </w:rPr>
        <w:t xml:space="preserve"> </w:t>
      </w:r>
      <w:r w:rsidRPr="00337116">
        <w:rPr>
          <w:rFonts w:ascii="Times New Roman" w:hAnsi="Times New Roman" w:cs="Times New Roman" w:hint="cs"/>
          <w:color w:val="000000" w:themeColor="text1"/>
          <w:sz w:val="22"/>
          <w:szCs w:val="22"/>
        </w:rPr>
        <w:t>2</w:t>
      </w:r>
      <w:r w:rsidRPr="00337116">
        <w:rPr>
          <w:rFonts w:ascii="Times New Roman" w:hAnsi="Times New Roman" w:cs="Times New Roman"/>
          <w:color w:val="000000" w:themeColor="text1"/>
          <w:sz w:val="22"/>
          <w:szCs w:val="22"/>
        </w:rPr>
        <w:t xml:space="preserve">. </w:t>
      </w:r>
      <w:r w:rsidRPr="00337116">
        <w:rPr>
          <w:rFonts w:ascii="Times New Roman" w:hAnsi="Times New Roman" w:cs="Times New Roman" w:hint="cs"/>
          <w:color w:val="000000" w:themeColor="text1"/>
          <w:sz w:val="22"/>
          <w:szCs w:val="22"/>
        </w:rPr>
        <w:t xml:space="preserve"> </w:t>
      </w:r>
    </w:p>
    <w:p w14:paraId="4D5C527D" w14:textId="77777777" w:rsidR="00D803F1" w:rsidRDefault="00D803F1" w:rsidP="00E36D81">
      <w:pPr>
        <w:spacing w:line="480" w:lineRule="auto"/>
        <w:rPr>
          <w:rFonts w:ascii="Times New Roman" w:hAnsi="Times New Roman" w:cs="Times New Roman"/>
          <w:b/>
          <w:color w:val="000000" w:themeColor="text1"/>
          <w:sz w:val="22"/>
          <w:szCs w:val="22"/>
          <w:lang w:val="en-US"/>
        </w:rPr>
      </w:pPr>
    </w:p>
    <w:p w14:paraId="0ED86786" w14:textId="61B73AEC" w:rsidR="00D803F1" w:rsidRPr="00E36D81" w:rsidRDefault="00D803F1" w:rsidP="00E36D81">
      <w:pPr>
        <w:spacing w:line="480" w:lineRule="auto"/>
        <w:rPr>
          <w:rFonts w:ascii="Times New Roman" w:hAnsi="Times New Roman" w:cs="Times New Roman"/>
          <w:b/>
          <w:color w:val="000000" w:themeColor="text1"/>
          <w:sz w:val="22"/>
          <w:szCs w:val="22"/>
          <w:lang w:val="en-US"/>
        </w:rPr>
      </w:pPr>
      <w:r w:rsidRPr="00E36D81">
        <w:rPr>
          <w:rFonts w:ascii="Times New Roman" w:hAnsi="Times New Roman" w:cs="Times New Roman"/>
          <w:b/>
          <w:color w:val="000000" w:themeColor="text1"/>
          <w:sz w:val="22"/>
          <w:szCs w:val="22"/>
          <w:lang w:val="en-US"/>
        </w:rPr>
        <w:t>Image analysis</w:t>
      </w:r>
    </w:p>
    <w:p w14:paraId="1F0831F5" w14:textId="77777777" w:rsidR="00D803F1" w:rsidRPr="00E36D81" w:rsidRDefault="00D803F1" w:rsidP="00E36D81">
      <w:pPr>
        <w:spacing w:line="480" w:lineRule="auto"/>
        <w:rPr>
          <w:rFonts w:ascii="Times New Roman" w:hAnsi="Times New Roman" w:cs="Times New Roman"/>
          <w:color w:val="000000" w:themeColor="text1"/>
          <w:sz w:val="22"/>
          <w:szCs w:val="22"/>
          <w:lang w:val="en-US"/>
        </w:rPr>
      </w:pPr>
      <w:r w:rsidRPr="00E36D81">
        <w:rPr>
          <w:rFonts w:ascii="Times New Roman" w:hAnsi="Times New Roman" w:cs="Times New Roman"/>
          <w:color w:val="000000" w:themeColor="text1"/>
          <w:sz w:val="22"/>
          <w:szCs w:val="22"/>
          <w:lang w:val="en-US"/>
        </w:rPr>
        <w:t>Assessment of cardiac volumes and LV mass was performed using semi-automated contour detection (</w:t>
      </w:r>
      <w:proofErr w:type="spellStart"/>
      <w:r w:rsidRPr="00E36D81">
        <w:rPr>
          <w:rFonts w:ascii="Times New Roman" w:hAnsi="Times New Roman" w:cs="Times New Roman"/>
          <w:color w:val="000000" w:themeColor="text1"/>
          <w:sz w:val="22"/>
          <w:szCs w:val="22"/>
          <w:lang w:val="en-US"/>
        </w:rPr>
        <w:t>SuiteHeart</w:t>
      </w:r>
      <w:proofErr w:type="spellEnd"/>
      <w:r w:rsidRPr="00E36D81">
        <w:rPr>
          <w:rFonts w:ascii="Times New Roman" w:hAnsi="Times New Roman" w:cs="Times New Roman"/>
          <w:color w:val="000000" w:themeColor="text1"/>
          <w:sz w:val="22"/>
          <w:szCs w:val="22"/>
          <w:lang w:val="en-US"/>
        </w:rPr>
        <w:t xml:space="preserve">®, </w:t>
      </w:r>
      <w:proofErr w:type="spellStart"/>
      <w:r w:rsidRPr="00E36D81">
        <w:rPr>
          <w:rFonts w:ascii="Times New Roman" w:hAnsi="Times New Roman" w:cs="Times New Roman"/>
          <w:color w:val="000000" w:themeColor="text1"/>
          <w:sz w:val="22"/>
          <w:szCs w:val="22"/>
          <w:lang w:val="en-US"/>
        </w:rPr>
        <w:t>Neosoft</w:t>
      </w:r>
      <w:proofErr w:type="spellEnd"/>
      <w:r w:rsidRPr="00E36D81">
        <w:rPr>
          <w:rFonts w:ascii="Times New Roman" w:hAnsi="Times New Roman" w:cs="Times New Roman"/>
          <w:color w:val="000000" w:themeColor="text1"/>
          <w:sz w:val="22"/>
          <w:szCs w:val="22"/>
          <w:lang w:val="en-US"/>
        </w:rPr>
        <w:t>, Pewaukee, WI). Endocardial LV borders were traced at end-</w:t>
      </w:r>
      <w:r w:rsidRPr="00E36D81">
        <w:rPr>
          <w:rFonts w:ascii="Times New Roman" w:hAnsi="Times New Roman" w:cs="Times New Roman"/>
          <w:color w:val="000000" w:themeColor="text1"/>
          <w:sz w:val="22"/>
          <w:szCs w:val="22"/>
          <w:lang w:val="en-US"/>
        </w:rPr>
        <w:lastRenderedPageBreak/>
        <w:t>diastole and end-systole. The papillary muscles were included as part of the LV cavity volume. LV end-diastolic (EDV) and end-systolic (ESV) volumes were determined using rule of discs. Ejection fraction (EF) was computed as EDV-ESV/EDV. All volumetric indices were normalized to body surface area (BSA).</w:t>
      </w:r>
    </w:p>
    <w:p w14:paraId="04E788F4" w14:textId="1060D678" w:rsidR="00D803F1" w:rsidRPr="00E36D81" w:rsidRDefault="00D803F1" w:rsidP="00E36D81">
      <w:pPr>
        <w:spacing w:line="480" w:lineRule="auto"/>
        <w:rPr>
          <w:rFonts w:ascii="Times New Roman" w:hAnsi="Times New Roman" w:cs="Times New Roman"/>
          <w:color w:val="000000" w:themeColor="text1"/>
          <w:sz w:val="22"/>
          <w:szCs w:val="22"/>
          <w:lang w:val="en-US"/>
        </w:rPr>
      </w:pPr>
      <w:r w:rsidRPr="00E36D81">
        <w:rPr>
          <w:rFonts w:ascii="Times New Roman" w:hAnsi="Times New Roman" w:cs="Times New Roman"/>
          <w:color w:val="000000" w:themeColor="text1"/>
          <w:sz w:val="22"/>
          <w:szCs w:val="22"/>
          <w:lang w:val="en-US"/>
        </w:rPr>
        <w:t>All patients are informed about the importance of their breath holding before scanning</w:t>
      </w:r>
      <w:r>
        <w:rPr>
          <w:rFonts w:ascii="Times New Roman" w:hAnsi="Times New Roman" w:cs="Times New Roman"/>
          <w:color w:val="000000" w:themeColor="text1"/>
          <w:sz w:val="22"/>
          <w:szCs w:val="22"/>
          <w:lang w:val="en-US"/>
        </w:rPr>
        <w:t xml:space="preserve">, specifically for mapping </w:t>
      </w:r>
      <w:r w:rsidR="00E36D81">
        <w:rPr>
          <w:rFonts w:ascii="Times New Roman" w:hAnsi="Times New Roman" w:cs="Times New Roman"/>
          <w:color w:val="000000" w:themeColor="text1"/>
          <w:sz w:val="22"/>
          <w:szCs w:val="22"/>
          <w:lang w:val="en-US"/>
        </w:rPr>
        <w:t>acquisitions</w:t>
      </w:r>
      <w:r w:rsidRPr="00E36D81">
        <w:rPr>
          <w:rFonts w:ascii="Times New Roman" w:hAnsi="Times New Roman" w:cs="Times New Roman"/>
          <w:color w:val="000000" w:themeColor="text1"/>
          <w:sz w:val="22"/>
          <w:szCs w:val="22"/>
          <w:lang w:val="en-US"/>
        </w:rPr>
        <w:t xml:space="preserve">. We conduct strict quality control of images routinely while scanning, by inspecting any breathing motion during data acquisition, assessing the quality of the maps during the acquisition, by examining the measurements, the mean, max and min values within the ROI to avoid blood contamination, etc. </w:t>
      </w:r>
      <w:r w:rsidR="00C45192">
        <w:rPr>
          <w:rFonts w:ascii="Times New Roman" w:hAnsi="Times New Roman" w:cs="Times New Roman"/>
          <w:color w:val="000000" w:themeColor="text1"/>
          <w:sz w:val="22"/>
          <w:szCs w:val="22"/>
          <w:lang w:val="en-US"/>
        </w:rPr>
        <w:t>All staff at our institution</w:t>
      </w:r>
      <w:r w:rsidRPr="00E36D81">
        <w:rPr>
          <w:rFonts w:ascii="Times New Roman" w:hAnsi="Times New Roman" w:cs="Times New Roman"/>
          <w:color w:val="000000" w:themeColor="text1"/>
          <w:sz w:val="22"/>
          <w:szCs w:val="22"/>
          <w:lang w:val="en-US"/>
        </w:rPr>
        <w:t xml:space="preserve"> undergo extensive training in CMR</w:t>
      </w:r>
      <w:r w:rsidR="00C45192">
        <w:rPr>
          <w:rFonts w:ascii="Times New Roman" w:hAnsi="Times New Roman" w:cs="Times New Roman"/>
          <w:color w:val="000000" w:themeColor="text1"/>
          <w:sz w:val="22"/>
          <w:szCs w:val="22"/>
          <w:lang w:val="en-US"/>
        </w:rPr>
        <w:t xml:space="preserve"> scanning</w:t>
      </w:r>
      <w:r w:rsidRPr="00E36D81">
        <w:rPr>
          <w:rFonts w:ascii="Times New Roman" w:hAnsi="Times New Roman" w:cs="Times New Roman"/>
          <w:color w:val="000000" w:themeColor="text1"/>
          <w:sz w:val="22"/>
          <w:szCs w:val="22"/>
          <w:lang w:val="en-US"/>
        </w:rPr>
        <w:t xml:space="preserve"> and </w:t>
      </w:r>
      <w:r w:rsidR="00C45192">
        <w:rPr>
          <w:rFonts w:ascii="Times New Roman" w:hAnsi="Times New Roman" w:cs="Times New Roman"/>
          <w:color w:val="000000" w:themeColor="text1"/>
          <w:sz w:val="22"/>
          <w:szCs w:val="22"/>
          <w:lang w:val="en-US"/>
        </w:rPr>
        <w:t xml:space="preserve">in </w:t>
      </w:r>
      <w:r>
        <w:rPr>
          <w:rFonts w:ascii="Times New Roman" w:hAnsi="Times New Roman" w:cs="Times New Roman"/>
          <w:color w:val="000000" w:themeColor="text1"/>
          <w:sz w:val="22"/>
          <w:szCs w:val="22"/>
          <w:lang w:val="en-US"/>
        </w:rPr>
        <w:t xml:space="preserve">acquisition of </w:t>
      </w:r>
      <w:r w:rsidRPr="00E36D81">
        <w:rPr>
          <w:rFonts w:ascii="Times New Roman" w:hAnsi="Times New Roman" w:cs="Times New Roman"/>
          <w:color w:val="000000" w:themeColor="text1"/>
          <w:sz w:val="22"/>
          <w:szCs w:val="22"/>
          <w:lang w:val="en-US"/>
        </w:rPr>
        <w:t>mapping techniques</w:t>
      </w:r>
      <w:r>
        <w:rPr>
          <w:rFonts w:ascii="Times New Roman" w:hAnsi="Times New Roman" w:cs="Times New Roman"/>
          <w:color w:val="000000" w:themeColor="text1"/>
          <w:sz w:val="22"/>
          <w:szCs w:val="22"/>
          <w:lang w:val="en-US"/>
        </w:rPr>
        <w:t xml:space="preserve"> in particular</w:t>
      </w:r>
      <w:r w:rsidRPr="00E36D81">
        <w:rPr>
          <w:rFonts w:ascii="Times New Roman" w:hAnsi="Times New Roman" w:cs="Times New Roman"/>
          <w:color w:val="000000" w:themeColor="text1"/>
          <w:sz w:val="22"/>
          <w:szCs w:val="22"/>
          <w:lang w:val="en-US"/>
        </w:rPr>
        <w:t xml:space="preserve">. </w:t>
      </w:r>
    </w:p>
    <w:p w14:paraId="4204A010" w14:textId="77777777" w:rsidR="00110856" w:rsidRDefault="002077D3" w:rsidP="00B16A7D">
      <w:pPr>
        <w:widowControl w:val="0"/>
        <w:autoSpaceDE w:val="0"/>
        <w:autoSpaceDN w:val="0"/>
        <w:adjustRightInd w:val="0"/>
        <w:spacing w:after="240" w:line="480" w:lineRule="auto"/>
        <w:contextualSpacing/>
        <w:rPr>
          <w:rFonts w:ascii="Times New Roman" w:hAnsi="Times New Roman" w:cs="Times New Roman"/>
          <w:color w:val="000000" w:themeColor="text1"/>
          <w:sz w:val="22"/>
          <w:szCs w:val="22"/>
          <w:lang w:val="en-US"/>
        </w:rPr>
      </w:pPr>
      <w:r w:rsidRPr="00EF203A">
        <w:rPr>
          <w:rFonts w:ascii="Times New Roman" w:hAnsi="Times New Roman" w:cs="Times New Roman"/>
          <w:color w:val="000000" w:themeColor="text1"/>
          <w:sz w:val="22"/>
          <w:szCs w:val="22"/>
          <w:lang w:val="en-US"/>
        </w:rPr>
        <w:t xml:space="preserve">T1 </w:t>
      </w:r>
      <w:r w:rsidR="00D6609E">
        <w:rPr>
          <w:rFonts w:ascii="Times New Roman" w:hAnsi="Times New Roman" w:cs="Times New Roman"/>
          <w:color w:val="000000" w:themeColor="text1"/>
          <w:sz w:val="22"/>
          <w:szCs w:val="22"/>
          <w:lang w:val="en-US"/>
        </w:rPr>
        <w:t xml:space="preserve">and T2 </w:t>
      </w:r>
      <w:r w:rsidRPr="00EF203A">
        <w:rPr>
          <w:rFonts w:ascii="Times New Roman" w:hAnsi="Times New Roman" w:cs="Times New Roman"/>
          <w:color w:val="000000" w:themeColor="text1"/>
          <w:sz w:val="22"/>
          <w:szCs w:val="22"/>
          <w:lang w:val="en-US"/>
        </w:rPr>
        <w:t>measurements were performed conservativel</w:t>
      </w:r>
      <w:r w:rsidR="00953481" w:rsidRPr="00EF203A">
        <w:rPr>
          <w:rFonts w:ascii="Times New Roman" w:hAnsi="Times New Roman" w:cs="Times New Roman"/>
          <w:color w:val="000000" w:themeColor="text1"/>
          <w:sz w:val="22"/>
          <w:szCs w:val="22"/>
          <w:lang w:val="en-US"/>
        </w:rPr>
        <w:t>y within the septal myocardium (ConSept)</w:t>
      </w:r>
      <w:r w:rsidRPr="00EF203A">
        <w:rPr>
          <w:rFonts w:ascii="Times New Roman" w:hAnsi="Times New Roman" w:cs="Times New Roman"/>
          <w:color w:val="000000" w:themeColor="text1"/>
          <w:sz w:val="22"/>
          <w:szCs w:val="22"/>
          <w:lang w:val="en-US"/>
        </w:rPr>
        <w:t xml:space="preserve"> </w:t>
      </w:r>
      <w:r w:rsidR="00890F6A" w:rsidRPr="00EF203A">
        <w:rPr>
          <w:rFonts w:ascii="Times New Roman" w:hAnsi="Times New Roman" w:cs="Times New Roman"/>
          <w:color w:val="000000" w:themeColor="text1"/>
          <w:sz w:val="22"/>
          <w:szCs w:val="22"/>
          <w:lang w:val="en-US"/>
        </w:rPr>
        <w:t xml:space="preserve">in a midventricular short axis (SAX) slice </w:t>
      </w:r>
      <w:r w:rsidRPr="00EF203A">
        <w:rPr>
          <w:rFonts w:ascii="Times New Roman" w:hAnsi="Times New Roman" w:cs="Times New Roman"/>
          <w:color w:val="000000" w:themeColor="text1"/>
          <w:sz w:val="22"/>
          <w:szCs w:val="22"/>
          <w:lang w:val="en-US"/>
        </w:rPr>
        <w:t xml:space="preserve">outside the area of LGE, as </w:t>
      </w:r>
      <w:r w:rsidR="00890F6A" w:rsidRPr="00EF203A">
        <w:rPr>
          <w:rFonts w:ascii="Times New Roman" w:hAnsi="Times New Roman"/>
          <w:color w:val="000000" w:themeColor="text1"/>
          <w:sz w:val="22"/>
          <w:szCs w:val="22"/>
        </w:rPr>
        <w:t>previously described and validated</w:t>
      </w:r>
      <w:r w:rsidR="00D0377B" w:rsidRPr="00EF203A">
        <w:rPr>
          <w:rFonts w:ascii="Times New Roman" w:hAnsi="Times New Roman"/>
          <w:color w:val="000000" w:themeColor="text1"/>
          <w:sz w:val="22"/>
          <w:szCs w:val="22"/>
        </w:rPr>
        <w:fldChar w:fldCharType="begin"/>
      </w:r>
      <w:r w:rsidR="00AC216C">
        <w:rPr>
          <w:rFonts w:ascii="Times New Roman" w:hAnsi="Times New Roman"/>
          <w:color w:val="000000" w:themeColor="text1"/>
          <w:sz w:val="22"/>
          <w:szCs w:val="22"/>
        </w:rPr>
        <w:instrText xml:space="preserve"> ADDIN PAPERS2_CITATIONS &lt;citation&gt;&lt;priority&gt;0&lt;/priority&gt;&lt;uuid&gt;EA7C8364-9FCC-4A61-AC1C-A55036938D90&lt;/uuid&gt;&lt;publications&gt;&lt;publication&gt;&lt;subtype&gt;400&lt;/subtype&gt;&lt;title&gt;T1-Mapping and Outcome in Nonischemic Cardiomyopathy&lt;/title&gt;&lt;url&gt;https://linkinghub.elsevier.com/retrieve/pii/S1936878X15009225&lt;/url&gt;&lt;volume&gt;9&lt;/volume&gt;&lt;publication_date&gt;99201601001200000000220000&lt;/publication_date&gt;&lt;uuid&gt;C00F0910-1CF4-4467-9FC2-6A7B83C9EEE6&lt;/uuid&gt;&lt;type&gt;400&lt;/type&gt;&lt;number&gt;1&lt;/number&gt;&lt;doi&gt;10.1016/j.jcmg.2015.12.001&lt;/doi&gt;&lt;startpage&gt;40&lt;/startpage&gt;&lt;endpage&gt;50&lt;/endpage&gt;&lt;bundle&gt;&lt;publication&gt;&lt;title&gt;JACC. Cardiovascular imaging&lt;/title&gt;&lt;uuid&gt;0AE7C6CF-8DE6-4411-AD1E-C76C3D140F4A&lt;/uuid&gt;&lt;subtype&gt;-100&lt;/subtype&gt;&lt;publisher&gt;Elsevier Inc&lt;/publisher&gt;&lt;type&gt;-100&lt;/type&gt;&lt;/publication&gt;&lt;/bundle&gt;&lt;authors&gt;&lt;author&gt;&lt;lastName&gt;Puntmann&lt;/lastName&gt;&lt;firstName&gt;Valentina&lt;/firstName&gt;&lt;middleNames&gt;O&lt;/middleNames&gt;&lt;/author&gt;&lt;author&gt;&lt;lastName&gt;Carr-White&lt;/lastName&gt;&lt;firstName&gt;Gerry&lt;/firstName&gt;&lt;/author&gt;&lt;author&gt;&lt;lastName&gt;Jabbour&lt;/lastName&gt;&lt;firstName&gt;Andrew&lt;/firstName&gt;&lt;/author&gt;&lt;author&gt;&lt;lastName&gt;Yu&lt;/lastName&gt;&lt;firstName&gt;Chung-Yao&lt;/firstName&gt;&lt;/author&gt;&lt;author&gt;&lt;lastName&gt;Gebker&lt;/lastName&gt;&lt;firstName&gt;Rolf&lt;/firstName&gt;&lt;/author&gt;&lt;author&gt;&lt;lastName&gt;Kelle&lt;/lastName&gt;&lt;firstName&gt;Sebastian&lt;/firstName&gt;&lt;/author&gt;&lt;author&gt;&lt;lastName&gt;Hinojar&lt;/lastName&gt;&lt;firstName&gt;Rocio&lt;/firstName&gt;&lt;/author&gt;&lt;author&gt;&lt;lastName&gt;Doltra&lt;/lastName&gt;&lt;firstName&gt;Adelina&lt;/firstName&gt;&lt;/author&gt;&lt;author&gt;&lt;lastName&gt;Varma&lt;/lastName&gt;&lt;firstName&gt;Niharika&lt;/firstName&gt;&lt;/author&gt;&lt;author&gt;&lt;lastName&gt;Child&lt;/lastName&gt;&lt;firstName&gt;Nicholas&lt;/firstName&gt;&lt;/author&gt;&lt;author&gt;&lt;lastName&gt;Rogers&lt;/lastName&gt;&lt;firstName&gt;Toby&lt;/firstName&gt;&lt;/author&gt;&lt;author&gt;&lt;lastName&gt;Suna&lt;/lastName&gt;&lt;firstName&gt;Gonca&lt;/firstName&gt;&lt;/author&gt;&lt;author&gt;&lt;lastName&gt;Arroyo Ucar&lt;/lastName&gt;&lt;firstName&gt;Eduardo&lt;/firstName&gt;&lt;/author&gt;&lt;author&gt;&lt;lastName&gt;Goodman&lt;/lastName&gt;&lt;firstName&gt;Ben&lt;/firstName&gt;&lt;/author&gt;&lt;author&gt;&lt;lastName&gt;Khan&lt;/lastName&gt;&lt;firstName&gt;Sitara&lt;/firstName&gt;&lt;/author&gt;&lt;author&gt;&lt;lastName&gt;Dabir&lt;/lastName&gt;&lt;firstName&gt;Darius&lt;/firstName&gt;&lt;/author&gt;&lt;author&gt;&lt;lastName&gt;Herrmann&lt;/lastName&gt;&lt;firstName&gt;Eva&lt;/firstName&gt;&lt;/author&gt;&lt;author&gt;&lt;lastName&gt;Zeiher&lt;/lastName&gt;&lt;firstName&gt;Andreas&lt;/firstName&gt;&lt;middleNames&gt;M&lt;/middleNames&gt;&lt;/author&gt;&lt;author&gt;&lt;lastName&gt;Nagel&lt;/lastName&gt;&lt;firstName&gt;Eike&lt;/firstName&gt;&lt;/author&gt;&lt;/authors&gt;&lt;/publication&gt;&lt;publication&gt;&lt;subtype&gt;400&lt;/subtype&gt;&lt;title&gt;Reference values for healthy human myocardium using a T1 mapping methodology: results from the International T1 Multicenter cardiovascular magnetic resonance study&lt;/title&gt;&lt;url&gt;http://jcmr-online.biomedcentral.com/articles/10.1186/s12968-014-0069-x&lt;/url&gt;&lt;volume&gt;16&lt;/volume&gt;&lt;publication_date&gt;99201410211200000000222000&lt;/publication_date&gt;&lt;uuid&gt;75115679-4DE1-4A92-B6E6-3DC576045620&lt;/uuid&gt;&lt;type&gt;400&lt;/type&gt;&lt;number&gt;1&lt;/number&gt;&lt;doi&gt;10.1186/s12968-014-0069-x&lt;/doi&gt;&lt;startpage&gt;34&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Dabir&lt;/lastName&gt;&lt;firstName&gt;Darius&lt;/firstName&gt;&lt;/author&gt;&lt;author&gt;&lt;lastName&gt;Child&lt;/lastName&gt;&lt;firstName&gt;Nicholas&lt;/firstName&gt;&lt;/author&gt;&lt;author&gt;&lt;lastName&gt;Kalra&lt;/lastName&gt;&lt;firstName&gt;Ashwin&lt;/firstName&gt;&lt;/author&gt;&lt;author&gt;&lt;lastName&gt;Rogers&lt;/lastName&gt;&lt;firstName&gt;Toby&lt;/firstName&gt;&lt;/author&gt;&lt;author&gt;&lt;lastName&gt;Gebker&lt;/lastName&gt;&lt;firstName&gt;Rolf&lt;/firstName&gt;&lt;/author&gt;&lt;author&gt;&lt;lastName&gt;Jabbour&lt;/lastName&gt;&lt;firstName&gt;Andrew&lt;/firstName&gt;&lt;/author&gt;&lt;author&gt;&lt;lastName&gt;Plein&lt;/lastName&gt;&lt;firstName&gt;Sven&lt;/firstName&gt;&lt;/author&gt;&lt;author&gt;&lt;lastName&gt;Yu&lt;/lastName&gt;&lt;firstName&gt;Chung-Yao&lt;/firstName&gt;&lt;/author&gt;&lt;author&gt;&lt;lastName&gt;Otton&lt;/lastName&gt;&lt;firstName&gt;James&lt;/firstName&gt;&lt;/author&gt;&lt;author&gt;&lt;lastName&gt;Kidambi&lt;/lastName&gt;&lt;firstName&gt;Ananth&lt;/firstName&gt;&lt;/author&gt;&lt;author&gt;&lt;lastName&gt;McDiarmid&lt;/lastName&gt;&lt;firstName&gt;Adam&lt;/firstName&gt;&lt;/author&gt;&lt;author&gt;&lt;lastName&gt;Broadbent&lt;/lastName&gt;&lt;firstName&gt;David&lt;/firstName&gt;&lt;/author&gt;&lt;author&gt;&lt;lastName&gt;Higgins&lt;/lastName&gt;&lt;firstName&gt;David&lt;/firstName&gt;&lt;middleNames&gt;M&lt;/middleNames&gt;&lt;/author&gt;&lt;author&gt;&lt;lastName&gt;Schnackenburg&lt;/lastName&gt;&lt;firstName&gt;Bernhard&lt;/firstName&gt;&lt;/author&gt;&lt;author&gt;&lt;lastName&gt;Foote&lt;/lastName&gt;&lt;firstName&gt;Lucy&lt;/firstName&gt;&lt;/author&gt;&lt;author&gt;&lt;lastName&gt;Cummins&lt;/lastName&gt;&lt;firstName&gt;Ciara&lt;/firstName&gt;&lt;/author&gt;&lt;author&gt;&lt;lastName&gt;Nagel&lt;/lastName&gt;&lt;firstName&gt;Eike&lt;/firstName&gt;&lt;/author&gt;&lt;author&gt;&lt;lastName&gt;Puntmann&lt;/lastName&gt;&lt;firstName&gt;Valentina&lt;/firstName&gt;&lt;middleNames&gt;O&lt;/middleNames&gt;&lt;/author&gt;&lt;/authors&gt;&lt;/publication&gt;&lt;publication&gt;&lt;subtype&gt;400&lt;/subtype&gt;&lt;title&gt;Standardization of T1 measurements with MOLLI in differentiation between health and disease – the ConSept study&lt;/title&gt;&lt;url&gt;http://jcmr-online.biomedcentral.com/articles/10.1186/1532-429X-15-78&lt;/url&gt;&lt;volume&gt;15&lt;/volume&gt;&lt;publication_date&gt;99201300001200000000200000&lt;/publication_date&gt;&lt;uuid&gt;4579565B-1226-4B69-A0C6-351509B1DB35&lt;/uuid&gt;&lt;type&gt;400&lt;/type&gt;&lt;number&gt;1&lt;/number&gt;&lt;citekey&gt;Rogers:2013ki&lt;/citekey&gt;&lt;doi&gt;10.1186/1532-429X-15-78&lt;/doi&gt;&lt;startpage&gt;78&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Rogers&lt;/lastName&gt;&lt;firstName&gt;Toby&lt;/firstName&gt;&lt;/author&gt;&lt;author&gt;&lt;lastName&gt;Dabir&lt;/lastName&gt;&lt;firstName&gt;Darius&lt;/firstName&gt;&lt;/author&gt;&lt;author&gt;&lt;lastName&gt;Mahmoud&lt;/lastName&gt;&lt;firstName&gt;Islam&lt;/firstName&gt;&lt;/author&gt;&lt;author&gt;&lt;lastName&gt;Voigt&lt;/lastName&gt;&lt;firstName&gt;Tobias&lt;/firstName&gt;&lt;/author&gt;&lt;author&gt;&lt;lastName&gt;Schaeffter&lt;/lastName&gt;&lt;firstName&gt;Tobias&lt;/firstName&gt;&lt;/author&gt;&lt;author&gt;&lt;lastName&gt;Nagel&lt;/lastName&gt;&lt;firstName&gt;Eike&lt;/firstName&gt;&lt;/author&gt;&lt;author&gt;&lt;lastName&gt;Puntmann&lt;/lastName&gt;&lt;firstName&gt;Valentina&lt;/firstName&gt;&lt;middleNames&gt;O&lt;/middleNames&gt;&lt;/author&gt;&lt;/authors&gt;&lt;/publication&gt;&lt;/publications&gt;&lt;cites&gt;&lt;/cites&gt;&lt;/citation&gt;</w:instrText>
      </w:r>
      <w:r w:rsidR="00D0377B" w:rsidRPr="00EF203A">
        <w:rPr>
          <w:rFonts w:ascii="Times New Roman" w:hAnsi="Times New Roman"/>
          <w:color w:val="000000" w:themeColor="text1"/>
          <w:sz w:val="22"/>
          <w:szCs w:val="22"/>
        </w:rPr>
        <w:fldChar w:fldCharType="separate"/>
      </w:r>
      <w:r w:rsidR="00C97265">
        <w:rPr>
          <w:rFonts w:ascii="Times New Roman" w:hAnsi="Times New Roman" w:cs="Times New Roman"/>
          <w:sz w:val="22"/>
          <w:szCs w:val="22"/>
        </w:rPr>
        <w:t>(1-3)</w:t>
      </w:r>
      <w:r w:rsidR="00D0377B" w:rsidRPr="00EF203A">
        <w:rPr>
          <w:rFonts w:ascii="Times New Roman" w:hAnsi="Times New Roman"/>
          <w:color w:val="000000" w:themeColor="text1"/>
          <w:sz w:val="22"/>
          <w:szCs w:val="22"/>
        </w:rPr>
        <w:fldChar w:fldCharType="end"/>
      </w:r>
      <w:r w:rsidR="00D0377B">
        <w:rPr>
          <w:rFonts w:ascii="Times New Roman" w:hAnsi="Times New Roman"/>
          <w:color w:val="000000" w:themeColor="text1"/>
          <w:sz w:val="22"/>
          <w:szCs w:val="22"/>
        </w:rPr>
        <w:t>.</w:t>
      </w:r>
      <w:r w:rsidRPr="00EF203A">
        <w:rPr>
          <w:rFonts w:ascii="Times New Roman" w:hAnsi="Times New Roman" w:cs="Times New Roman"/>
          <w:color w:val="000000" w:themeColor="text1"/>
          <w:sz w:val="22"/>
          <w:szCs w:val="22"/>
          <w:lang w:val="en-US"/>
        </w:rPr>
        <w:t xml:space="preserve"> </w:t>
      </w:r>
      <w:r w:rsidR="00C45192">
        <w:rPr>
          <w:rFonts w:ascii="Times New Roman" w:hAnsi="Times New Roman" w:cs="Times New Roman"/>
          <w:color w:val="000000" w:themeColor="text1"/>
          <w:sz w:val="22"/>
          <w:szCs w:val="22"/>
          <w:lang w:val="en-US"/>
        </w:rPr>
        <w:t xml:space="preserve">The main </w:t>
      </w:r>
      <w:r w:rsidR="00C45192" w:rsidRPr="00E36D81">
        <w:rPr>
          <w:rFonts w:ascii="Times New Roman" w:hAnsi="Times New Roman" w:cs="Times New Roman"/>
          <w:color w:val="000000" w:themeColor="text1"/>
          <w:sz w:val="22"/>
          <w:szCs w:val="22"/>
          <w:lang w:val="en-US"/>
        </w:rPr>
        <w:t xml:space="preserve">reason for the choice of septum, the main being the most stable part of the myocardium with as little influenced by the surrounding tissues. As such the likelihood of inclusion of voxels affected by tissues other than myocardium (such as blood pool, epicardial fat, lung) is minimized. </w:t>
      </w:r>
      <w:r w:rsidR="00D6609E">
        <w:rPr>
          <w:rFonts w:ascii="Times New Roman" w:hAnsi="Times New Roman" w:cs="Times New Roman"/>
          <w:color w:val="000000" w:themeColor="text1"/>
          <w:sz w:val="22"/>
          <w:szCs w:val="22"/>
          <w:lang w:val="en-US"/>
        </w:rPr>
        <w:t xml:space="preserve">The quality of </w:t>
      </w:r>
      <w:r w:rsidR="00170C66">
        <w:rPr>
          <w:rFonts w:ascii="Times New Roman" w:hAnsi="Times New Roman" w:cs="Times New Roman"/>
          <w:color w:val="000000" w:themeColor="text1"/>
          <w:sz w:val="22"/>
          <w:szCs w:val="22"/>
          <w:lang w:val="en-US"/>
        </w:rPr>
        <w:t xml:space="preserve">the </w:t>
      </w:r>
      <w:r w:rsidR="00D6609E">
        <w:rPr>
          <w:rFonts w:ascii="Times New Roman" w:hAnsi="Times New Roman" w:cs="Times New Roman"/>
          <w:color w:val="000000" w:themeColor="text1"/>
          <w:sz w:val="22"/>
          <w:szCs w:val="22"/>
          <w:lang w:val="en-US"/>
        </w:rPr>
        <w:t>motion correction and c</w:t>
      </w:r>
      <w:r w:rsidR="00890F6A" w:rsidRPr="00EF203A">
        <w:rPr>
          <w:rFonts w:ascii="Times New Roman" w:hAnsi="Times New Roman" w:cs="Times New Roman"/>
          <w:color w:val="000000" w:themeColor="text1"/>
          <w:sz w:val="22"/>
          <w:szCs w:val="22"/>
          <w:lang w:val="en-US"/>
        </w:rPr>
        <w:t xml:space="preserve">o-registration of </w:t>
      </w:r>
      <w:r w:rsidR="00170C66">
        <w:rPr>
          <w:rFonts w:ascii="Times New Roman" w:hAnsi="Times New Roman" w:cs="Times New Roman"/>
          <w:color w:val="000000" w:themeColor="text1"/>
          <w:sz w:val="22"/>
          <w:szCs w:val="22"/>
          <w:lang w:val="en-US"/>
        </w:rPr>
        <w:t xml:space="preserve">the </w:t>
      </w:r>
      <w:r w:rsidR="00890F6A" w:rsidRPr="00EF203A">
        <w:rPr>
          <w:rFonts w:ascii="Times New Roman" w:hAnsi="Times New Roman" w:cs="Times New Roman"/>
          <w:color w:val="000000" w:themeColor="text1"/>
          <w:sz w:val="22"/>
          <w:szCs w:val="22"/>
          <w:lang w:val="en-US"/>
        </w:rPr>
        <w:t xml:space="preserve">inline maps was verified </w:t>
      </w:r>
      <w:r w:rsidR="00170C66">
        <w:rPr>
          <w:rFonts w:ascii="Times New Roman" w:hAnsi="Times New Roman" w:cs="Times New Roman"/>
          <w:color w:val="000000" w:themeColor="text1"/>
          <w:sz w:val="22"/>
          <w:szCs w:val="22"/>
          <w:lang w:val="en-US"/>
        </w:rPr>
        <w:t>on-the scanner and if unsatisfactory, the acquisition was repeated by asking the patient to hold breath.</w:t>
      </w:r>
      <w:r w:rsidR="00890F6A" w:rsidRPr="00EF203A">
        <w:rPr>
          <w:rFonts w:ascii="Times New Roman" w:hAnsi="Times New Roman" w:cs="Times New Roman"/>
          <w:color w:val="000000" w:themeColor="text1"/>
          <w:sz w:val="22"/>
          <w:szCs w:val="22"/>
          <w:lang w:val="en-US"/>
        </w:rPr>
        <w:t xml:space="preserve"> </w:t>
      </w:r>
      <w:r w:rsidR="00170C66">
        <w:rPr>
          <w:rFonts w:ascii="Times New Roman" w:hAnsi="Times New Roman" w:cs="Times New Roman"/>
          <w:color w:val="000000" w:themeColor="text1"/>
          <w:sz w:val="22"/>
          <w:szCs w:val="22"/>
          <w:lang w:val="en-US"/>
        </w:rPr>
        <w:t xml:space="preserve">Manual motion correction by </w:t>
      </w:r>
      <w:r w:rsidR="00890F6A" w:rsidRPr="00EF203A">
        <w:rPr>
          <w:rFonts w:ascii="Times New Roman" w:hAnsi="Times New Roman" w:cs="Times New Roman"/>
          <w:color w:val="000000" w:themeColor="text1"/>
          <w:sz w:val="22"/>
          <w:szCs w:val="22"/>
          <w:lang w:val="en-US"/>
        </w:rPr>
        <w:t>propagating the septal ROI through the 11 images</w:t>
      </w:r>
      <w:r w:rsidR="00AC1E21" w:rsidRPr="00EF203A">
        <w:rPr>
          <w:rFonts w:ascii="Times New Roman" w:hAnsi="Times New Roman" w:cs="Times New Roman"/>
          <w:color w:val="000000" w:themeColor="text1"/>
          <w:sz w:val="22"/>
          <w:szCs w:val="22"/>
          <w:lang w:val="en-US"/>
        </w:rPr>
        <w:t xml:space="preserve">, </w:t>
      </w:r>
      <w:r w:rsidRPr="00EF203A">
        <w:rPr>
          <w:rFonts w:ascii="Times New Roman" w:hAnsi="Times New Roman" w:cs="Times New Roman"/>
          <w:color w:val="000000" w:themeColor="text1"/>
          <w:sz w:val="22"/>
          <w:szCs w:val="22"/>
          <w:lang w:val="en-US"/>
        </w:rPr>
        <w:t>f</w:t>
      </w:r>
      <w:r w:rsidR="00890F6A" w:rsidRPr="00EF203A">
        <w:rPr>
          <w:rFonts w:ascii="Times New Roman" w:hAnsi="Times New Roman" w:cs="Times New Roman"/>
          <w:color w:val="000000" w:themeColor="text1"/>
          <w:sz w:val="22"/>
          <w:szCs w:val="22"/>
          <w:lang w:val="en-US"/>
        </w:rPr>
        <w:t>ollowed by the</w:t>
      </w:r>
      <w:r w:rsidRPr="00EF203A">
        <w:rPr>
          <w:rFonts w:ascii="Times New Roman" w:hAnsi="Times New Roman" w:cs="Times New Roman"/>
          <w:color w:val="000000" w:themeColor="text1"/>
          <w:sz w:val="22"/>
          <w:szCs w:val="22"/>
          <w:lang w:val="en-US"/>
        </w:rPr>
        <w:t xml:space="preserve"> </w:t>
      </w:r>
      <w:r w:rsidR="00890F6A" w:rsidRPr="00EF203A">
        <w:rPr>
          <w:rFonts w:ascii="Times New Roman" w:hAnsi="Times New Roman" w:cs="Times New Roman"/>
          <w:color w:val="000000" w:themeColor="text1"/>
          <w:sz w:val="22"/>
          <w:szCs w:val="22"/>
          <w:lang w:val="en-US"/>
        </w:rPr>
        <w:t>manual</w:t>
      </w:r>
      <w:r w:rsidRPr="00EF203A">
        <w:rPr>
          <w:rFonts w:ascii="Times New Roman" w:hAnsi="Times New Roman" w:cs="Times New Roman"/>
          <w:color w:val="000000" w:themeColor="text1"/>
          <w:sz w:val="22"/>
          <w:szCs w:val="22"/>
          <w:lang w:val="en-US"/>
        </w:rPr>
        <w:t xml:space="preserve"> image co-registration</w:t>
      </w:r>
      <w:r w:rsidR="00170C66">
        <w:rPr>
          <w:rFonts w:ascii="Times New Roman" w:hAnsi="Times New Roman" w:cs="Times New Roman"/>
          <w:color w:val="000000" w:themeColor="text1"/>
          <w:sz w:val="22"/>
          <w:szCs w:val="22"/>
          <w:lang w:val="en-US"/>
        </w:rPr>
        <w:t xml:space="preserve"> was performed if not resolved by means above</w:t>
      </w:r>
      <w:r w:rsidRPr="00EF203A">
        <w:rPr>
          <w:rFonts w:ascii="Times New Roman" w:hAnsi="Times New Roman" w:cs="Times New Roman"/>
          <w:color w:val="000000" w:themeColor="text1"/>
          <w:sz w:val="22"/>
          <w:szCs w:val="22"/>
          <w:lang w:val="en-US"/>
        </w:rPr>
        <w:t xml:space="preserve">. </w:t>
      </w:r>
      <w:r w:rsidRPr="00EF203A">
        <w:rPr>
          <w:rFonts w:ascii="Times New Roman" w:hAnsi="Times New Roman"/>
          <w:color w:val="000000" w:themeColor="text1"/>
          <w:sz w:val="22"/>
          <w:szCs w:val="22"/>
        </w:rPr>
        <w:t xml:space="preserve">In patients with post-infarction scar in septal myocardium, </w:t>
      </w:r>
      <w:r w:rsidR="00D6609E">
        <w:rPr>
          <w:rFonts w:ascii="Times New Roman" w:hAnsi="Times New Roman"/>
          <w:color w:val="000000" w:themeColor="text1"/>
          <w:sz w:val="22"/>
          <w:szCs w:val="22"/>
        </w:rPr>
        <w:t>mapping</w:t>
      </w:r>
      <w:r w:rsidRPr="00EF203A">
        <w:rPr>
          <w:rFonts w:ascii="Times New Roman" w:hAnsi="Times New Roman"/>
          <w:color w:val="000000" w:themeColor="text1"/>
          <w:sz w:val="22"/>
          <w:szCs w:val="22"/>
        </w:rPr>
        <w:t xml:space="preserve"> measurements were performed in remote myocardium elsewhere within the midventricular SAX slice, avoiding the artefact-prone lateral wall. </w:t>
      </w:r>
      <w:r w:rsidR="00C45192" w:rsidRPr="0095526C">
        <w:rPr>
          <w:rFonts w:ascii="Times New Roman" w:hAnsi="Times New Roman" w:cs="Times New Roman"/>
          <w:color w:val="000000" w:themeColor="text1"/>
          <w:sz w:val="22"/>
          <w:szCs w:val="22"/>
          <w:lang w:val="en-US"/>
        </w:rPr>
        <w:t>All acquisitions that cannot be resolved by improved acquisition are postprocessed by manual motion correction of the ROI in 11 images.</w:t>
      </w:r>
      <w:r w:rsidR="00B16A7D">
        <w:rPr>
          <w:rFonts w:ascii="Times New Roman" w:hAnsi="Times New Roman" w:cs="Times New Roman"/>
          <w:color w:val="000000" w:themeColor="text1"/>
          <w:sz w:val="22"/>
          <w:szCs w:val="22"/>
          <w:lang w:val="en-US"/>
        </w:rPr>
        <w:t xml:space="preserve"> </w:t>
      </w:r>
    </w:p>
    <w:p w14:paraId="6BB4702B" w14:textId="000C2656" w:rsidR="00B16A7D" w:rsidRPr="002A2E5A" w:rsidRDefault="000749F1" w:rsidP="00E36D81">
      <w:pPr>
        <w:widowControl w:val="0"/>
        <w:autoSpaceDE w:val="0"/>
        <w:autoSpaceDN w:val="0"/>
        <w:adjustRightInd w:val="0"/>
        <w:spacing w:after="240" w:line="480" w:lineRule="auto"/>
        <w:contextualSpacing/>
        <w:rPr>
          <w:rFonts w:ascii="Times New Roman" w:hAnsi="Times New Roman" w:cs="Times New Roman"/>
          <w:sz w:val="22"/>
          <w:szCs w:val="22"/>
          <w:lang w:val="en-US"/>
        </w:rPr>
      </w:pPr>
      <w:r w:rsidRPr="002A2E5A">
        <w:rPr>
          <w:rFonts w:ascii="Times New Roman" w:hAnsi="Times New Roman" w:cs="Times New Roman"/>
          <w:sz w:val="22"/>
          <w:szCs w:val="22"/>
          <w:lang w:val="en-US"/>
        </w:rPr>
        <w:t>The readers of the core lab are highly trained postdoctoral students that have achieved within 2 % intra-individual and within 3 % interrater variability for T1 and T2 mapping measurements and within 5% and 8% for LGE FWHM, respectively, against a set of the gold-</w:t>
      </w:r>
      <w:r w:rsidRPr="002A2E5A">
        <w:rPr>
          <w:rFonts w:ascii="Times New Roman" w:hAnsi="Times New Roman" w:cs="Times New Roman"/>
          <w:sz w:val="22"/>
          <w:szCs w:val="22"/>
          <w:lang w:val="en-US"/>
        </w:rPr>
        <w:lastRenderedPageBreak/>
        <w:t xml:space="preserve">standard measurements. </w:t>
      </w:r>
      <w:r w:rsidR="001A68EF" w:rsidRPr="002A2E5A">
        <w:rPr>
          <w:rFonts w:ascii="Times New Roman" w:hAnsi="Times New Roman" w:cs="Times New Roman"/>
          <w:sz w:val="22"/>
          <w:szCs w:val="22"/>
          <w:lang w:val="en-US"/>
        </w:rPr>
        <w:t>The measurements are performed in line with local standard operating procedures, and the core lab is subjected regularly to quality assurance procedures</w:t>
      </w:r>
      <w:r w:rsidR="00B16A7D" w:rsidRPr="002A2E5A">
        <w:rPr>
          <w:rFonts w:ascii="Times New Roman" w:hAnsi="Times New Roman" w:cs="Times New Roman"/>
          <w:sz w:val="22"/>
          <w:szCs w:val="22"/>
          <w:lang w:val="en-US"/>
        </w:rPr>
        <w:t xml:space="preserve">. </w:t>
      </w:r>
      <w:r w:rsidR="00E903B8" w:rsidRPr="002A2E5A">
        <w:rPr>
          <w:rFonts w:ascii="Times New Roman" w:hAnsi="Times New Roman" w:cs="Times New Roman"/>
          <w:sz w:val="22"/>
          <w:szCs w:val="22"/>
          <w:lang w:val="en-US"/>
        </w:rPr>
        <w:t xml:space="preserve">Blood lab of University Hospital Frankfurt employs </w:t>
      </w:r>
      <w:r w:rsidR="001A68EF" w:rsidRPr="002A2E5A">
        <w:rPr>
          <w:rFonts w:ascii="Times New Roman" w:hAnsi="Times New Roman" w:cs="Times New Roman"/>
          <w:sz w:val="22"/>
          <w:szCs w:val="22"/>
          <w:lang w:val="en-US"/>
        </w:rPr>
        <w:t xml:space="preserve">usual analytical </w:t>
      </w:r>
      <w:r w:rsidR="00E903B8" w:rsidRPr="002A2E5A">
        <w:rPr>
          <w:rFonts w:ascii="Times New Roman" w:hAnsi="Times New Roman" w:cs="Times New Roman"/>
          <w:sz w:val="22"/>
          <w:szCs w:val="22"/>
          <w:lang w:val="en-US"/>
        </w:rPr>
        <w:t>quality assurance procedures.</w:t>
      </w:r>
    </w:p>
    <w:p w14:paraId="7B7BCA0D" w14:textId="0EAF1725" w:rsidR="007D24FD" w:rsidRPr="007D24FD" w:rsidRDefault="007D24FD" w:rsidP="00E36D81">
      <w:pPr>
        <w:widowControl w:val="0"/>
        <w:autoSpaceDE w:val="0"/>
        <w:autoSpaceDN w:val="0"/>
        <w:adjustRightInd w:val="0"/>
        <w:spacing w:after="240" w:line="480" w:lineRule="auto"/>
        <w:contextualSpacing/>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Myocardial p</w:t>
      </w:r>
      <w:r w:rsidRPr="007D24FD">
        <w:rPr>
          <w:rFonts w:ascii="Times New Roman" w:hAnsi="Times New Roman" w:cs="Times New Roman"/>
          <w:color w:val="000000" w:themeColor="text1"/>
          <w:sz w:val="22"/>
          <w:szCs w:val="22"/>
          <w:lang w:val="en-US"/>
        </w:rPr>
        <w:t xml:space="preserve">erfusion defect </w:t>
      </w:r>
      <w:r>
        <w:rPr>
          <w:rFonts w:ascii="Times New Roman" w:hAnsi="Times New Roman" w:cs="Times New Roman"/>
          <w:color w:val="000000" w:themeColor="text1"/>
          <w:sz w:val="22"/>
          <w:szCs w:val="22"/>
          <w:lang w:val="en-US"/>
        </w:rPr>
        <w:t>was</w:t>
      </w:r>
      <w:r w:rsidRPr="007D24FD">
        <w:rPr>
          <w:rFonts w:ascii="Times New Roman" w:hAnsi="Times New Roman" w:cs="Times New Roman"/>
          <w:color w:val="000000" w:themeColor="text1"/>
          <w:sz w:val="22"/>
          <w:szCs w:val="22"/>
          <w:lang w:val="en-US"/>
        </w:rPr>
        <w:t xml:space="preserve"> classified as significant</w:t>
      </w:r>
      <w:r w:rsidR="00170C66">
        <w:rPr>
          <w:rFonts w:ascii="Times New Roman" w:hAnsi="Times New Roman" w:cs="Times New Roman"/>
          <w:color w:val="000000" w:themeColor="text1"/>
          <w:sz w:val="22"/>
          <w:szCs w:val="22"/>
          <w:lang w:val="en-US"/>
        </w:rPr>
        <w:t>/relevant myocardial</w:t>
      </w:r>
      <w:r w:rsidRPr="007D24FD">
        <w:rPr>
          <w:rFonts w:ascii="Times New Roman" w:hAnsi="Times New Roman" w:cs="Times New Roman"/>
          <w:color w:val="000000" w:themeColor="text1"/>
          <w:sz w:val="22"/>
          <w:szCs w:val="22"/>
          <w:lang w:val="en-US"/>
        </w:rPr>
        <w:t xml:space="preserve"> </w:t>
      </w:r>
      <w:r w:rsidR="00170C66">
        <w:rPr>
          <w:rFonts w:ascii="Times New Roman" w:hAnsi="Times New Roman" w:cs="Times New Roman"/>
          <w:color w:val="000000" w:themeColor="text1"/>
          <w:sz w:val="22"/>
          <w:szCs w:val="22"/>
          <w:lang w:val="en-US"/>
        </w:rPr>
        <w:t xml:space="preserve">ischemia </w:t>
      </w:r>
      <w:r w:rsidRPr="007D24FD">
        <w:rPr>
          <w:rFonts w:ascii="Times New Roman" w:hAnsi="Times New Roman" w:cs="Times New Roman"/>
          <w:color w:val="000000" w:themeColor="text1"/>
          <w:sz w:val="22"/>
          <w:szCs w:val="22"/>
          <w:lang w:val="en-US"/>
        </w:rPr>
        <w:t>according to the presence of</w:t>
      </w:r>
      <w:r>
        <w:rPr>
          <w:rFonts w:ascii="Times New Roman" w:hAnsi="Times New Roman" w:cs="Times New Roman"/>
          <w:color w:val="000000" w:themeColor="text1"/>
          <w:sz w:val="22"/>
          <w:szCs w:val="22"/>
          <w:lang w:val="en-US"/>
        </w:rPr>
        <w:t xml:space="preserve"> regional hypoperfusion</w:t>
      </w:r>
      <w:r w:rsidRPr="007D24FD">
        <w:rPr>
          <w:rFonts w:ascii="Times New Roman" w:hAnsi="Times New Roman" w:cs="Times New Roman"/>
          <w:color w:val="000000" w:themeColor="text1"/>
          <w:sz w:val="22"/>
          <w:szCs w:val="22"/>
          <w:lang w:val="en-US"/>
        </w:rPr>
        <w:t xml:space="preserve"> in 2 segments of a 32 segment model</w:t>
      </w:r>
      <w:r>
        <w:rPr>
          <w:rFonts w:ascii="Times New Roman" w:hAnsi="Times New Roman" w:cs="Times New Roman"/>
          <w:color w:val="000000" w:themeColor="text1"/>
          <w:sz w:val="22"/>
          <w:szCs w:val="22"/>
          <w:lang w:val="en-US"/>
        </w:rPr>
        <w:t xml:space="preserve"> </w:t>
      </w:r>
      <w:r w:rsidR="00C97265" w:rsidRPr="00E36D81">
        <w:rPr>
          <w:rFonts w:ascii="Times New Roman" w:hAnsi="Times New Roman" w:cs="Times New Roman"/>
          <w:color w:val="000000" w:themeColor="text1"/>
          <w:sz w:val="22"/>
          <w:szCs w:val="22"/>
          <w:lang w:val="en-US"/>
        </w:rPr>
        <w:fldChar w:fldCharType="begin"/>
      </w:r>
      <w:r w:rsidR="00AC216C">
        <w:rPr>
          <w:rFonts w:ascii="Times New Roman" w:hAnsi="Times New Roman" w:cs="Times New Roman"/>
          <w:color w:val="000000" w:themeColor="text1"/>
          <w:sz w:val="22"/>
          <w:szCs w:val="22"/>
          <w:lang w:val="en-US"/>
        </w:rPr>
        <w:instrText xml:space="preserve"> ADDIN PAPERS2_CITATIONS &lt;citation&gt;&lt;priority&gt;7&lt;/priority&gt;&lt;uuid&gt;32C60846-C4D0-4B36-B1B8-1A5FEC39E660&lt;/uuid&gt;&lt;publications&gt;&lt;publication&gt;&lt;subtype&gt;400&lt;/subtype&gt;&lt;title&gt;Magnetic Resonance Perfusion or Fractional Flow Reserve in Coronary Disease&lt;/title&gt;&lt;url&gt;http://www.nejm.org/doi/10.1056/NEJMoa1716734&lt;/url&gt;&lt;volume&gt;380&lt;/volume&gt;&lt;publication_date&gt;99201906201200000000222000&lt;/publication_date&gt;&lt;uuid&gt;30C1861B-D2B2-4B8E-96AE-21CDF9B5B916&lt;/uuid&gt;&lt;type&gt;400&lt;/type&gt;&lt;number&gt;25&lt;/number&gt;&lt;doi&gt;10.1056/NEJMoa1716734&lt;/doi&gt;&lt;startpage&gt;2418&lt;/startpage&gt;&lt;endpage&gt;2428&lt;/endpage&gt;&lt;bundle&gt;&lt;publication&gt;&lt;title&gt;New England Journal of Medicine&lt;/title&gt;&lt;uuid&gt;6C818AFD-4677-4AFF-967B-55F4F7825F16&lt;/uuid&gt;&lt;subtype&gt;-100&lt;/subtype&gt;&lt;type&gt;-100&lt;/type&gt;&lt;/publication&gt;&lt;/bundle&gt;&lt;authors&gt;&lt;author&gt;&lt;lastName&gt;Nagel&lt;/lastName&gt;&lt;firstName&gt;Eike&lt;/firstName&gt;&lt;/author&gt;&lt;author&gt;&lt;lastName&gt;Greenwood&lt;/lastName&gt;&lt;firstName&gt;John&lt;/firstName&gt;&lt;middleNames&gt;P&lt;/middleNames&gt;&lt;/author&gt;&lt;author&gt;&lt;lastName&gt;McCann&lt;/lastName&gt;&lt;firstName&gt;Gerry&lt;/firstName&gt;&lt;middleNames&gt;P&lt;/middleNames&gt;&lt;/author&gt;&lt;author&gt;&lt;lastName&gt;Bettencourt&lt;/lastName&gt;&lt;firstName&gt;Nuno&lt;/firstName&gt;&lt;/author&gt;&lt;author&gt;&lt;lastName&gt;Shah&lt;/lastName&gt;&lt;firstName&gt;Ajay&lt;/firstName&gt;&lt;middleNames&gt;M&lt;/middleNames&gt;&lt;/author&gt;&lt;author&gt;&lt;lastName&gt;Hussain&lt;/lastName&gt;&lt;firstName&gt;Shazia&lt;/firstName&gt;&lt;middleNames&gt;T&lt;/middleNames&gt;&lt;/author&gt;&lt;author&gt;&lt;lastName&gt;Perera&lt;/lastName&gt;&lt;firstName&gt;Divaka&lt;/firstName&gt;&lt;/author&gt;&lt;author&gt;&lt;lastName&gt;Plein&lt;/lastName&gt;&lt;firstName&gt;Sven&lt;/firstName&gt;&lt;/author&gt;&lt;author&gt;&lt;lastName&gt;Bucciarelli-Ducci&lt;/lastName&gt;&lt;firstName&gt;Chiara&lt;/firstName&gt;&lt;/author&gt;&lt;author&gt;&lt;lastName&gt;Paul&lt;/lastName&gt;&lt;firstName&gt;Matthias&lt;/firstName&gt;&lt;/author&gt;&lt;author&gt;&lt;lastName&gt;Westwood&lt;/lastName&gt;&lt;firstName&gt;Mark&lt;/firstName&gt;&lt;middleNames&gt;A&lt;/middleNames&gt;&lt;/author&gt;&lt;author&gt;&lt;lastName&gt;Marber&lt;/lastName&gt;&lt;firstName&gt;Michael&lt;/firstName&gt;&lt;/author&gt;&lt;author&gt;&lt;lastName&gt;Richter&lt;/lastName&gt;&lt;firstName&gt;Wolf-Stefan&lt;/firstName&gt;&lt;/author&gt;&lt;author&gt;&lt;lastName&gt;Puntmann&lt;/lastName&gt;&lt;firstName&gt;Valentina&lt;/firstName&gt;&lt;middleNames&gt;O&lt;/middleNames&gt;&lt;/author&gt;&lt;author&gt;&lt;lastName&gt;Schwenke&lt;/lastName&gt;&lt;firstName&gt;Carsten&lt;/firstName&gt;&lt;/author&gt;&lt;author&gt;&lt;lastName&gt;Schulz-Menger&lt;/lastName&gt;&lt;firstName&gt;Jeanette&lt;/firstName&gt;&lt;/author&gt;&lt;author&gt;&lt;lastName&gt;Das&lt;/lastName&gt;&lt;firstName&gt;Rajiv&lt;/firstName&gt;&lt;/author&gt;&lt;author&gt;&lt;lastName&gt;Wong&lt;/lastName&gt;&lt;firstName&gt;Joyce&lt;/firstName&gt;&lt;/author&gt;&lt;author&gt;&lt;lastName&gt;Hausenloy&lt;/lastName&gt;&lt;firstName&gt;Derek&lt;/firstName&gt;&lt;middleNames&gt;J&lt;/middleNames&gt;&lt;/author&gt;&lt;author&gt;&lt;lastName&gt;Steen&lt;/lastName&gt;&lt;firstName&gt;Henning&lt;/firstName&gt;&lt;/author&gt;&lt;author&gt;&lt;lastName&gt;Berry&lt;/lastName&gt;&lt;firstName&gt;Colin&lt;/firstName&gt;&lt;/author&gt;&lt;/authors&gt;&lt;/publication&gt;&lt;/publications&gt;&lt;cites&gt;&lt;/cites&gt;&lt;/citation&gt;</w:instrText>
      </w:r>
      <w:r w:rsidR="00C97265" w:rsidRPr="00E36D81">
        <w:rPr>
          <w:rFonts w:ascii="Times New Roman" w:hAnsi="Times New Roman" w:cs="Times New Roman"/>
          <w:color w:val="000000" w:themeColor="text1"/>
          <w:sz w:val="22"/>
          <w:szCs w:val="22"/>
          <w:lang w:val="en-US"/>
        </w:rPr>
        <w:fldChar w:fldCharType="separate"/>
      </w:r>
      <w:r w:rsidR="00C97265" w:rsidRPr="00E36D81">
        <w:rPr>
          <w:rFonts w:ascii="Times New Roman" w:hAnsi="Times New Roman" w:cs="Times New Roman"/>
          <w:color w:val="000000" w:themeColor="text1"/>
          <w:sz w:val="22"/>
          <w:szCs w:val="22"/>
          <w:lang w:val="en-US"/>
        </w:rPr>
        <w:t>(8)</w:t>
      </w:r>
      <w:r w:rsidR="00C97265" w:rsidRPr="00E36D81">
        <w:rPr>
          <w:rFonts w:ascii="Times New Roman" w:hAnsi="Times New Roman" w:cs="Times New Roman"/>
          <w:color w:val="000000" w:themeColor="text1"/>
          <w:sz w:val="22"/>
          <w:szCs w:val="22"/>
          <w:lang w:val="en-US"/>
        </w:rPr>
        <w:fldChar w:fldCharType="end"/>
      </w:r>
      <w:r w:rsidRPr="00E36D81">
        <w:rPr>
          <w:rFonts w:ascii="Times New Roman" w:hAnsi="Times New Roman" w:cs="Times New Roman"/>
          <w:color w:val="000000" w:themeColor="text1"/>
          <w:sz w:val="22"/>
          <w:szCs w:val="22"/>
          <w:lang w:val="en-US"/>
        </w:rPr>
        <w:t xml:space="preserve">, </w:t>
      </w:r>
      <w:r w:rsidR="00C97265" w:rsidRPr="00E36D81">
        <w:rPr>
          <w:rFonts w:ascii="Times New Roman" w:hAnsi="Times New Roman" w:cs="Times New Roman"/>
          <w:color w:val="000000" w:themeColor="text1"/>
          <w:sz w:val="22"/>
          <w:szCs w:val="22"/>
          <w:lang w:val="en-US"/>
        </w:rPr>
        <w:fldChar w:fldCharType="begin"/>
      </w:r>
      <w:r w:rsidR="00AC216C">
        <w:rPr>
          <w:rFonts w:ascii="Times New Roman" w:hAnsi="Times New Roman" w:cs="Times New Roman"/>
          <w:color w:val="000000" w:themeColor="text1"/>
          <w:sz w:val="22"/>
          <w:szCs w:val="22"/>
          <w:lang w:val="en-US"/>
        </w:rPr>
        <w:instrText xml:space="preserve"> ADDIN PAPERS2_CITATIONS &lt;citation&gt;&lt;priority&gt;8&lt;/priority&gt;&lt;uuid&gt;2511299D-8C4C-466F-8CC9-7CC496BEEA81&lt;/uuid&gt;&lt;publications&gt;&lt;publication&gt;&lt;subtype&gt;400&lt;/subtype&gt;&lt;title&gt;Design and rationale of the MR-INFORM study: stress perfusion cardiovascular magnetic resonance imaging to guide the management of patients with stable coronary artery disease&lt;/title&gt;&lt;url&gt;https://jcmr-online.biomedcentral.com/articles/10.1186/1532-429X-14-65&lt;/url&gt;&lt;volume&gt;14&lt;/volume&gt;&lt;publication_date&gt;99201209191200000000222000&lt;/publication_date&gt;&lt;uuid&gt;08AD5BC6-9B0B-4D31-8A0E-0CF566D1F35C&lt;/uuid&gt;&lt;type&gt;400&lt;/type&gt;&lt;number&gt;1&lt;/number&gt;&lt;doi&gt;10.1186/1532-429X-14-65&lt;/doi&gt;&lt;startpage&gt;1503&lt;/startpage&gt;&lt;bundle&gt;&lt;publication&gt;&lt;title&gt;Journal of Cardiovascular Magnetic Resonance&lt;/title&gt;&lt;uuid&gt;DF49F6DB-7839-490A-98D3-33601F9B84FA&lt;/uuid&gt;&lt;subtype&gt;-100&lt;/subtype&gt;&lt;publisher&gt;BioMed Central Ltd&lt;/publisher&gt;&lt;type&gt;-100&lt;/type&gt;&lt;/publication&gt;&lt;/bundle&gt;&lt;authors&gt;&lt;author&gt;&lt;lastName&gt;Hussain&lt;/lastName&gt;&lt;firstName&gt;Shazia&lt;/firstName&gt;&lt;middleNames&gt;T&lt;/middleNames&gt;&lt;/author&gt;&lt;author&gt;&lt;lastName&gt;Paul&lt;/lastName&gt;&lt;firstName&gt;Matthias&lt;/firstName&gt;&lt;/author&gt;&lt;author&gt;&lt;lastName&gt;Plein&lt;/lastName&gt;&lt;firstName&gt;Sven&lt;/firstName&gt;&lt;/author&gt;&lt;author&gt;&lt;lastName&gt;McCann&lt;/lastName&gt;&lt;firstName&gt;Gerry&lt;/firstName&gt;&lt;middleNames&gt;P&lt;/middleNames&gt;&lt;/author&gt;&lt;author&gt;&lt;lastName&gt;Shah&lt;/lastName&gt;&lt;firstName&gt;Ajay&lt;/firstName&gt;&lt;middleNames&gt;M&lt;/middleNames&gt;&lt;/author&gt;&lt;author&gt;&lt;lastName&gt;Marber&lt;/lastName&gt;&lt;firstName&gt;Michael&lt;/firstName&gt;&lt;middleNames&gt;S&lt;/middleNames&gt;&lt;/author&gt;&lt;author&gt;&lt;lastName&gt;Chiribiri&lt;/lastName&gt;&lt;firstName&gt;Amedeo&lt;/firstName&gt;&lt;/author&gt;&lt;author&gt;&lt;lastName&gt;Morton&lt;/lastName&gt;&lt;firstName&gt;Geraint&lt;/firstName&gt;&lt;/author&gt;&lt;author&gt;&lt;lastName&gt;Redwood&lt;/lastName&gt;&lt;firstName&gt;Simon&lt;/firstName&gt;&lt;/author&gt;&lt;author&gt;&lt;lastName&gt;MacCarthy&lt;/lastName&gt;&lt;firstName&gt;Philip&lt;/firstName&gt;&lt;/author&gt;&lt;author&gt;&lt;lastName&gt;Schuster&lt;/lastName&gt;&lt;firstName&gt;Andreas&lt;/firstName&gt;&lt;/author&gt;&lt;author&gt;&lt;lastName&gt;Ishida&lt;/lastName&gt;&lt;firstName&gt;Masaki&lt;/firstName&gt;&lt;/author&gt;&lt;author&gt;&lt;lastName&gt;Westwood&lt;/lastName&gt;&lt;firstName&gt;Mark&lt;/firstName&gt;&lt;middleNames&gt;A&lt;/middleNames&gt;&lt;/author&gt;&lt;author&gt;&lt;lastName&gt;Perera&lt;/lastName&gt;&lt;firstName&gt;Divaka&lt;/firstName&gt;&lt;/author&gt;&lt;author&gt;&lt;lastName&gt;Nagel&lt;/lastName&gt;&lt;firstName&gt;Eike&lt;/firstName&gt;&lt;/author&gt;&lt;/authors&gt;&lt;/publication&gt;&lt;/publications&gt;&lt;cites&gt;&lt;/cites&gt;&lt;/citation&gt;</w:instrText>
      </w:r>
      <w:r w:rsidR="00C97265" w:rsidRPr="00E36D81">
        <w:rPr>
          <w:rFonts w:ascii="Times New Roman" w:hAnsi="Times New Roman" w:cs="Times New Roman"/>
          <w:color w:val="000000" w:themeColor="text1"/>
          <w:sz w:val="22"/>
          <w:szCs w:val="22"/>
          <w:lang w:val="en-US"/>
        </w:rPr>
        <w:fldChar w:fldCharType="separate"/>
      </w:r>
      <w:r w:rsidR="00C97265" w:rsidRPr="00E36D81">
        <w:rPr>
          <w:rFonts w:ascii="Times New Roman" w:hAnsi="Times New Roman" w:cs="Times New Roman"/>
          <w:color w:val="000000" w:themeColor="text1"/>
          <w:sz w:val="22"/>
          <w:szCs w:val="22"/>
          <w:lang w:val="en-US"/>
        </w:rPr>
        <w:t>(5)</w:t>
      </w:r>
      <w:r w:rsidR="00C97265" w:rsidRPr="00E36D81">
        <w:rPr>
          <w:rFonts w:ascii="Times New Roman" w:hAnsi="Times New Roman" w:cs="Times New Roman"/>
          <w:color w:val="000000" w:themeColor="text1"/>
          <w:sz w:val="22"/>
          <w:szCs w:val="22"/>
          <w:lang w:val="en-US"/>
        </w:rPr>
        <w:fldChar w:fldCharType="end"/>
      </w:r>
      <w:r>
        <w:rPr>
          <w:rFonts w:ascii="Times New Roman" w:hAnsi="Times New Roman" w:cs="Times New Roman"/>
          <w:color w:val="000000" w:themeColor="text1"/>
          <w:sz w:val="22"/>
          <w:szCs w:val="22"/>
          <w:lang w:val="en-US"/>
        </w:rPr>
        <w:t>,</w:t>
      </w:r>
      <w:r w:rsidRPr="007D24FD">
        <w:rPr>
          <w:rFonts w:ascii="Times New Roman" w:hAnsi="Times New Roman" w:cs="Times New Roman"/>
          <w:color w:val="000000" w:themeColor="text1"/>
          <w:sz w:val="22"/>
          <w:szCs w:val="22"/>
          <w:lang w:val="en-US"/>
        </w:rPr>
        <w:t xml:space="preserve"> </w:t>
      </w:r>
      <w:proofErr w:type="spellStart"/>
      <w:r w:rsidRPr="007D24FD">
        <w:rPr>
          <w:rFonts w:ascii="Times New Roman" w:hAnsi="Times New Roman" w:cs="Times New Roman"/>
          <w:color w:val="000000" w:themeColor="text1"/>
          <w:sz w:val="22"/>
          <w:szCs w:val="22"/>
          <w:lang w:val="en-US"/>
        </w:rPr>
        <w:t>i.e</w:t>
      </w:r>
      <w:proofErr w:type="spellEnd"/>
      <w:r w:rsidRPr="007D24FD">
        <w:rPr>
          <w:rFonts w:ascii="Times New Roman" w:hAnsi="Times New Roman" w:cs="Times New Roman"/>
          <w:color w:val="000000" w:themeColor="text1"/>
          <w:sz w:val="22"/>
          <w:szCs w:val="22"/>
          <w:lang w:val="en-US"/>
        </w:rPr>
        <w:t>:</w:t>
      </w:r>
    </w:p>
    <w:p w14:paraId="57035CA4" w14:textId="6960F61F" w:rsidR="007D24FD" w:rsidRPr="00170C66" w:rsidRDefault="007D24FD" w:rsidP="00E36D81">
      <w:pPr>
        <w:pStyle w:val="ListParagraph"/>
        <w:widowControl w:val="0"/>
        <w:numPr>
          <w:ilvl w:val="0"/>
          <w:numId w:val="10"/>
        </w:numPr>
        <w:autoSpaceDE w:val="0"/>
        <w:autoSpaceDN w:val="0"/>
        <w:adjustRightInd w:val="0"/>
        <w:spacing w:after="240" w:line="480" w:lineRule="auto"/>
        <w:rPr>
          <w:rFonts w:ascii="Times New Roman" w:hAnsi="Times New Roman" w:cs="Times New Roman"/>
          <w:color w:val="000000" w:themeColor="text1"/>
          <w:sz w:val="22"/>
          <w:szCs w:val="22"/>
          <w:lang w:val="en-US"/>
        </w:rPr>
      </w:pPr>
      <w:r w:rsidRPr="00170C66">
        <w:rPr>
          <w:rFonts w:ascii="Times New Roman" w:hAnsi="Times New Roman" w:cs="Times New Roman"/>
          <w:color w:val="000000" w:themeColor="text1"/>
          <w:sz w:val="22"/>
          <w:szCs w:val="22"/>
          <w:lang w:val="en-US"/>
        </w:rPr>
        <w:t>60 degrees in either the basal or the midventricular slices or</w:t>
      </w:r>
    </w:p>
    <w:p w14:paraId="6B804FE9" w14:textId="77777777" w:rsidR="00170C66" w:rsidRDefault="007D24FD" w:rsidP="00E36D81">
      <w:pPr>
        <w:pStyle w:val="ListParagraph"/>
        <w:widowControl w:val="0"/>
        <w:numPr>
          <w:ilvl w:val="0"/>
          <w:numId w:val="10"/>
        </w:numPr>
        <w:autoSpaceDE w:val="0"/>
        <w:autoSpaceDN w:val="0"/>
        <w:adjustRightInd w:val="0"/>
        <w:spacing w:after="240" w:line="480" w:lineRule="auto"/>
        <w:rPr>
          <w:rFonts w:ascii="Times New Roman" w:hAnsi="Times New Roman" w:cs="Times New Roman"/>
          <w:color w:val="000000" w:themeColor="text1"/>
          <w:sz w:val="22"/>
          <w:szCs w:val="22"/>
          <w:lang w:val="en-US"/>
        </w:rPr>
      </w:pPr>
      <w:r w:rsidRPr="00170C66">
        <w:rPr>
          <w:rFonts w:ascii="Times New Roman" w:hAnsi="Times New Roman" w:cs="Times New Roman"/>
          <w:color w:val="000000" w:themeColor="text1"/>
          <w:sz w:val="22"/>
          <w:szCs w:val="22"/>
          <w:lang w:val="en-US"/>
        </w:rPr>
        <w:t xml:space="preserve">90 degrees in the apical slice or </w:t>
      </w:r>
    </w:p>
    <w:p w14:paraId="3896489F" w14:textId="10320F44" w:rsidR="00170C66" w:rsidRPr="00170C66" w:rsidRDefault="007D24FD" w:rsidP="00E36D81">
      <w:pPr>
        <w:pStyle w:val="ListParagraph"/>
        <w:widowControl w:val="0"/>
        <w:numPr>
          <w:ilvl w:val="0"/>
          <w:numId w:val="10"/>
        </w:numPr>
        <w:autoSpaceDE w:val="0"/>
        <w:autoSpaceDN w:val="0"/>
        <w:adjustRightInd w:val="0"/>
        <w:spacing w:after="240" w:line="480" w:lineRule="auto"/>
        <w:rPr>
          <w:rFonts w:ascii="Times New Roman" w:hAnsi="Times New Roman" w:cs="Times New Roman"/>
          <w:color w:val="000000" w:themeColor="text1"/>
          <w:sz w:val="22"/>
          <w:szCs w:val="22"/>
          <w:lang w:val="en-US"/>
        </w:rPr>
      </w:pPr>
      <w:r w:rsidRPr="00170C66">
        <w:rPr>
          <w:rFonts w:ascii="Times New Roman" w:hAnsi="Times New Roman" w:cs="Times New Roman"/>
          <w:color w:val="000000" w:themeColor="text1"/>
          <w:sz w:val="22"/>
          <w:szCs w:val="22"/>
          <w:lang w:val="en-US"/>
        </w:rPr>
        <w:t>any transmural defect or</w:t>
      </w:r>
    </w:p>
    <w:p w14:paraId="7D63880E" w14:textId="2A55CC95" w:rsidR="007D24FD" w:rsidRPr="00170C66" w:rsidRDefault="007D24FD" w:rsidP="00E36D81">
      <w:pPr>
        <w:pStyle w:val="ListParagraph"/>
        <w:widowControl w:val="0"/>
        <w:numPr>
          <w:ilvl w:val="0"/>
          <w:numId w:val="10"/>
        </w:numPr>
        <w:autoSpaceDE w:val="0"/>
        <w:autoSpaceDN w:val="0"/>
        <w:adjustRightInd w:val="0"/>
        <w:spacing w:after="240" w:line="480" w:lineRule="auto"/>
        <w:rPr>
          <w:rFonts w:ascii="Times New Roman" w:hAnsi="Times New Roman" w:cs="Times New Roman"/>
          <w:color w:val="000000" w:themeColor="text1"/>
          <w:sz w:val="22"/>
          <w:szCs w:val="22"/>
          <w:lang w:val="en-US"/>
        </w:rPr>
      </w:pPr>
      <w:r w:rsidRPr="00170C66">
        <w:rPr>
          <w:rFonts w:ascii="Times New Roman" w:hAnsi="Times New Roman" w:cs="Times New Roman"/>
          <w:color w:val="000000" w:themeColor="text1"/>
          <w:sz w:val="22"/>
          <w:szCs w:val="22"/>
          <w:lang w:val="en-US"/>
        </w:rPr>
        <w:t>two adjacent slices.</w:t>
      </w:r>
    </w:p>
    <w:p w14:paraId="25722C72" w14:textId="6E179D5D" w:rsidR="007C0E57" w:rsidRPr="00EF203A" w:rsidRDefault="0021308C" w:rsidP="00E36D81">
      <w:pPr>
        <w:spacing w:line="480" w:lineRule="auto"/>
        <w:rPr>
          <w:rFonts w:ascii="Times New Roman" w:hAnsi="Times New Roman"/>
          <w:color w:val="000000" w:themeColor="text1"/>
          <w:sz w:val="22"/>
          <w:szCs w:val="22"/>
        </w:rPr>
      </w:pPr>
      <w:r w:rsidRPr="00EF203A">
        <w:rPr>
          <w:rFonts w:ascii="Times New Roman" w:hAnsi="Times New Roman"/>
          <w:color w:val="000000" w:themeColor="text1"/>
          <w:sz w:val="22"/>
          <w:szCs w:val="22"/>
        </w:rPr>
        <w:t>LGE was quantified by a semiautomatic detection method using a previously validated method of full-width at half maximum (FWHM) and reported as a percentage of total LV mass</w:t>
      </w:r>
      <w:r w:rsidRPr="00EF203A">
        <w:rPr>
          <w:rFonts w:ascii="Times New Roman" w:hAnsi="Times New Roman"/>
          <w:color w:val="000000" w:themeColor="text1"/>
          <w:sz w:val="22"/>
          <w:szCs w:val="22"/>
        </w:rPr>
        <w:fldChar w:fldCharType="begin"/>
      </w:r>
      <w:r w:rsidR="00AC216C">
        <w:rPr>
          <w:rFonts w:ascii="Times New Roman" w:hAnsi="Times New Roman"/>
          <w:color w:val="000000" w:themeColor="text1"/>
          <w:sz w:val="22"/>
          <w:szCs w:val="22"/>
        </w:rPr>
        <w:instrText xml:space="preserve"> ADDIN PAPERS2_CITATIONS &lt;citation&gt;&lt;priority&gt;0&lt;/priority&gt;&lt;uuid&gt;0D2110C3-7525-4BAF-B6B0-0A030CA957B0&lt;/uuid&gt;&lt;publications&gt;&lt;publication&gt;&lt;subtype&gt;400&lt;/subtype&gt;&lt;title&gt;Reproducibility of Chronic and Acute Infarct Size Measurement by Delayed Enhancement-Magnetic Resonance Imaging&lt;/title&gt;&lt;url&gt;https://linkinghub.elsevier.com/retrieve/pii/S0735109706001719&lt;/url&gt;&lt;volume&gt;47&lt;/volume&gt;&lt;publication_date&gt;99200604001200000000220000&lt;/publication_date&gt;&lt;uuid&gt;34955964-C413-47A3-A806-48371221AD59&lt;/uuid&gt;&lt;type&gt;400&lt;/type&gt;&lt;number&gt;8&lt;/number&gt;&lt;doi&gt;10.1016/j.jacc.2005.11.065&lt;/doi&gt;&lt;startpage&gt;1641&lt;/startpage&gt;&lt;endpage&gt;1645&lt;/endpage&gt;&lt;bundle&gt;&lt;publication&gt;&lt;title&gt;Journal of the American College of Cardiology&lt;/title&gt;&lt;uuid&gt;5269ED91-3190-4AED-86B7-33A74DA91CBD&lt;/uuid&gt;&lt;subtype&gt;-100&lt;/subtype&gt;&lt;publisher&gt;Elsevier Inc&lt;/publisher&gt;&lt;type&gt;-100&lt;/type&gt;&lt;/publication&gt;&lt;/bundle&gt;&lt;authors&gt;&lt;author&gt;&lt;lastName&gt;Thiele&lt;/lastName&gt;&lt;firstName&gt;Holger&lt;/firstName&gt;&lt;/author&gt;&lt;author&gt;&lt;lastName&gt;Kappl&lt;/lastName&gt;&lt;firstName&gt;Mathias&lt;/firstName&gt;&lt;middleNames&gt;J E&lt;/middleNames&gt;&lt;/author&gt;&lt;author&gt;&lt;lastName&gt;Conradi&lt;/lastName&gt;&lt;firstName&gt;Stefan&lt;/firstName&gt;&lt;/author&gt;&lt;author&gt;&lt;lastName&gt;Niebauer&lt;/lastName&gt;&lt;firstName&gt;Josef&lt;/firstName&gt;&lt;/author&gt;&lt;author&gt;&lt;lastName&gt;Hambrecht&lt;/lastName&gt;&lt;firstName&gt;Rainer&lt;/firstName&gt;&lt;/author&gt;&lt;author&gt;&lt;lastName&gt;Schuler&lt;/lastName&gt;&lt;firstName&gt;Gerhard&lt;/firstName&gt;&lt;/author&gt;&lt;/authors&gt;&lt;/publication&gt;&lt;/publications&gt;&lt;cites&gt;&lt;/cites&gt;&lt;/citation&gt;</w:instrText>
      </w:r>
      <w:r w:rsidRPr="00EF203A">
        <w:rPr>
          <w:rFonts w:ascii="Times New Roman" w:hAnsi="Times New Roman"/>
          <w:color w:val="000000" w:themeColor="text1"/>
          <w:sz w:val="22"/>
          <w:szCs w:val="22"/>
        </w:rPr>
        <w:fldChar w:fldCharType="separate"/>
      </w:r>
      <w:r w:rsidR="00C97265">
        <w:rPr>
          <w:rFonts w:ascii="Times New Roman" w:hAnsi="Times New Roman" w:cs="Times New Roman"/>
          <w:sz w:val="22"/>
          <w:szCs w:val="22"/>
        </w:rPr>
        <w:t>(9)</w:t>
      </w:r>
      <w:r w:rsidRPr="00EF203A">
        <w:rPr>
          <w:rFonts w:ascii="Times New Roman" w:hAnsi="Times New Roman"/>
          <w:color w:val="000000" w:themeColor="text1"/>
          <w:sz w:val="22"/>
          <w:szCs w:val="22"/>
        </w:rPr>
        <w:fldChar w:fldCharType="end"/>
      </w:r>
      <w:r w:rsidRPr="00EF203A">
        <w:rPr>
          <w:rFonts w:ascii="Times New Roman" w:hAnsi="Times New Roman"/>
          <w:color w:val="000000" w:themeColor="text1"/>
          <w:sz w:val="22"/>
          <w:szCs w:val="22"/>
        </w:rPr>
        <w:t>.</w:t>
      </w:r>
    </w:p>
    <w:p w14:paraId="285C840B" w14:textId="424E5B06" w:rsidR="00D96592" w:rsidRPr="004053DB" w:rsidRDefault="00244388" w:rsidP="004053DB">
      <w:pPr>
        <w:widowControl w:val="0"/>
        <w:autoSpaceDE w:val="0"/>
        <w:autoSpaceDN w:val="0"/>
        <w:adjustRightInd w:val="0"/>
        <w:spacing w:after="240" w:line="480" w:lineRule="auto"/>
        <w:rPr>
          <w:rFonts w:ascii="Times New Roman" w:hAnsi="Times New Roman"/>
          <w:color w:val="000000" w:themeColor="text1"/>
          <w:sz w:val="22"/>
          <w:szCs w:val="22"/>
          <w:lang w:val="en-US"/>
        </w:rPr>
      </w:pPr>
      <w:r w:rsidRPr="00EF203A">
        <w:rPr>
          <w:rFonts w:ascii="Times New Roman" w:hAnsi="Times New Roman"/>
          <w:color w:val="000000" w:themeColor="text1"/>
          <w:sz w:val="22"/>
          <w:szCs w:val="22"/>
          <w:lang w:val="en-US"/>
        </w:rPr>
        <w:t>Systematic Coronary Risk Score Evaluation (SCORE) is the European cardiovascular disease risk assessment model, which is based on a large data set tested thoroughly on European data. It operates with hard, reproducible end points (CVD death)</w:t>
      </w:r>
      <w:r w:rsidRPr="00EF203A">
        <w:rPr>
          <w:rFonts w:ascii="Times New Roman" w:hAnsi="Times New Roman"/>
          <w:color w:val="000000" w:themeColor="text1"/>
          <w:sz w:val="22"/>
          <w:szCs w:val="22"/>
          <w:lang w:val="en-US"/>
        </w:rPr>
        <w:fldChar w:fldCharType="begin"/>
      </w:r>
      <w:r w:rsidR="00AC216C">
        <w:rPr>
          <w:rFonts w:ascii="Times New Roman" w:hAnsi="Times New Roman"/>
          <w:color w:val="000000" w:themeColor="text1"/>
          <w:sz w:val="22"/>
          <w:szCs w:val="22"/>
          <w:lang w:val="en-US"/>
        </w:rPr>
        <w:instrText xml:space="preserve"> ADDIN PAPERS2_CITATIONS &lt;citation&gt;&lt;priority&gt;0&lt;/priority&gt;&lt;uuid&gt;ABB9CEC4-CDD9-4325-BEAB-D94AE1041A51&lt;/uuid&gt;&lt;publications&gt;&lt;publication&gt;&lt;subtype&gt;400&lt;/subtype&gt;&lt;title&gt;Estimation of ten-year risk of fatal cardiovascular disease in Europe: the SCORE project.&lt;/title&gt;&lt;url&gt;http://eutils.ncbi.nlm.nih.gov/entrez/eutils/elink.fcgi?dbfrom=pubmed&amp;amp;id=12788299&amp;amp;retmode=ref&amp;amp;cmd=prlinks&lt;/url&gt;&lt;volume&gt;24&lt;/volume&gt;&lt;publication_date&gt;99200306001200000000220000&lt;/publication_date&gt;&lt;uuid&gt;91B25ED9-792A-466B-BD7F-683B38ECADFD&lt;/uuid&gt;&lt;type&gt;400&lt;/type&gt;&lt;number&gt;11&lt;/number&gt;&lt;institution&gt;Department of Epidemiology &amp;amp; Public Health Medicine, Royal College of Surgeons in Ireland, Dublin, Ireland.&lt;/institution&gt;&lt;startpage&gt;987&lt;/startpage&gt;&lt;endpage&gt;1003&lt;/endpage&gt;&lt;authors&gt;&lt;author&gt;&lt;lastName&gt;Conroy&lt;/lastName&gt;&lt;firstName&gt;R&lt;/firstName&gt;&lt;middleNames&gt;M&lt;/middleNames&gt;&lt;/author&gt;&lt;author&gt;&lt;lastName&gt;Pyörälä&lt;/lastName&gt;&lt;firstName&gt;K&lt;/firstName&gt;&lt;/author&gt;&lt;author&gt;&lt;lastName&gt;Fitzgerald&lt;/lastName&gt;&lt;firstName&gt;A&lt;/firstName&gt;&lt;middleNames&gt;P&lt;/middleNames&gt;&lt;/author&gt;&lt;author&gt;&lt;lastName&gt;Sans&lt;/lastName&gt;&lt;firstName&gt;S&lt;/firstName&gt;&lt;/author&gt;&lt;author&gt;&lt;lastName&gt;Menotti&lt;/lastName&gt;&lt;firstName&gt;A&lt;/firstName&gt;&lt;/author&gt;&lt;author&gt;&lt;lastName&gt;Backer&lt;/lastName&gt;&lt;nonDroppingParticle&gt;De&lt;/nonDroppingParticle&gt;&lt;firstName&gt;G&lt;/firstName&gt;&lt;/author&gt;&lt;author&gt;&lt;lastName&gt;Bacquer&lt;/lastName&gt;&lt;nonDroppingParticle&gt;De&lt;/nonDroppingParticle&gt;&lt;firstName&gt;D&lt;/firstName&gt;&lt;/author&gt;&lt;author&gt;&lt;lastName&gt;Ducimetière&lt;/lastName&gt;&lt;firstName&gt;P&lt;/firstName&gt;&lt;/author&gt;&lt;author&gt;&lt;lastName&gt;Jousilahti&lt;/lastName&gt;&lt;firstName&gt;P&lt;/firstName&gt;&lt;/author&gt;&lt;author&gt;&lt;lastName&gt;Keil&lt;/lastName&gt;&lt;firstName&gt;U&lt;/firstName&gt;&lt;/author&gt;&lt;author&gt;&lt;lastName&gt;Njølstad&lt;/lastName&gt;&lt;firstName&gt;I&lt;/firstName&gt;&lt;/author&gt;&lt;author&gt;&lt;lastName&gt;Oganov&lt;/lastName&gt;&lt;firstName&gt;R&lt;/firstName&gt;&lt;middleNames&gt;G&lt;/middleNames&gt;&lt;/author&gt;&lt;author&gt;&lt;lastName&gt;Thomsen&lt;/lastName&gt;&lt;firstName&gt;T&lt;/firstName&gt;&lt;/author&gt;&lt;author&gt;&lt;lastName&gt;Tunstall-Pedoe&lt;/lastName&gt;&lt;firstName&gt;H&lt;/firstName&gt;&lt;/author&gt;&lt;author&gt;&lt;lastName&gt;Tverdal&lt;/lastName&gt;&lt;firstName&gt;A&lt;/firstName&gt;&lt;/author&gt;&lt;author&gt;&lt;lastName&gt;Wedel&lt;/lastName&gt;&lt;firstName&gt;H&lt;/firstName&gt;&lt;/author&gt;&lt;author&gt;&lt;lastName&gt;Whincup&lt;/lastName&gt;&lt;firstName&gt;P&lt;/firstName&gt;&lt;/author&gt;&lt;author&gt;&lt;lastName&gt;Wilhelmsen&lt;/lastName&gt;&lt;firstName&gt;L&lt;/firstName&gt;&lt;/author&gt;&lt;author&gt;&lt;lastName&gt;Graham&lt;/lastName&gt;&lt;firstName&gt;I&lt;/firstName&gt;&lt;middleNames&gt;M&lt;/middleNames&gt;&lt;/author&gt;&lt;author&gt;&lt;lastName&gt;SCORE project group&lt;/lastName&gt;&lt;/author&gt;&lt;/authors&gt;&lt;/publication&gt;&lt;/publications&gt;&lt;cites&gt;&lt;/cites&gt;&lt;/citation&gt;</w:instrText>
      </w:r>
      <w:r w:rsidRPr="00EF203A">
        <w:rPr>
          <w:rFonts w:ascii="Times New Roman" w:hAnsi="Times New Roman"/>
          <w:color w:val="000000" w:themeColor="text1"/>
          <w:sz w:val="22"/>
          <w:szCs w:val="22"/>
          <w:lang w:val="en-US"/>
        </w:rPr>
        <w:fldChar w:fldCharType="separate"/>
      </w:r>
      <w:r w:rsidR="00C97265">
        <w:rPr>
          <w:rFonts w:ascii="Times New Roman" w:hAnsi="Times New Roman" w:cs="Times New Roman"/>
          <w:sz w:val="22"/>
          <w:szCs w:val="22"/>
        </w:rPr>
        <w:t>(10)</w:t>
      </w:r>
      <w:r w:rsidRPr="00EF203A">
        <w:rPr>
          <w:rFonts w:ascii="Times New Roman" w:hAnsi="Times New Roman"/>
          <w:color w:val="000000" w:themeColor="text1"/>
          <w:sz w:val="22"/>
          <w:szCs w:val="22"/>
          <w:lang w:val="en-US"/>
        </w:rPr>
        <w:fldChar w:fldCharType="end"/>
      </w:r>
      <w:r w:rsidR="009F2B73" w:rsidRPr="00EF203A">
        <w:rPr>
          <w:rFonts w:ascii="Times New Roman" w:hAnsi="Times New Roman"/>
          <w:color w:val="000000" w:themeColor="text1"/>
          <w:sz w:val="22"/>
          <w:szCs w:val="22"/>
          <w:lang w:val="en-US"/>
        </w:rPr>
        <w:t>.</w:t>
      </w:r>
      <w:r w:rsidRPr="00EF203A">
        <w:rPr>
          <w:rFonts w:ascii="Times New Roman" w:hAnsi="Times New Roman"/>
          <w:color w:val="000000" w:themeColor="text1"/>
          <w:sz w:val="22"/>
          <w:szCs w:val="22"/>
          <w:lang w:val="en-US"/>
        </w:rPr>
        <w:t xml:space="preserve"> </w:t>
      </w:r>
    </w:p>
    <w:p w14:paraId="296AFD8C" w14:textId="0980AC3E" w:rsidR="00412C03" w:rsidRPr="00E36D81" w:rsidRDefault="001A36C0" w:rsidP="00E36D81">
      <w:pPr>
        <w:spacing w:line="480" w:lineRule="auto"/>
        <w:rPr>
          <w:rFonts w:ascii="Times New Roman" w:hAnsi="Times New Roman" w:cs="Times New Roman"/>
          <w:b/>
          <w:sz w:val="22"/>
          <w:szCs w:val="22"/>
          <w:lang w:val="en-US"/>
        </w:rPr>
      </w:pPr>
      <w:r w:rsidRPr="00E36D81">
        <w:rPr>
          <w:rFonts w:ascii="Times New Roman" w:hAnsi="Times New Roman" w:cs="Times New Roman"/>
          <w:b/>
          <w:sz w:val="22"/>
          <w:szCs w:val="22"/>
          <w:lang w:val="en-US"/>
        </w:rPr>
        <w:t>Endpoint definitions</w:t>
      </w:r>
    </w:p>
    <w:p w14:paraId="3FC1D890" w14:textId="70FAEC5A" w:rsidR="00412C03" w:rsidRPr="00EF203A" w:rsidRDefault="00412C03" w:rsidP="00E36D81">
      <w:pPr>
        <w:widowControl w:val="0"/>
        <w:autoSpaceDE w:val="0"/>
        <w:autoSpaceDN w:val="0"/>
        <w:adjustRightInd w:val="0"/>
        <w:spacing w:line="480" w:lineRule="auto"/>
        <w:rPr>
          <w:rFonts w:ascii="Times New Roman" w:hAnsi="Times New Roman"/>
          <w:color w:val="000000" w:themeColor="text1"/>
          <w:sz w:val="22"/>
          <w:szCs w:val="22"/>
        </w:rPr>
      </w:pPr>
      <w:r w:rsidRPr="00EF203A">
        <w:rPr>
          <w:rFonts w:ascii="Times New Roman" w:hAnsi="Times New Roman"/>
          <w:color w:val="000000" w:themeColor="text1"/>
          <w:sz w:val="22"/>
          <w:szCs w:val="22"/>
        </w:rPr>
        <w:t xml:space="preserve">Cause of death was established from a combination of death certification, available </w:t>
      </w:r>
      <w:proofErr w:type="spellStart"/>
      <w:r w:rsidRPr="00EF203A">
        <w:rPr>
          <w:rFonts w:ascii="Times New Roman" w:hAnsi="Times New Roman"/>
          <w:color w:val="000000" w:themeColor="text1"/>
          <w:sz w:val="22"/>
          <w:szCs w:val="22"/>
        </w:rPr>
        <w:t>postmortem</w:t>
      </w:r>
      <w:proofErr w:type="spellEnd"/>
      <w:r w:rsidRPr="00EF203A">
        <w:rPr>
          <w:rFonts w:ascii="Times New Roman" w:hAnsi="Times New Roman"/>
          <w:color w:val="000000" w:themeColor="text1"/>
          <w:sz w:val="22"/>
          <w:szCs w:val="22"/>
        </w:rPr>
        <w:t xml:space="preserve"> data, patients’ physicians and review of medical records for patients who died while hospitalized. </w:t>
      </w:r>
      <w:r w:rsidRPr="00EF203A">
        <w:rPr>
          <w:rFonts w:ascii="Times New Roman" w:hAnsi="Times New Roman"/>
          <w:color w:val="000000" w:themeColor="text1"/>
          <w:sz w:val="22"/>
          <w:szCs w:val="22"/>
          <w:lang w:val="en-US"/>
        </w:rPr>
        <w:t>Mode of death was classified according to a modified Hinkle-Thaler system</w:t>
      </w:r>
      <w:r w:rsidR="00B83DA0" w:rsidRPr="00EF203A">
        <w:rPr>
          <w:rFonts w:ascii="Times New Roman" w:hAnsi="Times New Roman"/>
          <w:color w:val="000000" w:themeColor="text1"/>
          <w:sz w:val="22"/>
          <w:szCs w:val="22"/>
          <w:lang w:val="en-US"/>
        </w:rPr>
        <w:fldChar w:fldCharType="begin"/>
      </w:r>
      <w:r w:rsidR="00AC216C">
        <w:rPr>
          <w:rFonts w:ascii="Times New Roman" w:hAnsi="Times New Roman"/>
          <w:color w:val="000000" w:themeColor="text1"/>
          <w:sz w:val="22"/>
          <w:szCs w:val="22"/>
          <w:lang w:val="en-US"/>
        </w:rPr>
        <w:instrText xml:space="preserve"> ADDIN PAPERS2_CITATIONS &lt;citation&gt;&lt;priority&gt;0&lt;/priority&gt;&lt;uuid&gt;F2E6DB40-F41F-450A-A774-E0FE6BA2E935&lt;/uuid&gt;&lt;publications&gt;&lt;publication&gt;&lt;subtype&gt;400&lt;/subtype&gt;&lt;title&gt;Association of Fibrosis With Mortality and Sudden Cardiac Death in Patients With Nonischemic Dilated Cardiomyopathy&lt;/title&gt;&lt;url&gt;http://jama.jamanetwork.com/article.aspx?doi=10.1001/jama.2013.1363&lt;/url&gt;&lt;volume&gt;309&lt;/volume&gt;&lt;publication_date&gt;99201303061200000000222000&lt;/publication_date&gt;&lt;uuid&gt;1E8B92A2-08D3-46B7-AD55-83BB2A939872&lt;/uuid&gt;&lt;type&gt;400&lt;/type&gt;&lt;number&gt;9&lt;/number&gt;&lt;doi&gt;10.1001/jama.2013.1363&lt;/doi&gt;&lt;startpage&gt;896&lt;/startpage&gt;&lt;bundle&gt;&lt;publication&gt;&lt;title&gt;JAMA : the journal of the American Medical Association&lt;/title&gt;&lt;uuid&gt;F6965EFB-54FF-4A98-8C5E-2EF5AA3566E2&lt;/uuid&gt;&lt;subtype&gt;-100&lt;/subtype&gt;&lt;type&gt;-100&lt;/type&gt;&lt;/publication&gt;&lt;/bundle&gt;&lt;authors&gt;&lt;author&gt;&lt;lastName&gt;Gulati&lt;/lastName&gt;&lt;firstName&gt;Ankur&lt;/firstName&gt;&lt;/author&gt;&lt;author&gt;&lt;lastName&gt;Jabbour&lt;/lastName&gt;&lt;firstName&gt;Andrew&lt;/firstName&gt;&lt;/author&gt;&lt;author&gt;&lt;lastName&gt;Ismail&lt;/lastName&gt;&lt;firstName&gt;Tevfik&lt;/firstName&gt;&lt;middleNames&gt;F&lt;/middleNames&gt;&lt;/author&gt;&lt;author&gt;&lt;lastName&gt;Guha&lt;/lastName&gt;&lt;firstName&gt;Kaushik&lt;/firstName&gt;&lt;/author&gt;&lt;author&gt;&lt;lastName&gt;Khwaja&lt;/lastName&gt;&lt;firstName&gt;Jahanzaib&lt;/firstName&gt;&lt;/author&gt;&lt;author&gt;&lt;lastName&gt;Raza&lt;/lastName&gt;&lt;firstName&gt;Sadaf&lt;/firstName&gt;&lt;/author&gt;&lt;author&gt;&lt;lastName&gt;Morarji&lt;/lastName&gt;&lt;firstName&gt;Kishen&lt;/firstName&gt;&lt;/author&gt;&lt;author&gt;&lt;lastName&gt;Brown&lt;/lastName&gt;&lt;firstName&gt;Tristan&lt;/firstName&gt;&lt;middleNames&gt;D H&lt;/middleNames&gt;&lt;/author&gt;&lt;author&gt;&lt;lastName&gt;Ismail&lt;/lastName&gt;&lt;firstName&gt;Nizar&lt;/firstName&gt;&lt;middleNames&gt;A&lt;/middleNames&gt;&lt;/author&gt;&lt;author&gt;&lt;lastName&gt;Dweck&lt;/lastName&gt;&lt;firstName&gt;Marc&lt;/firstName&gt;&lt;middleNames&gt;R&lt;/middleNames&gt;&lt;/author&gt;&lt;author&gt;&lt;lastName&gt;Pietro&lt;/lastName&gt;&lt;nonDroppingParticle&gt;Di&lt;/nonDroppingParticle&gt;&lt;firstName&gt;Elisa&lt;/firstName&gt;&lt;/author&gt;&lt;author&gt;&lt;lastName&gt;Roughton&lt;/lastName&gt;&lt;firstName&gt;Michael&lt;/firstName&gt;&lt;/author&gt;&lt;author&gt;&lt;lastName&gt;Wage&lt;/lastName&gt;&lt;firstName&gt;Ricardo&lt;/firstName&gt;&lt;/author&gt;&lt;author&gt;&lt;lastName&gt;Daryani&lt;/lastName&gt;&lt;firstName&gt;Yousef&lt;/firstName&gt;&lt;/author&gt;&lt;author&gt;&lt;lastName&gt;O'Hanlon&lt;/lastName&gt;&lt;firstName&gt;Rory&lt;/firstName&gt;&lt;/author&gt;&lt;author&gt;&lt;lastName&gt;Sheppard&lt;/lastName&gt;&lt;firstName&gt;Mary&lt;/firstName&gt;&lt;middleNames&gt;N&lt;/middleNames&gt;&lt;/author&gt;&lt;author&gt;&lt;lastName&gt;Alpendurada&lt;/lastName&gt;&lt;firstName&gt;Francisco&lt;/firstName&gt;&lt;/author&gt;&lt;author&gt;&lt;lastName&gt;Lyon&lt;/lastName&gt;&lt;firstName&gt;Alexander&lt;/firstName&gt;&lt;middleNames&gt;R&lt;/middleNames&gt;&lt;/author&gt;&lt;author&gt;&lt;lastName&gt;Cook&lt;/lastName&gt;&lt;firstName&gt;Stuart&lt;/firstName&gt;&lt;middleNames&gt;A&lt;/middleNames&gt;&lt;/author&gt;&lt;author&gt;&lt;lastName&gt;Cowie&lt;/lastName&gt;&lt;firstName&gt;Martin&lt;/firstName&gt;&lt;middleNames&gt;R&lt;/middleNames&gt;&lt;/author&gt;&lt;author&gt;&lt;lastName&gt;Assomull&lt;/lastName&gt;&lt;firstName&gt;Ravi&lt;/firstName&gt;&lt;middleNames&gt;G&lt;/middleNames&gt;&lt;/author&gt;&lt;author&gt;&lt;lastName&gt;Pennell&lt;/lastName&gt;&lt;firstName&gt;Dudley&lt;/firstName&gt;&lt;middleNames&gt;J&lt;/middleNames&gt;&lt;/author&gt;&lt;author&gt;&lt;lastName&gt;Prasad&lt;/lastName&gt;&lt;firstName&gt;Sanjay&lt;/firstName&gt;&lt;middleNames&gt;K&lt;/middleNames&gt;&lt;/author&gt;&lt;/authors&gt;&lt;/publication&gt;&lt;/publications&gt;&lt;cites&gt;&lt;/cites&gt;&lt;/citation&gt;</w:instrText>
      </w:r>
      <w:r w:rsidR="00B83DA0" w:rsidRPr="00EF203A">
        <w:rPr>
          <w:rFonts w:ascii="Times New Roman" w:hAnsi="Times New Roman"/>
          <w:color w:val="000000" w:themeColor="text1"/>
          <w:sz w:val="22"/>
          <w:szCs w:val="22"/>
          <w:lang w:val="en-US"/>
        </w:rPr>
        <w:fldChar w:fldCharType="separate"/>
      </w:r>
      <w:r w:rsidR="00AC216C">
        <w:rPr>
          <w:rFonts w:ascii="Times New Roman" w:hAnsi="Times New Roman" w:cs="Times New Roman"/>
          <w:sz w:val="22"/>
          <w:szCs w:val="22"/>
        </w:rPr>
        <w:t>(13)</w:t>
      </w:r>
      <w:r w:rsidR="00B83DA0" w:rsidRPr="00EF203A">
        <w:rPr>
          <w:rFonts w:ascii="Times New Roman" w:hAnsi="Times New Roman"/>
          <w:color w:val="000000" w:themeColor="text1"/>
          <w:sz w:val="22"/>
          <w:szCs w:val="22"/>
          <w:lang w:val="en-US"/>
        </w:rPr>
        <w:fldChar w:fldCharType="end"/>
      </w:r>
      <w:r w:rsidRPr="00EF203A">
        <w:rPr>
          <w:rFonts w:ascii="Times New Roman" w:hAnsi="Times New Roman"/>
          <w:color w:val="000000" w:themeColor="text1"/>
          <w:sz w:val="22"/>
          <w:szCs w:val="22"/>
          <w:lang w:val="en-US"/>
        </w:rPr>
        <w:t xml:space="preserve">. Sudden cardiac death (SCD) was defined as unexpected death either within 1 hour of cardiac symptoms in the absence of progressive cardiac deterioration, during sleep, or within 24 hours of last being seen alive. HF death was defined as death associated with unstable, progressive deterioration of pump function despite active therapy. Aborted SCD was diagnosed in patients who received an appropriate implantable cardioverter-defibrillator </w:t>
      </w:r>
      <w:r w:rsidRPr="00EF203A">
        <w:rPr>
          <w:rFonts w:ascii="Times New Roman" w:hAnsi="Times New Roman"/>
          <w:color w:val="000000" w:themeColor="text1"/>
          <w:sz w:val="22"/>
          <w:szCs w:val="22"/>
          <w:lang w:val="en-US"/>
        </w:rPr>
        <w:lastRenderedPageBreak/>
        <w:t xml:space="preserve">(ICD) shock for ventricular </w:t>
      </w:r>
      <w:r w:rsidR="007D24FD" w:rsidRPr="00EF203A">
        <w:rPr>
          <w:rFonts w:ascii="Times New Roman" w:hAnsi="Times New Roman"/>
          <w:color w:val="000000" w:themeColor="text1"/>
          <w:sz w:val="22"/>
          <w:szCs w:val="22"/>
          <w:lang w:val="en-US"/>
        </w:rPr>
        <w:t>arrhythmia or</w:t>
      </w:r>
      <w:r w:rsidRPr="00EF203A">
        <w:rPr>
          <w:rFonts w:ascii="Times New Roman" w:hAnsi="Times New Roman"/>
          <w:color w:val="000000" w:themeColor="text1"/>
          <w:sz w:val="22"/>
          <w:szCs w:val="22"/>
          <w:lang w:val="en-US"/>
        </w:rPr>
        <w:t xml:space="preserve"> had a documented nonfatal episode of ventricular fibrillation or spontaneous sustained ventricular tachycardia (&gt;30 seconds in duration) causing hemodynamic compromise and requiring cardioversion. </w:t>
      </w:r>
      <w:r w:rsidR="00464CBB" w:rsidRPr="00EF203A">
        <w:rPr>
          <w:rFonts w:ascii="Times New Roman" w:hAnsi="Times New Roman"/>
          <w:color w:val="000000" w:themeColor="text1"/>
          <w:sz w:val="22"/>
          <w:szCs w:val="22"/>
        </w:rPr>
        <w:t xml:space="preserve">Primary endpoint events were adjudicated by independent physicians, </w:t>
      </w:r>
      <w:r w:rsidR="00B83DA0" w:rsidRPr="00EF203A">
        <w:rPr>
          <w:rFonts w:ascii="Times New Roman" w:hAnsi="Times New Roman"/>
          <w:color w:val="000000" w:themeColor="text1"/>
          <w:sz w:val="22"/>
          <w:szCs w:val="22"/>
        </w:rPr>
        <w:t xml:space="preserve">with no access to the information on </w:t>
      </w:r>
      <w:r w:rsidR="00464CBB" w:rsidRPr="00EF203A">
        <w:rPr>
          <w:rFonts w:ascii="Times New Roman" w:hAnsi="Times New Roman"/>
          <w:color w:val="000000" w:themeColor="text1"/>
          <w:sz w:val="22"/>
          <w:szCs w:val="22"/>
        </w:rPr>
        <w:t xml:space="preserve">the </w:t>
      </w:r>
      <w:r w:rsidR="00B83DA0" w:rsidRPr="00EF203A">
        <w:rPr>
          <w:rFonts w:ascii="Times New Roman" w:hAnsi="Times New Roman"/>
          <w:color w:val="000000" w:themeColor="text1"/>
          <w:sz w:val="22"/>
          <w:szCs w:val="22"/>
        </w:rPr>
        <w:t xml:space="preserve">T1 mapping </w:t>
      </w:r>
      <w:r w:rsidR="00464CBB" w:rsidRPr="00EF203A">
        <w:rPr>
          <w:rFonts w:ascii="Times New Roman" w:hAnsi="Times New Roman"/>
          <w:color w:val="000000" w:themeColor="text1"/>
          <w:sz w:val="22"/>
          <w:szCs w:val="22"/>
        </w:rPr>
        <w:t>imaging results.</w:t>
      </w:r>
    </w:p>
    <w:p w14:paraId="3D952F44" w14:textId="440D3FC2" w:rsidR="00D03D20" w:rsidRPr="002A2E5A" w:rsidRDefault="0067566B" w:rsidP="00E36D81">
      <w:pPr>
        <w:spacing w:line="480" w:lineRule="auto"/>
        <w:rPr>
          <w:rFonts w:ascii="Times New Roman" w:hAnsi="Times New Roman" w:cs="Times New Roman"/>
          <w:sz w:val="22"/>
          <w:szCs w:val="22"/>
          <w:lang w:val="en-US"/>
        </w:rPr>
      </w:pPr>
      <w:r w:rsidRPr="002A2E5A">
        <w:rPr>
          <w:rFonts w:ascii="Times New Roman" w:hAnsi="Times New Roman" w:cs="Times New Roman"/>
          <w:sz w:val="22"/>
          <w:szCs w:val="22"/>
          <w:lang w:val="en-US"/>
        </w:rPr>
        <w:t xml:space="preserve">A </w:t>
      </w:r>
      <w:proofErr w:type="spellStart"/>
      <w:r w:rsidRPr="002A2E5A">
        <w:rPr>
          <w:rFonts w:ascii="Times New Roman" w:hAnsi="Times New Roman" w:cs="Times New Roman"/>
          <w:sz w:val="22"/>
          <w:szCs w:val="22"/>
          <w:lang w:val="en-US"/>
        </w:rPr>
        <w:t>uni</w:t>
      </w:r>
      <w:proofErr w:type="spellEnd"/>
      <w:r w:rsidRPr="002A2E5A">
        <w:rPr>
          <w:rFonts w:ascii="Times New Roman" w:hAnsi="Times New Roman" w:cs="Times New Roman"/>
          <w:sz w:val="22"/>
          <w:szCs w:val="22"/>
          <w:lang w:val="en-US"/>
        </w:rPr>
        <w:t>- and</w:t>
      </w:r>
      <w:r w:rsidR="00D414A6" w:rsidRPr="002A2E5A">
        <w:rPr>
          <w:rFonts w:ascii="Times New Roman" w:hAnsi="Times New Roman" w:cs="Times New Roman"/>
          <w:sz w:val="22"/>
          <w:szCs w:val="22"/>
          <w:lang w:val="en-US"/>
        </w:rPr>
        <w:t xml:space="preserve"> </w:t>
      </w:r>
      <w:r w:rsidRPr="002A2E5A">
        <w:rPr>
          <w:rFonts w:ascii="Times New Roman" w:hAnsi="Times New Roman" w:cs="Times New Roman"/>
          <w:sz w:val="22"/>
          <w:szCs w:val="22"/>
          <w:lang w:val="en-US"/>
        </w:rPr>
        <w:t xml:space="preserve">multivariable Cox proportional hazards model was used for analyzing predictive associations of variables with the outcome. Univariable Cox regression models was fitted for each continuous to test the assumption of linearity with the outcome. </w:t>
      </w:r>
      <w:r w:rsidR="00E979C1" w:rsidRPr="002A2E5A">
        <w:rPr>
          <w:rFonts w:ascii="Times New Roman" w:hAnsi="Times New Roman"/>
          <w:sz w:val="22"/>
          <w:szCs w:val="22"/>
        </w:rPr>
        <w:t xml:space="preserve">The proportional hazards assumption required by the Cox model was investigated </w:t>
      </w:r>
      <w:r w:rsidR="00AB4E5C" w:rsidRPr="002A2E5A">
        <w:rPr>
          <w:rFonts w:ascii="Times New Roman" w:hAnsi="Times New Roman"/>
          <w:sz w:val="22"/>
          <w:szCs w:val="22"/>
        </w:rPr>
        <w:t xml:space="preserve">by examining </w:t>
      </w:r>
      <w:r w:rsidR="00366F11" w:rsidRPr="002A2E5A">
        <w:rPr>
          <w:rFonts w:ascii="Times New Roman" w:hAnsi="Times New Roman"/>
          <w:sz w:val="22"/>
          <w:szCs w:val="22"/>
        </w:rPr>
        <w:t xml:space="preserve">time-dependent behaviour of </w:t>
      </w:r>
      <w:r w:rsidR="00C0708C" w:rsidRPr="002A2E5A">
        <w:rPr>
          <w:rFonts w:ascii="Times New Roman" w:hAnsi="Times New Roman"/>
          <w:sz w:val="22"/>
          <w:szCs w:val="22"/>
        </w:rPr>
        <w:t>the</w:t>
      </w:r>
      <w:r w:rsidR="00366F11" w:rsidRPr="002A2E5A">
        <w:rPr>
          <w:rFonts w:ascii="Times New Roman" w:hAnsi="Times New Roman"/>
          <w:sz w:val="22"/>
          <w:szCs w:val="22"/>
        </w:rPr>
        <w:t xml:space="preserve"> variables (either continuous or in binary categorisation) looking for interaction with time in the analysis. All </w:t>
      </w:r>
      <w:r w:rsidR="00C0708C" w:rsidRPr="002A2E5A">
        <w:rPr>
          <w:rFonts w:ascii="Times New Roman" w:hAnsi="Times New Roman"/>
          <w:sz w:val="22"/>
          <w:szCs w:val="22"/>
        </w:rPr>
        <w:t xml:space="preserve">variables </w:t>
      </w:r>
      <w:r w:rsidR="00366F11" w:rsidRPr="002A2E5A">
        <w:rPr>
          <w:rFonts w:ascii="Times New Roman" w:hAnsi="Times New Roman"/>
          <w:sz w:val="22"/>
          <w:szCs w:val="22"/>
        </w:rPr>
        <w:t xml:space="preserve">returned </w:t>
      </w:r>
      <w:r w:rsidR="00C0708C" w:rsidRPr="002A2E5A">
        <w:rPr>
          <w:rFonts w:ascii="Times New Roman" w:hAnsi="Times New Roman"/>
          <w:sz w:val="22"/>
          <w:szCs w:val="22"/>
        </w:rPr>
        <w:t>as</w:t>
      </w:r>
      <w:r w:rsidR="00366F11" w:rsidRPr="002A2E5A">
        <w:rPr>
          <w:rFonts w:ascii="Times New Roman" w:hAnsi="Times New Roman"/>
          <w:sz w:val="22"/>
          <w:szCs w:val="22"/>
        </w:rPr>
        <w:t xml:space="preserve"> non-significant for interaction with time, suggesting that it is not necessary to treat any of the covariates as time-dependent in the model</w:t>
      </w:r>
      <w:r w:rsidR="00E979C1" w:rsidRPr="002A2E5A">
        <w:rPr>
          <w:rFonts w:ascii="Times New Roman" w:hAnsi="Times New Roman"/>
          <w:sz w:val="22"/>
          <w:szCs w:val="22"/>
        </w:rPr>
        <w:t xml:space="preserve">. </w:t>
      </w:r>
      <w:r w:rsidRPr="002A2E5A">
        <w:rPr>
          <w:rFonts w:ascii="Times New Roman" w:hAnsi="Times New Roman" w:cs="Times New Roman"/>
          <w:sz w:val="22"/>
          <w:szCs w:val="22"/>
          <w:lang w:val="en-US"/>
        </w:rPr>
        <w:t>Kaplan-Meier curves are used for visualizing the cumulative event free survival. A log-rank test was performed to compare event free survival curves in subjects for dichotomized variables.</w:t>
      </w:r>
    </w:p>
    <w:p w14:paraId="4CAFF3EE" w14:textId="4ED3D89E" w:rsidR="00701232" w:rsidRDefault="00BA108E" w:rsidP="00E36D81">
      <w:pPr>
        <w:spacing w:line="480" w:lineRule="auto"/>
        <w:rPr>
          <w:rFonts w:ascii="Times New Roman" w:hAnsi="Times New Roman"/>
          <w:color w:val="000000" w:themeColor="text1"/>
          <w:sz w:val="22"/>
          <w:szCs w:val="22"/>
        </w:rPr>
      </w:pPr>
      <w:r w:rsidRPr="00EF203A">
        <w:rPr>
          <w:rFonts w:ascii="Times New Roman" w:hAnsi="Times New Roman" w:cs="Times New Roman"/>
          <w:color w:val="000000" w:themeColor="text1"/>
          <w:sz w:val="22"/>
          <w:szCs w:val="22"/>
          <w:lang w:val="en-US"/>
        </w:rPr>
        <w:t xml:space="preserve">Multi-collinearity/interdependency of variables (and overfitting) in multivariate analyses </w:t>
      </w:r>
      <w:r w:rsidR="005D11F2" w:rsidRPr="00EF203A">
        <w:rPr>
          <w:rFonts w:ascii="Times New Roman" w:hAnsi="Times New Roman" w:cs="Times New Roman"/>
          <w:color w:val="000000" w:themeColor="text1"/>
          <w:sz w:val="22"/>
          <w:szCs w:val="22"/>
          <w:lang w:val="en-US"/>
        </w:rPr>
        <w:t xml:space="preserve">was </w:t>
      </w:r>
      <w:r w:rsidRPr="00EF203A">
        <w:rPr>
          <w:rFonts w:ascii="Times New Roman" w:hAnsi="Times New Roman" w:cs="Times New Roman"/>
          <w:color w:val="000000" w:themeColor="text1"/>
          <w:sz w:val="22"/>
          <w:szCs w:val="22"/>
          <w:lang w:val="en-US"/>
        </w:rPr>
        <w:t>minimized/</w:t>
      </w:r>
      <w:r w:rsidR="005D11F2" w:rsidRPr="00EF203A">
        <w:rPr>
          <w:rFonts w:ascii="Times New Roman" w:hAnsi="Times New Roman" w:cs="Times New Roman"/>
          <w:color w:val="000000" w:themeColor="text1"/>
          <w:sz w:val="22"/>
          <w:szCs w:val="22"/>
          <w:lang w:val="en-US"/>
        </w:rPr>
        <w:t>avoided by</w:t>
      </w:r>
      <w:r w:rsidR="007D5855" w:rsidRPr="00EF203A">
        <w:rPr>
          <w:rFonts w:ascii="Times New Roman" w:hAnsi="Times New Roman" w:cs="Times New Roman"/>
          <w:color w:val="000000" w:themeColor="text1"/>
          <w:sz w:val="22"/>
          <w:szCs w:val="22"/>
          <w:lang w:val="en-US"/>
        </w:rPr>
        <w:t xml:space="preserve"> </w:t>
      </w:r>
      <w:r w:rsidR="007D5855" w:rsidRPr="00EF203A">
        <w:rPr>
          <w:rFonts w:ascii="Times New Roman" w:hAnsi="Times New Roman"/>
          <w:color w:val="000000" w:themeColor="text1"/>
          <w:sz w:val="22"/>
          <w:szCs w:val="22"/>
        </w:rPr>
        <w:t>accounting for the rule of thumb for Cox models with a minimum of 10 outcome events per predictor variable</w:t>
      </w:r>
      <w:r w:rsidR="00795135">
        <w:rPr>
          <w:rFonts w:ascii="Times New Roman" w:hAnsi="Times New Roman"/>
          <w:color w:val="000000" w:themeColor="text1"/>
          <w:sz w:val="22"/>
          <w:szCs w:val="22"/>
        </w:rPr>
        <w:t xml:space="preserve">, </w:t>
      </w:r>
      <w:r w:rsidRPr="00EF203A">
        <w:rPr>
          <w:rFonts w:ascii="Times New Roman" w:hAnsi="Times New Roman"/>
          <w:color w:val="000000" w:themeColor="text1"/>
          <w:sz w:val="22"/>
          <w:szCs w:val="22"/>
        </w:rPr>
        <w:t>by the use of clinical scores, which integrate a number of similar clinical parameters, allowing us to represent these in a more condensed fashion</w:t>
      </w:r>
      <w:r w:rsidR="00795135">
        <w:rPr>
          <w:rFonts w:ascii="Times New Roman" w:hAnsi="Times New Roman"/>
          <w:color w:val="000000" w:themeColor="text1"/>
          <w:sz w:val="22"/>
          <w:szCs w:val="22"/>
        </w:rPr>
        <w:t>.</w:t>
      </w:r>
      <w:r w:rsidR="00701232">
        <w:rPr>
          <w:rFonts w:ascii="Times New Roman" w:hAnsi="Times New Roman"/>
          <w:color w:val="000000" w:themeColor="text1"/>
          <w:sz w:val="22"/>
          <w:szCs w:val="22"/>
        </w:rPr>
        <w:t xml:space="preserve"> </w:t>
      </w:r>
    </w:p>
    <w:p w14:paraId="555E2FBC" w14:textId="079DD2E3" w:rsidR="00661744" w:rsidRPr="00795135" w:rsidRDefault="00661744" w:rsidP="00E36D81">
      <w:pPr>
        <w:spacing w:line="480" w:lineRule="auto"/>
        <w:rPr>
          <w:rFonts w:ascii="Times New Roman" w:hAnsi="Times New Roman" w:cs="Times New Roman"/>
          <w:color w:val="000000" w:themeColor="text1"/>
          <w:sz w:val="22"/>
          <w:szCs w:val="22"/>
          <w:lang w:val="en-US"/>
        </w:rPr>
      </w:pPr>
      <w:r w:rsidRPr="00EF203A">
        <w:rPr>
          <w:rFonts w:ascii="Times New Roman" w:hAnsi="Times New Roman" w:cs="Times New Roman"/>
          <w:color w:val="000000" w:themeColor="text1"/>
          <w:sz w:val="22"/>
          <w:szCs w:val="22"/>
        </w:rPr>
        <w:br w:type="page"/>
      </w:r>
    </w:p>
    <w:p w14:paraId="12DBA836" w14:textId="5C44E882" w:rsidR="00D77020" w:rsidRPr="00E36D81" w:rsidRDefault="00D77020" w:rsidP="00E36D81">
      <w:pPr>
        <w:spacing w:line="480" w:lineRule="auto"/>
        <w:rPr>
          <w:rFonts w:ascii="Times New Roman" w:hAnsi="Times New Roman" w:cs="Times New Roman"/>
          <w:b/>
          <w:color w:val="000000" w:themeColor="text1"/>
          <w:sz w:val="22"/>
          <w:szCs w:val="22"/>
        </w:rPr>
      </w:pPr>
      <w:r w:rsidRPr="00EF203A">
        <w:rPr>
          <w:rFonts w:ascii="Times New Roman" w:hAnsi="Times New Roman" w:cs="Times New Roman"/>
          <w:color w:val="000000" w:themeColor="text1"/>
          <w:sz w:val="22"/>
          <w:szCs w:val="22"/>
          <w:lang w:val="en-US"/>
        </w:rPr>
        <w:lastRenderedPageBreak/>
        <w:t xml:space="preserve">Post-hoc power analyses were performed as comparisons of </w:t>
      </w:r>
      <w:r w:rsidR="00E12B8E">
        <w:rPr>
          <w:rFonts w:ascii="Times New Roman" w:hAnsi="Times New Roman" w:cs="Times New Roman"/>
          <w:color w:val="000000" w:themeColor="text1"/>
          <w:sz w:val="22"/>
          <w:szCs w:val="22"/>
          <w:lang w:val="en-US"/>
        </w:rPr>
        <w:t>the</w:t>
      </w:r>
      <w:r w:rsidR="00E32E9C">
        <w:rPr>
          <w:rFonts w:ascii="Times New Roman" w:hAnsi="Times New Roman" w:cs="Times New Roman"/>
          <w:color w:val="000000" w:themeColor="text1"/>
          <w:sz w:val="22"/>
          <w:szCs w:val="22"/>
          <w:lang w:val="en-US"/>
        </w:rPr>
        <w:t xml:space="preserve"> </w:t>
      </w:r>
      <w:r w:rsidRPr="00EF203A">
        <w:rPr>
          <w:rFonts w:ascii="Times New Roman" w:hAnsi="Times New Roman" w:cs="Times New Roman"/>
          <w:color w:val="000000" w:themeColor="text1"/>
          <w:sz w:val="22"/>
          <w:szCs w:val="22"/>
          <w:lang w:val="en-US"/>
        </w:rPr>
        <w:t>rates for</w:t>
      </w:r>
      <w:r w:rsidR="00E12B8E">
        <w:rPr>
          <w:rFonts w:ascii="Times New Roman" w:hAnsi="Times New Roman" w:cs="Times New Roman"/>
          <w:color w:val="000000" w:themeColor="text1"/>
          <w:sz w:val="22"/>
          <w:szCs w:val="22"/>
          <w:lang w:val="en-US"/>
        </w:rPr>
        <w:t xml:space="preserve"> increased T1 or T2 in patients with events versus those without</w:t>
      </w:r>
      <w:r w:rsidR="00E32E9C">
        <w:rPr>
          <w:rFonts w:ascii="Times New Roman" w:hAnsi="Times New Roman" w:cs="Times New Roman"/>
          <w:color w:val="000000" w:themeColor="text1"/>
          <w:sz w:val="22"/>
          <w:szCs w:val="22"/>
          <w:lang w:val="en-US"/>
        </w:rPr>
        <w:t xml:space="preserve"> using </w:t>
      </w:r>
      <w:r w:rsidRPr="00EF203A">
        <w:rPr>
          <w:rFonts w:ascii="Times New Roman" w:hAnsi="Times New Roman" w:cs="Times New Roman"/>
          <w:color w:val="000000" w:themeColor="text1"/>
          <w:sz w:val="22"/>
          <w:szCs w:val="22"/>
          <w:lang w:val="en-US"/>
        </w:rPr>
        <w:t>Post-hoc Power Calculator (</w:t>
      </w:r>
      <w:hyperlink r:id="rId7" w:history="1">
        <w:r w:rsidRPr="00EF203A">
          <w:rPr>
            <w:rStyle w:val="Hyperlink"/>
            <w:rFonts w:ascii="Times New Roman" w:hAnsi="Times New Roman" w:cs="Times New Roman"/>
            <w:color w:val="000000" w:themeColor="text1"/>
            <w:sz w:val="22"/>
            <w:szCs w:val="22"/>
            <w:lang w:val="en-US"/>
          </w:rPr>
          <w:t>http://clincalc.com/Stats/Power.aspx</w:t>
        </w:r>
      </w:hyperlink>
      <w:r w:rsidRPr="00EF203A">
        <w:rPr>
          <w:rFonts w:ascii="Times New Roman" w:hAnsi="Times New Roman" w:cs="Times New Roman"/>
          <w:color w:val="000000" w:themeColor="text1"/>
          <w:sz w:val="22"/>
          <w:szCs w:val="22"/>
          <w:lang w:val="en-US"/>
        </w:rPr>
        <w:t xml:space="preserve">). </w:t>
      </w:r>
    </w:p>
    <w:p w14:paraId="48AF7445" w14:textId="5A98AA8D" w:rsidR="00E12B8E" w:rsidRDefault="00E12B8E" w:rsidP="00E36D81">
      <w:pPr>
        <w:spacing w:line="48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Post hoc power analysis for T1:</w:t>
      </w:r>
    </w:p>
    <w:p w14:paraId="611B601D" w14:textId="502CA33B" w:rsidR="00E12B8E" w:rsidRDefault="00E12B8E" w:rsidP="00E36D81">
      <w:pPr>
        <w:spacing w:line="480" w:lineRule="auto"/>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335B4831" wp14:editId="5F1BFFAE">
            <wp:extent cx="4876800" cy="19177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8"/>
                    <a:stretch>
                      <a:fillRect/>
                    </a:stretch>
                  </pic:blipFill>
                  <pic:spPr>
                    <a:xfrm>
                      <a:off x="0" y="0"/>
                      <a:ext cx="4876800" cy="1917700"/>
                    </a:xfrm>
                    <a:prstGeom prst="rect">
                      <a:avLst/>
                    </a:prstGeom>
                  </pic:spPr>
                </pic:pic>
              </a:graphicData>
            </a:graphic>
          </wp:inline>
        </w:drawing>
      </w:r>
    </w:p>
    <w:p w14:paraId="35F02944" w14:textId="77C677B9" w:rsidR="00E12B8E" w:rsidRDefault="00E12B8E" w:rsidP="00E36D81">
      <w:pPr>
        <w:spacing w:line="48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Post hoc power analysis for T2:</w:t>
      </w:r>
    </w:p>
    <w:p w14:paraId="0FD0E395" w14:textId="20286DCE" w:rsidR="00D77020" w:rsidRPr="00EF203A" w:rsidRDefault="00E12B8E" w:rsidP="00E36D81">
      <w:pPr>
        <w:spacing w:line="480" w:lineRule="auto"/>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6C7FC516" wp14:editId="5938EDDC">
            <wp:extent cx="4876800" cy="21209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9"/>
                    <a:stretch>
                      <a:fillRect/>
                    </a:stretch>
                  </pic:blipFill>
                  <pic:spPr>
                    <a:xfrm>
                      <a:off x="0" y="0"/>
                      <a:ext cx="4876800" cy="2120900"/>
                    </a:xfrm>
                    <a:prstGeom prst="rect">
                      <a:avLst/>
                    </a:prstGeom>
                  </pic:spPr>
                </pic:pic>
              </a:graphicData>
            </a:graphic>
          </wp:inline>
        </w:drawing>
      </w:r>
    </w:p>
    <w:p w14:paraId="73EEFB54" w14:textId="1BAA44FD" w:rsidR="00795135" w:rsidRPr="00E36D81" w:rsidRDefault="00795135" w:rsidP="00E36D81">
      <w:pPr>
        <w:spacing w:line="480" w:lineRule="auto"/>
        <w:rPr>
          <w:rFonts w:ascii="Times New Roman" w:hAnsi="Times New Roman" w:cs="Times New Roman"/>
          <w:color w:val="000000" w:themeColor="text1"/>
          <w:sz w:val="22"/>
          <w:szCs w:val="22"/>
        </w:rPr>
      </w:pPr>
      <w:r w:rsidRPr="00E36D81">
        <w:rPr>
          <w:rFonts w:ascii="Times New Roman" w:hAnsi="Times New Roman" w:cs="Times New Roman"/>
          <w:color w:val="000000" w:themeColor="text1"/>
          <w:sz w:val="22"/>
          <w:szCs w:val="22"/>
        </w:rPr>
        <w:br w:type="page"/>
      </w:r>
    </w:p>
    <w:p w14:paraId="0668CC49" w14:textId="49411E3D" w:rsidR="00783B46" w:rsidRDefault="00620B66" w:rsidP="00E36D81">
      <w:pPr>
        <w:spacing w:line="480" w:lineRule="auto"/>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lastRenderedPageBreak/>
        <w:t>Figures</w:t>
      </w:r>
      <w:r w:rsidR="00783B46" w:rsidRPr="00E36D81">
        <w:rPr>
          <w:rFonts w:ascii="Times New Roman" w:hAnsi="Times New Roman" w:cs="Times New Roman"/>
          <w:b/>
          <w:bCs/>
          <w:color w:val="000000" w:themeColor="text1"/>
          <w:sz w:val="22"/>
          <w:szCs w:val="22"/>
        </w:rPr>
        <w:t xml:space="preserve"> 1S</w:t>
      </w:r>
      <w:r w:rsidR="00783B46" w:rsidRPr="00783B46">
        <w:rPr>
          <w:rFonts w:ascii="Times New Roman" w:hAnsi="Times New Roman" w:cs="Times New Roman"/>
          <w:color w:val="000000" w:themeColor="text1"/>
          <w:sz w:val="22"/>
          <w:szCs w:val="22"/>
        </w:rPr>
        <w:t>.</w:t>
      </w:r>
      <w:r w:rsidR="003D75A0">
        <w:rPr>
          <w:rFonts w:ascii="Times New Roman" w:hAnsi="Times New Roman" w:cs="Times New Roman"/>
          <w:color w:val="000000" w:themeColor="text1"/>
          <w:sz w:val="22"/>
          <w:szCs w:val="22"/>
        </w:rPr>
        <w:t xml:space="preserve"> The added </w:t>
      </w:r>
      <w:proofErr w:type="spellStart"/>
      <w:r w:rsidR="003D75A0">
        <w:rPr>
          <w:rFonts w:ascii="Times New Roman" w:hAnsi="Times New Roman" w:cs="Times New Roman"/>
          <w:color w:val="000000" w:themeColor="text1"/>
          <w:sz w:val="22"/>
          <w:szCs w:val="22"/>
        </w:rPr>
        <w:t>explainability</w:t>
      </w:r>
      <w:proofErr w:type="spellEnd"/>
      <w:r w:rsidR="003D75A0">
        <w:rPr>
          <w:rFonts w:ascii="Times New Roman" w:hAnsi="Times New Roman" w:cs="Times New Roman"/>
          <w:color w:val="000000" w:themeColor="text1"/>
          <w:sz w:val="22"/>
          <w:szCs w:val="22"/>
        </w:rPr>
        <w:t xml:space="preserve"> of the predictive association with outcome. Chi-</w:t>
      </w:r>
      <w:proofErr w:type="spellStart"/>
      <w:r w:rsidR="003D75A0">
        <w:rPr>
          <w:rFonts w:ascii="Times New Roman" w:hAnsi="Times New Roman" w:cs="Times New Roman"/>
          <w:color w:val="000000" w:themeColor="text1"/>
          <w:sz w:val="22"/>
          <w:szCs w:val="22"/>
        </w:rPr>
        <w:t>Sq</w:t>
      </w:r>
      <w:proofErr w:type="spellEnd"/>
      <w:r w:rsidR="003D75A0">
        <w:rPr>
          <w:rFonts w:ascii="Times New Roman" w:hAnsi="Times New Roman" w:cs="Times New Roman"/>
          <w:color w:val="000000" w:themeColor="text1"/>
          <w:sz w:val="22"/>
          <w:szCs w:val="22"/>
        </w:rPr>
        <w:t xml:space="preserve"> values of the Cox regression models that incrementally included other clinical variables in addition to </w:t>
      </w:r>
      <w:r w:rsidR="00DC157D">
        <w:rPr>
          <w:rFonts w:ascii="Times New Roman" w:hAnsi="Times New Roman" w:cs="Times New Roman"/>
          <w:color w:val="000000" w:themeColor="text1"/>
          <w:sz w:val="22"/>
          <w:szCs w:val="22"/>
        </w:rPr>
        <w:t xml:space="preserve">native </w:t>
      </w:r>
      <w:r w:rsidR="00783B46" w:rsidRPr="00783B46">
        <w:rPr>
          <w:rFonts w:ascii="Times New Roman" w:hAnsi="Times New Roman" w:cs="Times New Roman"/>
          <w:color w:val="000000" w:themeColor="text1"/>
          <w:sz w:val="22"/>
          <w:szCs w:val="22"/>
        </w:rPr>
        <w:t xml:space="preserve">T1 </w:t>
      </w:r>
      <w:r>
        <w:rPr>
          <w:rFonts w:ascii="Times New Roman" w:hAnsi="Times New Roman" w:cs="Times New Roman"/>
          <w:color w:val="000000" w:themeColor="text1"/>
          <w:sz w:val="22"/>
          <w:szCs w:val="22"/>
        </w:rPr>
        <w:t>(</w:t>
      </w:r>
      <w:r w:rsidRPr="00E319FE">
        <w:rPr>
          <w:rFonts w:ascii="Times New Roman" w:hAnsi="Times New Roman" w:cs="Times New Roman"/>
          <w:b/>
          <w:bCs/>
          <w:color w:val="000000" w:themeColor="text1"/>
          <w:sz w:val="22"/>
          <w:szCs w:val="22"/>
        </w:rPr>
        <w:t>A</w:t>
      </w:r>
      <w:r>
        <w:rPr>
          <w:rFonts w:ascii="Times New Roman" w:hAnsi="Times New Roman" w:cs="Times New Roman"/>
          <w:color w:val="000000" w:themeColor="text1"/>
          <w:sz w:val="22"/>
          <w:szCs w:val="22"/>
        </w:rPr>
        <w:t>), including blood markers (</w:t>
      </w:r>
      <w:proofErr w:type="spellStart"/>
      <w:r w:rsidR="00783B46" w:rsidRPr="00783B46">
        <w:rPr>
          <w:rFonts w:ascii="Times New Roman" w:hAnsi="Times New Roman" w:cs="Times New Roman"/>
          <w:color w:val="000000" w:themeColor="text1"/>
          <w:sz w:val="22"/>
          <w:szCs w:val="22"/>
        </w:rPr>
        <w:t>hsTropT</w:t>
      </w:r>
      <w:proofErr w:type="spellEnd"/>
      <w:r w:rsidR="00783B46" w:rsidRPr="00783B46">
        <w:rPr>
          <w:rFonts w:ascii="Times New Roman" w:hAnsi="Times New Roman" w:cs="Times New Roman"/>
          <w:color w:val="000000" w:themeColor="text1"/>
          <w:sz w:val="22"/>
          <w:szCs w:val="22"/>
        </w:rPr>
        <w:t xml:space="preserve">, </w:t>
      </w:r>
      <w:proofErr w:type="spellStart"/>
      <w:r w:rsidR="00783B46" w:rsidRPr="00783B46">
        <w:rPr>
          <w:rFonts w:ascii="Times New Roman" w:hAnsi="Times New Roman" w:cs="Times New Roman"/>
          <w:color w:val="000000" w:themeColor="text1"/>
          <w:sz w:val="22"/>
          <w:szCs w:val="22"/>
        </w:rPr>
        <w:t>NTproBNP</w:t>
      </w:r>
      <w:proofErr w:type="spellEnd"/>
      <w:r w:rsidR="00783B46" w:rsidRPr="00783B46">
        <w:rPr>
          <w:rFonts w:ascii="Times New Roman" w:hAnsi="Times New Roman" w:cs="Times New Roman"/>
          <w:color w:val="000000" w:themeColor="text1"/>
          <w:sz w:val="22"/>
          <w:szCs w:val="22"/>
        </w:rPr>
        <w:t xml:space="preserve">) and LVEF </w:t>
      </w:r>
      <w:r w:rsidR="00DC157D">
        <w:rPr>
          <w:rFonts w:ascii="Times New Roman" w:hAnsi="Times New Roman" w:cs="Times New Roman"/>
          <w:color w:val="000000" w:themeColor="text1"/>
          <w:sz w:val="22"/>
          <w:szCs w:val="22"/>
        </w:rPr>
        <w:t>and LGE</w:t>
      </w:r>
      <w:r w:rsidR="003D75A0">
        <w:rPr>
          <w:rFonts w:ascii="Times New Roman" w:hAnsi="Times New Roman" w:cs="Times New Roman"/>
          <w:color w:val="000000" w:themeColor="text1"/>
          <w:sz w:val="22"/>
          <w:szCs w:val="22"/>
        </w:rPr>
        <w:t xml:space="preserve">. Plot B examines the added value of </w:t>
      </w:r>
      <w:r>
        <w:rPr>
          <w:rFonts w:ascii="Times New Roman" w:hAnsi="Times New Roman" w:cs="Times New Roman"/>
          <w:color w:val="000000" w:themeColor="text1"/>
          <w:sz w:val="22"/>
          <w:szCs w:val="22"/>
        </w:rPr>
        <w:t xml:space="preserve">cardiovascular prediction scores </w:t>
      </w:r>
      <w:r w:rsidR="00E319FE">
        <w:rPr>
          <w:rFonts w:ascii="Times New Roman" w:hAnsi="Times New Roman" w:cs="Times New Roman"/>
          <w:color w:val="000000" w:themeColor="text1"/>
          <w:sz w:val="22"/>
          <w:szCs w:val="22"/>
        </w:rPr>
        <w:t>(</w:t>
      </w:r>
      <w:r w:rsidR="00E319FE" w:rsidRPr="00E319FE">
        <w:rPr>
          <w:rFonts w:ascii="Times New Roman" w:hAnsi="Times New Roman" w:cs="Times New Roman"/>
          <w:b/>
          <w:bCs/>
          <w:color w:val="000000" w:themeColor="text1"/>
          <w:sz w:val="22"/>
          <w:szCs w:val="22"/>
        </w:rPr>
        <w:t>B</w:t>
      </w:r>
      <w:r w:rsidR="00E319FE">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w:t>
      </w:r>
      <w:r w:rsidR="003C4D71">
        <w:rPr>
          <w:rFonts w:ascii="Times New Roman" w:hAnsi="Times New Roman" w:cs="Times New Roman"/>
          <w:color w:val="000000" w:themeColor="text1"/>
          <w:sz w:val="22"/>
          <w:szCs w:val="22"/>
        </w:rPr>
        <w:t xml:space="preserve"> </w:t>
      </w:r>
      <w:proofErr w:type="gramStart"/>
      <w:r w:rsidR="003C4D71" w:rsidRPr="003C4D71">
        <w:rPr>
          <w:rFonts w:ascii="Times New Roman" w:hAnsi="Times New Roman" w:cs="Times New Roman"/>
          <w:color w:val="000000" w:themeColor="text1"/>
          <w:sz w:val="22"/>
          <w:szCs w:val="22"/>
        </w:rPr>
        <w:t>D:A</w:t>
      </w:r>
      <w:proofErr w:type="gramEnd"/>
      <w:r w:rsidR="003C4D71" w:rsidRPr="003C4D71">
        <w:rPr>
          <w:rFonts w:ascii="Times New Roman" w:hAnsi="Times New Roman" w:cs="Times New Roman"/>
          <w:color w:val="000000" w:themeColor="text1"/>
          <w:sz w:val="22"/>
          <w:szCs w:val="22"/>
        </w:rPr>
        <w:t>:D, data collection on adverse effects of anti-HIV drugs; HIV; human immunodeficiency virus; FRS – Framingham Risk Score, Meta‐Analysis Global Group in Chronic (MAGGIC) Heart Failure Risk Score.</w:t>
      </w:r>
    </w:p>
    <w:p w14:paraId="6231EF9C" w14:textId="30C231A1" w:rsidR="005149F7" w:rsidRPr="005149F7" w:rsidRDefault="005149F7" w:rsidP="00E36D81">
      <w:pPr>
        <w:spacing w:line="480" w:lineRule="auto"/>
        <w:rPr>
          <w:rFonts w:ascii="Times New Roman" w:hAnsi="Times New Roman" w:cs="Times New Roman"/>
          <w:b/>
          <w:bCs/>
          <w:color w:val="000000" w:themeColor="text1"/>
          <w:sz w:val="22"/>
          <w:szCs w:val="22"/>
        </w:rPr>
      </w:pPr>
      <w:r w:rsidRPr="005149F7">
        <w:rPr>
          <w:rFonts w:ascii="Times New Roman" w:hAnsi="Times New Roman" w:cs="Times New Roman"/>
          <w:b/>
          <w:bCs/>
          <w:color w:val="000000" w:themeColor="text1"/>
          <w:sz w:val="22"/>
          <w:szCs w:val="22"/>
        </w:rPr>
        <w:t>A</w:t>
      </w:r>
    </w:p>
    <w:p w14:paraId="4CEFC026" w14:textId="0B935A85" w:rsidR="00737936" w:rsidRDefault="002A2E5A" w:rsidP="00E36D81">
      <w:pPr>
        <w:spacing w:line="480" w:lineRule="auto"/>
        <w:rPr>
          <w:rFonts w:ascii="Times New Roman" w:hAnsi="Times New Roman" w:cs="Times New Roman"/>
          <w:b/>
          <w:color w:val="000000" w:themeColor="text1"/>
          <w:sz w:val="22"/>
          <w:szCs w:val="22"/>
        </w:rPr>
      </w:pPr>
      <w:r>
        <w:rPr>
          <w:rFonts w:ascii="Times New Roman" w:hAnsi="Times New Roman" w:cs="Times New Roman"/>
          <w:b/>
          <w:noProof/>
          <w:color w:val="000000" w:themeColor="text1"/>
          <w:sz w:val="22"/>
          <w:szCs w:val="22"/>
        </w:rPr>
        <w:drawing>
          <wp:inline distT="0" distB="0" distL="0" distR="0" wp14:anchorId="2233AEBF" wp14:editId="11D3F60F">
            <wp:extent cx="5026943" cy="2984500"/>
            <wp:effectExtent l="0" t="0" r="2540" b="6350"/>
            <wp:docPr id="3" name="Picture 3" descr="Chart, bar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 treemap chart&#10;&#10;Description automatically generated"/>
                    <pic:cNvPicPr/>
                  </pic:nvPicPr>
                  <pic:blipFill>
                    <a:blip r:embed="rId10"/>
                    <a:stretch>
                      <a:fillRect/>
                    </a:stretch>
                  </pic:blipFill>
                  <pic:spPr>
                    <a:xfrm>
                      <a:off x="0" y="0"/>
                      <a:ext cx="5036091" cy="2989931"/>
                    </a:xfrm>
                    <a:prstGeom prst="rect">
                      <a:avLst/>
                    </a:prstGeom>
                  </pic:spPr>
                </pic:pic>
              </a:graphicData>
            </a:graphic>
          </wp:inline>
        </w:drawing>
      </w:r>
    </w:p>
    <w:p w14:paraId="79CB2709" w14:textId="77777777" w:rsidR="00C66DA7" w:rsidRDefault="00C66DA7">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br w:type="page"/>
      </w:r>
    </w:p>
    <w:p w14:paraId="2F045538" w14:textId="263C7E6F" w:rsidR="005149F7" w:rsidRDefault="005149F7" w:rsidP="00E36D81">
      <w:pPr>
        <w:spacing w:line="480"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lastRenderedPageBreak/>
        <w:t>B</w:t>
      </w:r>
    </w:p>
    <w:p w14:paraId="75B46A6A" w14:textId="1B7C42A7" w:rsidR="005149F7" w:rsidRPr="00701232" w:rsidRDefault="00C66DA7" w:rsidP="00E36D81">
      <w:pPr>
        <w:spacing w:line="480" w:lineRule="auto"/>
        <w:rPr>
          <w:rFonts w:ascii="Times New Roman" w:hAnsi="Times New Roman" w:cs="Times New Roman"/>
          <w:b/>
          <w:color w:val="000000" w:themeColor="text1"/>
          <w:sz w:val="22"/>
          <w:szCs w:val="22"/>
        </w:rPr>
      </w:pPr>
      <w:r>
        <w:rPr>
          <w:rFonts w:ascii="Times New Roman" w:hAnsi="Times New Roman" w:cs="Times New Roman"/>
          <w:b/>
          <w:noProof/>
          <w:color w:val="000000" w:themeColor="text1"/>
          <w:sz w:val="22"/>
          <w:szCs w:val="22"/>
        </w:rPr>
        <w:drawing>
          <wp:inline distT="0" distB="0" distL="0" distR="0" wp14:anchorId="0915CB86" wp14:editId="06D4A14B">
            <wp:extent cx="5185820" cy="3333750"/>
            <wp:effectExtent l="0" t="0" r="0" b="0"/>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11"/>
                    <a:stretch>
                      <a:fillRect/>
                    </a:stretch>
                  </pic:blipFill>
                  <pic:spPr>
                    <a:xfrm>
                      <a:off x="0" y="0"/>
                      <a:ext cx="5232786" cy="3363942"/>
                    </a:xfrm>
                    <a:prstGeom prst="rect">
                      <a:avLst/>
                    </a:prstGeom>
                  </pic:spPr>
                </pic:pic>
              </a:graphicData>
            </a:graphic>
          </wp:inline>
        </w:drawing>
      </w:r>
    </w:p>
    <w:p w14:paraId="45EA1F73" w14:textId="77777777" w:rsidR="00C66DA7" w:rsidRDefault="00C66DA7">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br w:type="page"/>
      </w:r>
    </w:p>
    <w:p w14:paraId="20DB0BF8" w14:textId="45D2E00D" w:rsidR="00C30258" w:rsidRPr="00CB7985" w:rsidRDefault="00C30258" w:rsidP="00E36D81">
      <w:pPr>
        <w:spacing w:line="480" w:lineRule="auto"/>
        <w:rPr>
          <w:rFonts w:ascii="Times New Roman" w:hAnsi="Times New Roman" w:cs="Times New Roman"/>
          <w:b/>
          <w:color w:val="000000" w:themeColor="text1"/>
          <w:sz w:val="22"/>
          <w:szCs w:val="22"/>
        </w:rPr>
      </w:pPr>
      <w:r w:rsidRPr="00CB7985">
        <w:rPr>
          <w:rFonts w:ascii="Times New Roman" w:hAnsi="Times New Roman" w:cs="Times New Roman"/>
          <w:b/>
          <w:color w:val="000000" w:themeColor="text1"/>
          <w:sz w:val="22"/>
          <w:szCs w:val="22"/>
        </w:rPr>
        <w:lastRenderedPageBreak/>
        <w:t>References:</w:t>
      </w:r>
    </w:p>
    <w:p w14:paraId="5A98B4C0" w14:textId="77777777" w:rsidR="00AC216C" w:rsidRDefault="00C30258"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sidRPr="00EF203A">
        <w:rPr>
          <w:rFonts w:ascii="Times New Roman" w:hAnsi="Times New Roman" w:cs="Times New Roman"/>
          <w:color w:val="000000" w:themeColor="text1"/>
          <w:sz w:val="22"/>
          <w:szCs w:val="22"/>
        </w:rPr>
        <w:fldChar w:fldCharType="begin"/>
      </w:r>
      <w:r w:rsidRPr="00E36D81">
        <w:rPr>
          <w:rFonts w:ascii="Times New Roman" w:hAnsi="Times New Roman" w:cs="Times New Roman"/>
          <w:color w:val="000000" w:themeColor="text1"/>
          <w:sz w:val="22"/>
          <w:szCs w:val="22"/>
        </w:rPr>
        <w:instrText xml:space="preserve"> ADDIN PAPERS2_CITATIONS &lt;papers2_bibliography/&gt;</w:instrText>
      </w:r>
      <w:r w:rsidRPr="00EF203A">
        <w:rPr>
          <w:rFonts w:ascii="Times New Roman" w:hAnsi="Times New Roman" w:cs="Times New Roman"/>
          <w:color w:val="000000" w:themeColor="text1"/>
          <w:sz w:val="22"/>
          <w:szCs w:val="22"/>
        </w:rPr>
        <w:fldChar w:fldCharType="separate"/>
      </w:r>
      <w:r w:rsidR="00AC216C">
        <w:rPr>
          <w:rFonts w:ascii="Times New Roman" w:hAnsi="Times New Roman" w:cs="Times New Roman"/>
          <w:sz w:val="22"/>
          <w:szCs w:val="22"/>
        </w:rPr>
        <w:t>1. Puntmann VO, Carr-White G, Jabbour A, et al. T1-Mapping and Outcome in Nonischemic Cardiomyopathy. JACC Cardiovasc Imaging 2016;9:40–50.</w:t>
      </w:r>
    </w:p>
    <w:p w14:paraId="2F5B1247"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2. Dabir D, Child N, Kalra A, et al. Reference values for healthy human myocardium using a T1 mapping methodology: results from the International T1 Multicenter cardiovascular magnetic resonance study. Journal of Cardiovascular Magnetic Resonance 2014;16:34.</w:t>
      </w:r>
    </w:p>
    <w:p w14:paraId="53D8F02E"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3. Rogers T, Dabir D, Mahmoud I, et al. Standardization of T1 measurements with MOLLI in differentiation between health and disease – the ConSept study. Journal of Cardiovascular Magnetic Resonance 2013;15:78.</w:t>
      </w:r>
    </w:p>
    <w:p w14:paraId="4482EC01"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4. Ishida M, Schuster A, Morton G, et al. Development of a universal dual-bolus injection scheme for the quantitative assessment of myocardial perfusion cardiovascular magnetic resonance. Journal of Cardiovascular Magnetic Resonance 2011;13:73.</w:t>
      </w:r>
    </w:p>
    <w:p w14:paraId="6DA4AD4A"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5. Hussain ST, Paul M, Plein S, et al. Design and rationale of the MR-INFORM study: stress perfusion cardiovascular magnetic resonance imaging to guide the management of patients with stable coronary artery disease. Journal of Cardiovascular Magnetic Resonance 2012;14:1503.</w:t>
      </w:r>
    </w:p>
    <w:p w14:paraId="6198E24C" w14:textId="416092BF"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 xml:space="preserve">6. </w:t>
      </w:r>
      <w:r w:rsidRPr="00E36D81">
        <w:rPr>
          <w:rFonts w:ascii="Times New Roman" w:hAnsi="Times New Roman" w:cs="Times New Roman"/>
          <w:sz w:val="22"/>
          <w:szCs w:val="22"/>
        </w:rPr>
        <w:t>Haslbauer J et al, JCMR 2018, April 2018, V964., Clin Res Cardiol 107, Suppl 1, April 2018,</w:t>
      </w:r>
    </w:p>
    <w:p w14:paraId="412E6589"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7. Giri S, Chung Y-C, Merchant A, et al. T2 quantification for improved detection of myocardial edema. Journal of Cardiovascular Magnetic Resonance 2009;11:56.</w:t>
      </w:r>
    </w:p>
    <w:p w14:paraId="2BFA1023"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8. Nagel E, Greenwood JP, McCann GP, et al. Magnetic Resonance Perfusion or Fractional Flow Reserve in Coronary Disease. New England Journal of Medicine 2019;380:2418–2428.</w:t>
      </w:r>
    </w:p>
    <w:p w14:paraId="3349E09D"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lastRenderedPageBreak/>
        <w:t>9. Thiele H, Kappl MJE, Conradi S, Niebauer J, Hambrecht R, Schuler G. Reproducibility of Chronic and Acute Infarct Size Measurement by Delayed Enhancement-Magnetic Resonance Imaging. J. Am. Coll. Cardiol. 2006;47:1641–1645.</w:t>
      </w:r>
    </w:p>
    <w:p w14:paraId="343AAEF8"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10. Conroy RM, Pyörälä K, Fitzgerald AP, et al. Estimation of ten-year risk of fatal cardiovascular disease in Europe: the SCORE project. 2003;24:987–1003.</w:t>
      </w:r>
    </w:p>
    <w:p w14:paraId="4A5721F5"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11. Winau L, Hinojar Baydes R, Braner A, et al. High-sensitive troponin is associated with subclinical imaging biosignature of inflammatory cardiovascular involvement in systemic lupus erythematosus. Annals of the Rheumatic Diseases 2018;77:1590–1598.</w:t>
      </w:r>
    </w:p>
    <w:p w14:paraId="0BBE80E2" w14:textId="643D27B0"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 xml:space="preserve">12. </w:t>
      </w:r>
      <w:r w:rsidRPr="00E36D81">
        <w:rPr>
          <w:rFonts w:ascii="Times New Roman" w:hAnsi="Times New Roman" w:cs="Times New Roman"/>
          <w:sz w:val="22"/>
          <w:szCs w:val="22"/>
        </w:rPr>
        <w:t xml:space="preserve">Puntmann VO, Carerj ML, Wieters </w:t>
      </w:r>
      <w:r>
        <w:rPr>
          <w:rFonts w:ascii="Times New Roman" w:hAnsi="Times New Roman" w:cs="Times New Roman"/>
          <w:sz w:val="22"/>
          <w:szCs w:val="22"/>
        </w:rPr>
        <w:t>I, et al</w:t>
      </w:r>
      <w:r w:rsidRPr="00E36D81">
        <w:rPr>
          <w:rFonts w:ascii="Times New Roman" w:hAnsi="Times New Roman" w:cs="Times New Roman"/>
          <w:sz w:val="22"/>
          <w:szCs w:val="22"/>
        </w:rPr>
        <w:t xml:space="preserve">. </w:t>
      </w:r>
      <w:hyperlink r:id="rId12" w:history="1">
        <w:r w:rsidRPr="00E36D81">
          <w:rPr>
            <w:rFonts w:ascii="Times New Roman" w:hAnsi="Times New Roman" w:cs="Times New Roman"/>
            <w:sz w:val="22"/>
            <w:szCs w:val="22"/>
          </w:rPr>
          <w:t>Outcomes of Cardiovascular Magnetic Resonance Imaging in Patients Recently Recovered From Coronavirus Disease 2019 (COVID-19).</w:t>
        </w:r>
      </w:hyperlink>
      <w:r w:rsidRPr="00E36D81">
        <w:rPr>
          <w:rFonts w:ascii="Times New Roman" w:hAnsi="Times New Roman" w:cs="Times New Roman"/>
          <w:sz w:val="22"/>
          <w:szCs w:val="22"/>
        </w:rPr>
        <w:t xml:space="preserve"> JAMA Cardiol. 2020 Jul 27:e203557</w:t>
      </w:r>
    </w:p>
    <w:p w14:paraId="26631F84" w14:textId="77777777" w:rsidR="00AC216C" w:rsidRDefault="00AC216C"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sz w:val="22"/>
          <w:szCs w:val="22"/>
        </w:rPr>
      </w:pPr>
      <w:r>
        <w:rPr>
          <w:rFonts w:ascii="Times New Roman" w:hAnsi="Times New Roman" w:cs="Times New Roman"/>
          <w:sz w:val="22"/>
          <w:szCs w:val="22"/>
        </w:rPr>
        <w:t>13. Gulati A, Jabbour A, Ismail TF, et al. Association of Fibrosis With Mortality and Sudden Cardiac Death in Patients With Nonischemic Dilated Cardiomyopathy. JAMA 2013;309:896.</w:t>
      </w:r>
    </w:p>
    <w:p w14:paraId="78387F5D" w14:textId="43BCD462" w:rsidR="001A36C0" w:rsidRPr="00EF203A" w:rsidRDefault="00C30258" w:rsidP="00E36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rFonts w:ascii="Times New Roman" w:hAnsi="Times New Roman" w:cs="Times New Roman"/>
          <w:color w:val="000000" w:themeColor="text1"/>
          <w:sz w:val="22"/>
          <w:szCs w:val="22"/>
        </w:rPr>
      </w:pPr>
      <w:r w:rsidRPr="00EF203A">
        <w:rPr>
          <w:rFonts w:ascii="Times New Roman" w:hAnsi="Times New Roman" w:cs="Times New Roman"/>
          <w:color w:val="000000" w:themeColor="text1"/>
          <w:sz w:val="22"/>
          <w:szCs w:val="22"/>
        </w:rPr>
        <w:fldChar w:fldCharType="end"/>
      </w:r>
    </w:p>
    <w:sectPr w:rsidR="001A36C0" w:rsidRPr="00EF203A" w:rsidSect="007E613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10E02" w14:textId="77777777" w:rsidR="00C76AFD" w:rsidRDefault="00C76AFD" w:rsidP="009A1757">
      <w:r>
        <w:separator/>
      </w:r>
    </w:p>
  </w:endnote>
  <w:endnote w:type="continuationSeparator" w:id="0">
    <w:p w14:paraId="70D1DF12" w14:textId="77777777" w:rsidR="00C76AFD" w:rsidRDefault="00C76AFD" w:rsidP="009A1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8F9B6" w14:textId="77777777" w:rsidR="00C76AFD" w:rsidRDefault="00C76AFD" w:rsidP="009A1757">
      <w:r>
        <w:separator/>
      </w:r>
    </w:p>
  </w:footnote>
  <w:footnote w:type="continuationSeparator" w:id="0">
    <w:p w14:paraId="37464BA4" w14:textId="77777777" w:rsidR="00C76AFD" w:rsidRDefault="00C76AFD" w:rsidP="009A1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31707"/>
    <w:multiLevelType w:val="multilevel"/>
    <w:tmpl w:val="58C0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16159"/>
    <w:multiLevelType w:val="hybridMultilevel"/>
    <w:tmpl w:val="9F10B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A3838"/>
    <w:multiLevelType w:val="hybridMultilevel"/>
    <w:tmpl w:val="0F00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F230C"/>
    <w:multiLevelType w:val="hybridMultilevel"/>
    <w:tmpl w:val="AD6CBA42"/>
    <w:lvl w:ilvl="0" w:tplc="B1E40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CE6B73"/>
    <w:multiLevelType w:val="hybridMultilevel"/>
    <w:tmpl w:val="1F6A76CC"/>
    <w:lvl w:ilvl="0" w:tplc="470CE70A">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7D6B95"/>
    <w:multiLevelType w:val="hybridMultilevel"/>
    <w:tmpl w:val="675248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E01673"/>
    <w:multiLevelType w:val="hybridMultilevel"/>
    <w:tmpl w:val="292CCA9C"/>
    <w:lvl w:ilvl="0" w:tplc="0C0A000F">
      <w:start w:val="1"/>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0306415"/>
    <w:multiLevelType w:val="hybridMultilevel"/>
    <w:tmpl w:val="758C1648"/>
    <w:lvl w:ilvl="0" w:tplc="B1E40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E007BC"/>
    <w:multiLevelType w:val="hybridMultilevel"/>
    <w:tmpl w:val="7026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9B55C4"/>
    <w:multiLevelType w:val="hybridMultilevel"/>
    <w:tmpl w:val="D7383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3"/>
  </w:num>
  <w:num w:numId="4">
    <w:abstractNumId w:val="1"/>
  </w:num>
  <w:num w:numId="5">
    <w:abstractNumId w:val="0"/>
  </w:num>
  <w:num w:numId="6">
    <w:abstractNumId w:val="8"/>
  </w:num>
  <w:num w:numId="7">
    <w:abstractNumId w:val="5"/>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79"/>
    <w:rsid w:val="000002A2"/>
    <w:rsid w:val="0001023A"/>
    <w:rsid w:val="000144E4"/>
    <w:rsid w:val="000144EB"/>
    <w:rsid w:val="00032F56"/>
    <w:rsid w:val="0003554D"/>
    <w:rsid w:val="00036CED"/>
    <w:rsid w:val="000411F2"/>
    <w:rsid w:val="0004266B"/>
    <w:rsid w:val="00042F11"/>
    <w:rsid w:val="000468F5"/>
    <w:rsid w:val="000476DF"/>
    <w:rsid w:val="00057CAD"/>
    <w:rsid w:val="000667F2"/>
    <w:rsid w:val="00067078"/>
    <w:rsid w:val="00067290"/>
    <w:rsid w:val="00067F6C"/>
    <w:rsid w:val="0007166A"/>
    <w:rsid w:val="00072FC4"/>
    <w:rsid w:val="000749F1"/>
    <w:rsid w:val="00074B16"/>
    <w:rsid w:val="00075B45"/>
    <w:rsid w:val="00081626"/>
    <w:rsid w:val="00082377"/>
    <w:rsid w:val="00087B47"/>
    <w:rsid w:val="00091B74"/>
    <w:rsid w:val="000A6C0A"/>
    <w:rsid w:val="000B3C64"/>
    <w:rsid w:val="000C4362"/>
    <w:rsid w:val="000C50EE"/>
    <w:rsid w:val="000E4DA9"/>
    <w:rsid w:val="000F1ACB"/>
    <w:rsid w:val="000F620F"/>
    <w:rsid w:val="00103660"/>
    <w:rsid w:val="00110856"/>
    <w:rsid w:val="0011490B"/>
    <w:rsid w:val="00120762"/>
    <w:rsid w:val="0012364B"/>
    <w:rsid w:val="00125AEE"/>
    <w:rsid w:val="00133562"/>
    <w:rsid w:val="00140875"/>
    <w:rsid w:val="00150F3B"/>
    <w:rsid w:val="00152A2F"/>
    <w:rsid w:val="00154338"/>
    <w:rsid w:val="001622B6"/>
    <w:rsid w:val="001663AE"/>
    <w:rsid w:val="00170C66"/>
    <w:rsid w:val="001730DE"/>
    <w:rsid w:val="001741A2"/>
    <w:rsid w:val="0017459E"/>
    <w:rsid w:val="00180123"/>
    <w:rsid w:val="0018064C"/>
    <w:rsid w:val="00181C56"/>
    <w:rsid w:val="00185699"/>
    <w:rsid w:val="00192D17"/>
    <w:rsid w:val="0019798C"/>
    <w:rsid w:val="001A31AA"/>
    <w:rsid w:val="001A36C0"/>
    <w:rsid w:val="001A68EF"/>
    <w:rsid w:val="001B0D75"/>
    <w:rsid w:val="001B1AEB"/>
    <w:rsid w:val="001D248F"/>
    <w:rsid w:val="001D2F09"/>
    <w:rsid w:val="001E1AEB"/>
    <w:rsid w:val="001F1CF2"/>
    <w:rsid w:val="001F2090"/>
    <w:rsid w:val="001F37D7"/>
    <w:rsid w:val="001F4975"/>
    <w:rsid w:val="001F7D51"/>
    <w:rsid w:val="0020221B"/>
    <w:rsid w:val="0020576B"/>
    <w:rsid w:val="00207486"/>
    <w:rsid w:val="002077D3"/>
    <w:rsid w:val="0021308C"/>
    <w:rsid w:val="002148AE"/>
    <w:rsid w:val="00220585"/>
    <w:rsid w:val="00220CE2"/>
    <w:rsid w:val="00220EE1"/>
    <w:rsid w:val="00223DF2"/>
    <w:rsid w:val="00232396"/>
    <w:rsid w:val="0023293F"/>
    <w:rsid w:val="00237014"/>
    <w:rsid w:val="002403BE"/>
    <w:rsid w:val="00244388"/>
    <w:rsid w:val="002709AA"/>
    <w:rsid w:val="0028049B"/>
    <w:rsid w:val="002916CC"/>
    <w:rsid w:val="00292BBA"/>
    <w:rsid w:val="002949A4"/>
    <w:rsid w:val="002956CD"/>
    <w:rsid w:val="00296740"/>
    <w:rsid w:val="00296B4C"/>
    <w:rsid w:val="002A2E5A"/>
    <w:rsid w:val="002A7056"/>
    <w:rsid w:val="002A766D"/>
    <w:rsid w:val="002B0ED7"/>
    <w:rsid w:val="002B1148"/>
    <w:rsid w:val="002B3533"/>
    <w:rsid w:val="002B4BCB"/>
    <w:rsid w:val="002C226B"/>
    <w:rsid w:val="002C7F9D"/>
    <w:rsid w:val="002E2471"/>
    <w:rsid w:val="002E42CC"/>
    <w:rsid w:val="002E65E6"/>
    <w:rsid w:val="002F2627"/>
    <w:rsid w:val="002F280A"/>
    <w:rsid w:val="002F5406"/>
    <w:rsid w:val="00324096"/>
    <w:rsid w:val="00325F03"/>
    <w:rsid w:val="00332583"/>
    <w:rsid w:val="003568D8"/>
    <w:rsid w:val="00365759"/>
    <w:rsid w:val="00366F11"/>
    <w:rsid w:val="00382457"/>
    <w:rsid w:val="0038404E"/>
    <w:rsid w:val="00390358"/>
    <w:rsid w:val="0039220C"/>
    <w:rsid w:val="003B7274"/>
    <w:rsid w:val="003C0F4E"/>
    <w:rsid w:val="003C3A3B"/>
    <w:rsid w:val="003C4D71"/>
    <w:rsid w:val="003D75A0"/>
    <w:rsid w:val="003E305A"/>
    <w:rsid w:val="003E7EC7"/>
    <w:rsid w:val="003F357E"/>
    <w:rsid w:val="003F560F"/>
    <w:rsid w:val="00402F6D"/>
    <w:rsid w:val="00403D43"/>
    <w:rsid w:val="004053DB"/>
    <w:rsid w:val="004059ED"/>
    <w:rsid w:val="00412C03"/>
    <w:rsid w:val="00416ECE"/>
    <w:rsid w:val="0042436E"/>
    <w:rsid w:val="0042617F"/>
    <w:rsid w:val="004268AB"/>
    <w:rsid w:val="004304C8"/>
    <w:rsid w:val="00432384"/>
    <w:rsid w:val="00433C42"/>
    <w:rsid w:val="00434C53"/>
    <w:rsid w:val="0043625B"/>
    <w:rsid w:val="004372F8"/>
    <w:rsid w:val="004439E6"/>
    <w:rsid w:val="0044484C"/>
    <w:rsid w:val="00455B91"/>
    <w:rsid w:val="0045651C"/>
    <w:rsid w:val="00463F8A"/>
    <w:rsid w:val="00464CBB"/>
    <w:rsid w:val="00465048"/>
    <w:rsid w:val="00465EF2"/>
    <w:rsid w:val="00465F8B"/>
    <w:rsid w:val="00472529"/>
    <w:rsid w:val="00473F55"/>
    <w:rsid w:val="00485613"/>
    <w:rsid w:val="00485AA3"/>
    <w:rsid w:val="0049195E"/>
    <w:rsid w:val="00491F81"/>
    <w:rsid w:val="00492647"/>
    <w:rsid w:val="00497628"/>
    <w:rsid w:val="004A0995"/>
    <w:rsid w:val="004B177D"/>
    <w:rsid w:val="004B47DD"/>
    <w:rsid w:val="004B4ECA"/>
    <w:rsid w:val="004B5C5D"/>
    <w:rsid w:val="004B7E97"/>
    <w:rsid w:val="004D1255"/>
    <w:rsid w:val="004D39A0"/>
    <w:rsid w:val="004E3BA4"/>
    <w:rsid w:val="004E41AD"/>
    <w:rsid w:val="004F0E1A"/>
    <w:rsid w:val="004F71DF"/>
    <w:rsid w:val="0050157F"/>
    <w:rsid w:val="0050428C"/>
    <w:rsid w:val="00507E2A"/>
    <w:rsid w:val="00511AE6"/>
    <w:rsid w:val="0051370D"/>
    <w:rsid w:val="005149F7"/>
    <w:rsid w:val="005223E1"/>
    <w:rsid w:val="00522739"/>
    <w:rsid w:val="00530703"/>
    <w:rsid w:val="00533426"/>
    <w:rsid w:val="00534AAD"/>
    <w:rsid w:val="00541CFF"/>
    <w:rsid w:val="00543E41"/>
    <w:rsid w:val="0055192E"/>
    <w:rsid w:val="005525FA"/>
    <w:rsid w:val="00552D2A"/>
    <w:rsid w:val="0055531F"/>
    <w:rsid w:val="00562A9D"/>
    <w:rsid w:val="00563788"/>
    <w:rsid w:val="00586FAF"/>
    <w:rsid w:val="005917BF"/>
    <w:rsid w:val="00595863"/>
    <w:rsid w:val="00596490"/>
    <w:rsid w:val="005A48B4"/>
    <w:rsid w:val="005B0D16"/>
    <w:rsid w:val="005C0CFD"/>
    <w:rsid w:val="005C7045"/>
    <w:rsid w:val="005D11F2"/>
    <w:rsid w:val="005E521B"/>
    <w:rsid w:val="005F15CE"/>
    <w:rsid w:val="005F369A"/>
    <w:rsid w:val="005F5A4D"/>
    <w:rsid w:val="005F6E4D"/>
    <w:rsid w:val="00617FE4"/>
    <w:rsid w:val="00620B66"/>
    <w:rsid w:val="00622DC5"/>
    <w:rsid w:val="006305CB"/>
    <w:rsid w:val="006376A0"/>
    <w:rsid w:val="00651678"/>
    <w:rsid w:val="00655015"/>
    <w:rsid w:val="006557E1"/>
    <w:rsid w:val="0066022B"/>
    <w:rsid w:val="00661744"/>
    <w:rsid w:val="00672E35"/>
    <w:rsid w:val="0067566B"/>
    <w:rsid w:val="006763F5"/>
    <w:rsid w:val="00683D51"/>
    <w:rsid w:val="00687449"/>
    <w:rsid w:val="00691D7F"/>
    <w:rsid w:val="006A308E"/>
    <w:rsid w:val="006A4EC9"/>
    <w:rsid w:val="006B7A1B"/>
    <w:rsid w:val="006C3308"/>
    <w:rsid w:val="006C6929"/>
    <w:rsid w:val="006D1849"/>
    <w:rsid w:val="006D5956"/>
    <w:rsid w:val="006D6867"/>
    <w:rsid w:val="006E2228"/>
    <w:rsid w:val="006F00B4"/>
    <w:rsid w:val="006F3C11"/>
    <w:rsid w:val="006F6CBE"/>
    <w:rsid w:val="006F7B51"/>
    <w:rsid w:val="00701232"/>
    <w:rsid w:val="00715FF8"/>
    <w:rsid w:val="00723FF8"/>
    <w:rsid w:val="00737936"/>
    <w:rsid w:val="00744602"/>
    <w:rsid w:val="00746270"/>
    <w:rsid w:val="0074798C"/>
    <w:rsid w:val="007579AE"/>
    <w:rsid w:val="00760821"/>
    <w:rsid w:val="007650F7"/>
    <w:rsid w:val="00766FCE"/>
    <w:rsid w:val="00774DEC"/>
    <w:rsid w:val="00775B5E"/>
    <w:rsid w:val="00776DC4"/>
    <w:rsid w:val="007774F8"/>
    <w:rsid w:val="0078149D"/>
    <w:rsid w:val="00783B46"/>
    <w:rsid w:val="007924FC"/>
    <w:rsid w:val="00794014"/>
    <w:rsid w:val="00795135"/>
    <w:rsid w:val="007A090F"/>
    <w:rsid w:val="007A2DBA"/>
    <w:rsid w:val="007B1E32"/>
    <w:rsid w:val="007C0E57"/>
    <w:rsid w:val="007C7089"/>
    <w:rsid w:val="007D24FD"/>
    <w:rsid w:val="007D5855"/>
    <w:rsid w:val="007D5D2A"/>
    <w:rsid w:val="007E26B4"/>
    <w:rsid w:val="007E30DE"/>
    <w:rsid w:val="007E6131"/>
    <w:rsid w:val="007E6C4E"/>
    <w:rsid w:val="007F35EF"/>
    <w:rsid w:val="007F4C5F"/>
    <w:rsid w:val="00803C46"/>
    <w:rsid w:val="00813457"/>
    <w:rsid w:val="00813E76"/>
    <w:rsid w:val="00815681"/>
    <w:rsid w:val="00840A60"/>
    <w:rsid w:val="00844819"/>
    <w:rsid w:val="00857A5D"/>
    <w:rsid w:val="00860912"/>
    <w:rsid w:val="00870141"/>
    <w:rsid w:val="00872BCE"/>
    <w:rsid w:val="00886788"/>
    <w:rsid w:val="00890F6A"/>
    <w:rsid w:val="00892358"/>
    <w:rsid w:val="00892A1A"/>
    <w:rsid w:val="00894B70"/>
    <w:rsid w:val="008B1E1C"/>
    <w:rsid w:val="008B2486"/>
    <w:rsid w:val="008B4D27"/>
    <w:rsid w:val="008D129D"/>
    <w:rsid w:val="008D4850"/>
    <w:rsid w:val="008E6967"/>
    <w:rsid w:val="008E7E2E"/>
    <w:rsid w:val="00914F03"/>
    <w:rsid w:val="0091610C"/>
    <w:rsid w:val="00916ABA"/>
    <w:rsid w:val="00924D9C"/>
    <w:rsid w:val="00926A61"/>
    <w:rsid w:val="00937A46"/>
    <w:rsid w:val="00944A89"/>
    <w:rsid w:val="00947086"/>
    <w:rsid w:val="00953481"/>
    <w:rsid w:val="0095506D"/>
    <w:rsid w:val="00957142"/>
    <w:rsid w:val="00957A3E"/>
    <w:rsid w:val="009607E3"/>
    <w:rsid w:val="0096375A"/>
    <w:rsid w:val="00977249"/>
    <w:rsid w:val="00977B43"/>
    <w:rsid w:val="00986E96"/>
    <w:rsid w:val="009954C9"/>
    <w:rsid w:val="00997926"/>
    <w:rsid w:val="009A0558"/>
    <w:rsid w:val="009A08B1"/>
    <w:rsid w:val="009A1757"/>
    <w:rsid w:val="009A634A"/>
    <w:rsid w:val="009B1ECD"/>
    <w:rsid w:val="009B2D85"/>
    <w:rsid w:val="009B4FFA"/>
    <w:rsid w:val="009D0203"/>
    <w:rsid w:val="009D173E"/>
    <w:rsid w:val="009D3FD1"/>
    <w:rsid w:val="009D594D"/>
    <w:rsid w:val="009E5356"/>
    <w:rsid w:val="009E60B9"/>
    <w:rsid w:val="009E6D94"/>
    <w:rsid w:val="009F19A4"/>
    <w:rsid w:val="009F2B73"/>
    <w:rsid w:val="00A12864"/>
    <w:rsid w:val="00A14066"/>
    <w:rsid w:val="00A1783A"/>
    <w:rsid w:val="00A17FF7"/>
    <w:rsid w:val="00A22939"/>
    <w:rsid w:val="00A23100"/>
    <w:rsid w:val="00A3057C"/>
    <w:rsid w:val="00A30CAB"/>
    <w:rsid w:val="00A3475B"/>
    <w:rsid w:val="00A35741"/>
    <w:rsid w:val="00A36347"/>
    <w:rsid w:val="00A403C2"/>
    <w:rsid w:val="00A51FDA"/>
    <w:rsid w:val="00A73CC7"/>
    <w:rsid w:val="00A81CD7"/>
    <w:rsid w:val="00A854E7"/>
    <w:rsid w:val="00A9250D"/>
    <w:rsid w:val="00A92F70"/>
    <w:rsid w:val="00AA0A9F"/>
    <w:rsid w:val="00AA10F0"/>
    <w:rsid w:val="00AA5BB1"/>
    <w:rsid w:val="00AA66DE"/>
    <w:rsid w:val="00AB108A"/>
    <w:rsid w:val="00AB4E5C"/>
    <w:rsid w:val="00AB558B"/>
    <w:rsid w:val="00AC1E21"/>
    <w:rsid w:val="00AC216C"/>
    <w:rsid w:val="00AC3A34"/>
    <w:rsid w:val="00AC4F47"/>
    <w:rsid w:val="00AC75B1"/>
    <w:rsid w:val="00AD200D"/>
    <w:rsid w:val="00AD2818"/>
    <w:rsid w:val="00AE237F"/>
    <w:rsid w:val="00AE2898"/>
    <w:rsid w:val="00AE6FD3"/>
    <w:rsid w:val="00AF415C"/>
    <w:rsid w:val="00AF5056"/>
    <w:rsid w:val="00B0472B"/>
    <w:rsid w:val="00B0739E"/>
    <w:rsid w:val="00B119C9"/>
    <w:rsid w:val="00B12A10"/>
    <w:rsid w:val="00B13632"/>
    <w:rsid w:val="00B15C76"/>
    <w:rsid w:val="00B16A7D"/>
    <w:rsid w:val="00B26C14"/>
    <w:rsid w:val="00B42425"/>
    <w:rsid w:val="00B444CE"/>
    <w:rsid w:val="00B44A1F"/>
    <w:rsid w:val="00B53719"/>
    <w:rsid w:val="00B55A2A"/>
    <w:rsid w:val="00B55CB2"/>
    <w:rsid w:val="00B653A6"/>
    <w:rsid w:val="00B83DA0"/>
    <w:rsid w:val="00B85BCF"/>
    <w:rsid w:val="00B90F5B"/>
    <w:rsid w:val="00B9547A"/>
    <w:rsid w:val="00BA108E"/>
    <w:rsid w:val="00BA36E5"/>
    <w:rsid w:val="00BB03C8"/>
    <w:rsid w:val="00BB1933"/>
    <w:rsid w:val="00BB46A2"/>
    <w:rsid w:val="00BC408B"/>
    <w:rsid w:val="00BC6269"/>
    <w:rsid w:val="00BD1690"/>
    <w:rsid w:val="00BD1D93"/>
    <w:rsid w:val="00BD3D45"/>
    <w:rsid w:val="00BD754F"/>
    <w:rsid w:val="00BF1CEB"/>
    <w:rsid w:val="00BF2949"/>
    <w:rsid w:val="00BF5A9F"/>
    <w:rsid w:val="00C0330A"/>
    <w:rsid w:val="00C03629"/>
    <w:rsid w:val="00C05D96"/>
    <w:rsid w:val="00C0708C"/>
    <w:rsid w:val="00C12ECC"/>
    <w:rsid w:val="00C212B4"/>
    <w:rsid w:val="00C233ED"/>
    <w:rsid w:val="00C30258"/>
    <w:rsid w:val="00C37F64"/>
    <w:rsid w:val="00C40051"/>
    <w:rsid w:val="00C44CF4"/>
    <w:rsid w:val="00C45192"/>
    <w:rsid w:val="00C45FCC"/>
    <w:rsid w:val="00C66DA7"/>
    <w:rsid w:val="00C71BEB"/>
    <w:rsid w:val="00C7570C"/>
    <w:rsid w:val="00C76875"/>
    <w:rsid w:val="00C76AFD"/>
    <w:rsid w:val="00C77250"/>
    <w:rsid w:val="00C80153"/>
    <w:rsid w:val="00C86B5D"/>
    <w:rsid w:val="00C97265"/>
    <w:rsid w:val="00CA0DE6"/>
    <w:rsid w:val="00CA2244"/>
    <w:rsid w:val="00CA3955"/>
    <w:rsid w:val="00CA6B12"/>
    <w:rsid w:val="00CB53DD"/>
    <w:rsid w:val="00CB53F4"/>
    <w:rsid w:val="00CB5FD0"/>
    <w:rsid w:val="00CB6C8D"/>
    <w:rsid w:val="00CB7985"/>
    <w:rsid w:val="00CC02F7"/>
    <w:rsid w:val="00CC27FD"/>
    <w:rsid w:val="00CC445F"/>
    <w:rsid w:val="00CC631C"/>
    <w:rsid w:val="00CD008C"/>
    <w:rsid w:val="00CD0916"/>
    <w:rsid w:val="00CD2020"/>
    <w:rsid w:val="00CD790D"/>
    <w:rsid w:val="00CE18C1"/>
    <w:rsid w:val="00CE3F4C"/>
    <w:rsid w:val="00CF4899"/>
    <w:rsid w:val="00D0115D"/>
    <w:rsid w:val="00D02DAD"/>
    <w:rsid w:val="00D0377B"/>
    <w:rsid w:val="00D03D20"/>
    <w:rsid w:val="00D15753"/>
    <w:rsid w:val="00D22805"/>
    <w:rsid w:val="00D24F07"/>
    <w:rsid w:val="00D25FE3"/>
    <w:rsid w:val="00D27A4E"/>
    <w:rsid w:val="00D414A6"/>
    <w:rsid w:val="00D646F1"/>
    <w:rsid w:val="00D6483B"/>
    <w:rsid w:val="00D6609E"/>
    <w:rsid w:val="00D713C5"/>
    <w:rsid w:val="00D77020"/>
    <w:rsid w:val="00D803F1"/>
    <w:rsid w:val="00D80854"/>
    <w:rsid w:val="00D90D61"/>
    <w:rsid w:val="00D947AC"/>
    <w:rsid w:val="00D96592"/>
    <w:rsid w:val="00DA0D7D"/>
    <w:rsid w:val="00DA3B79"/>
    <w:rsid w:val="00DB0E46"/>
    <w:rsid w:val="00DB500E"/>
    <w:rsid w:val="00DC157D"/>
    <w:rsid w:val="00DE0FD3"/>
    <w:rsid w:val="00DE198F"/>
    <w:rsid w:val="00DF536C"/>
    <w:rsid w:val="00DF716B"/>
    <w:rsid w:val="00E00C47"/>
    <w:rsid w:val="00E011C2"/>
    <w:rsid w:val="00E019C4"/>
    <w:rsid w:val="00E02054"/>
    <w:rsid w:val="00E07BFB"/>
    <w:rsid w:val="00E12B8E"/>
    <w:rsid w:val="00E15D78"/>
    <w:rsid w:val="00E20A56"/>
    <w:rsid w:val="00E21303"/>
    <w:rsid w:val="00E21338"/>
    <w:rsid w:val="00E22745"/>
    <w:rsid w:val="00E27BBF"/>
    <w:rsid w:val="00E302E4"/>
    <w:rsid w:val="00E319FE"/>
    <w:rsid w:val="00E32E9C"/>
    <w:rsid w:val="00E34573"/>
    <w:rsid w:val="00E36D81"/>
    <w:rsid w:val="00E41C3C"/>
    <w:rsid w:val="00E45BD6"/>
    <w:rsid w:val="00E45CD7"/>
    <w:rsid w:val="00E461BD"/>
    <w:rsid w:val="00E5138A"/>
    <w:rsid w:val="00E553CF"/>
    <w:rsid w:val="00E62B80"/>
    <w:rsid w:val="00E64893"/>
    <w:rsid w:val="00E65C34"/>
    <w:rsid w:val="00E7138F"/>
    <w:rsid w:val="00E75213"/>
    <w:rsid w:val="00E76B5B"/>
    <w:rsid w:val="00E81456"/>
    <w:rsid w:val="00E82636"/>
    <w:rsid w:val="00E83FA9"/>
    <w:rsid w:val="00E86DE3"/>
    <w:rsid w:val="00E903B8"/>
    <w:rsid w:val="00E979C1"/>
    <w:rsid w:val="00EA2779"/>
    <w:rsid w:val="00EB21C6"/>
    <w:rsid w:val="00EC0D52"/>
    <w:rsid w:val="00EC1FC2"/>
    <w:rsid w:val="00EC29D5"/>
    <w:rsid w:val="00EC3093"/>
    <w:rsid w:val="00ED250D"/>
    <w:rsid w:val="00ED7889"/>
    <w:rsid w:val="00EE180D"/>
    <w:rsid w:val="00EE5FCE"/>
    <w:rsid w:val="00EE6599"/>
    <w:rsid w:val="00EE69B3"/>
    <w:rsid w:val="00EF203A"/>
    <w:rsid w:val="00F02D81"/>
    <w:rsid w:val="00F03322"/>
    <w:rsid w:val="00F04AF7"/>
    <w:rsid w:val="00F1607E"/>
    <w:rsid w:val="00F17004"/>
    <w:rsid w:val="00F3520D"/>
    <w:rsid w:val="00F40DEC"/>
    <w:rsid w:val="00F46B88"/>
    <w:rsid w:val="00F55851"/>
    <w:rsid w:val="00F602F0"/>
    <w:rsid w:val="00F66137"/>
    <w:rsid w:val="00F71A68"/>
    <w:rsid w:val="00F71DAB"/>
    <w:rsid w:val="00F74C29"/>
    <w:rsid w:val="00F77A30"/>
    <w:rsid w:val="00F817CF"/>
    <w:rsid w:val="00F86F77"/>
    <w:rsid w:val="00F871A0"/>
    <w:rsid w:val="00F92DF0"/>
    <w:rsid w:val="00F94857"/>
    <w:rsid w:val="00FB407A"/>
    <w:rsid w:val="00FB5868"/>
    <w:rsid w:val="00FC21F5"/>
    <w:rsid w:val="00FC409F"/>
    <w:rsid w:val="00FC58C3"/>
    <w:rsid w:val="00FF58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D9335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7774F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2443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774F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5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305A"/>
    <w:rPr>
      <w:color w:val="0000FF" w:themeColor="hyperlink"/>
      <w:u w:val="single"/>
    </w:rPr>
  </w:style>
  <w:style w:type="character" w:styleId="FollowedHyperlink">
    <w:name w:val="FollowedHyperlink"/>
    <w:basedOn w:val="DefaultParagraphFont"/>
    <w:uiPriority w:val="99"/>
    <w:semiHidden/>
    <w:unhideWhenUsed/>
    <w:rsid w:val="00CD0916"/>
    <w:rPr>
      <w:color w:val="800080" w:themeColor="followedHyperlink"/>
      <w:u w:val="single"/>
    </w:rPr>
  </w:style>
  <w:style w:type="paragraph" w:styleId="Header">
    <w:name w:val="header"/>
    <w:basedOn w:val="Normal"/>
    <w:link w:val="HeaderChar"/>
    <w:uiPriority w:val="99"/>
    <w:unhideWhenUsed/>
    <w:rsid w:val="009A1757"/>
    <w:pPr>
      <w:tabs>
        <w:tab w:val="center" w:pos="4320"/>
        <w:tab w:val="right" w:pos="8640"/>
      </w:tabs>
    </w:pPr>
  </w:style>
  <w:style w:type="character" w:customStyle="1" w:styleId="HeaderChar">
    <w:name w:val="Header Char"/>
    <w:basedOn w:val="DefaultParagraphFont"/>
    <w:link w:val="Header"/>
    <w:uiPriority w:val="99"/>
    <w:rsid w:val="009A1757"/>
  </w:style>
  <w:style w:type="paragraph" w:styleId="Footer">
    <w:name w:val="footer"/>
    <w:basedOn w:val="Normal"/>
    <w:link w:val="FooterChar"/>
    <w:uiPriority w:val="99"/>
    <w:unhideWhenUsed/>
    <w:rsid w:val="009A1757"/>
    <w:pPr>
      <w:tabs>
        <w:tab w:val="center" w:pos="4320"/>
        <w:tab w:val="right" w:pos="8640"/>
      </w:tabs>
    </w:pPr>
  </w:style>
  <w:style w:type="character" w:customStyle="1" w:styleId="FooterChar">
    <w:name w:val="Footer Char"/>
    <w:basedOn w:val="DefaultParagraphFont"/>
    <w:link w:val="Footer"/>
    <w:uiPriority w:val="99"/>
    <w:rsid w:val="009A1757"/>
  </w:style>
  <w:style w:type="paragraph" w:styleId="BalloonText">
    <w:name w:val="Balloon Text"/>
    <w:basedOn w:val="Normal"/>
    <w:link w:val="BalloonTextChar"/>
    <w:uiPriority w:val="99"/>
    <w:semiHidden/>
    <w:unhideWhenUsed/>
    <w:rsid w:val="006D68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867"/>
    <w:rPr>
      <w:rFonts w:ascii="Lucida Grande" w:hAnsi="Lucida Grande" w:cs="Lucida Grande"/>
      <w:sz w:val="18"/>
      <w:szCs w:val="18"/>
    </w:rPr>
  </w:style>
  <w:style w:type="character" w:styleId="CommentReference">
    <w:name w:val="annotation reference"/>
    <w:basedOn w:val="DefaultParagraphFont"/>
    <w:uiPriority w:val="99"/>
    <w:semiHidden/>
    <w:unhideWhenUsed/>
    <w:rsid w:val="006D6867"/>
    <w:rPr>
      <w:sz w:val="18"/>
      <w:szCs w:val="18"/>
    </w:rPr>
  </w:style>
  <w:style w:type="paragraph" w:styleId="CommentText">
    <w:name w:val="annotation text"/>
    <w:basedOn w:val="Normal"/>
    <w:link w:val="CommentTextChar"/>
    <w:uiPriority w:val="99"/>
    <w:semiHidden/>
    <w:unhideWhenUsed/>
    <w:rsid w:val="006D6867"/>
  </w:style>
  <w:style w:type="character" w:customStyle="1" w:styleId="CommentTextChar">
    <w:name w:val="Comment Text Char"/>
    <w:basedOn w:val="DefaultParagraphFont"/>
    <w:link w:val="CommentText"/>
    <w:uiPriority w:val="99"/>
    <w:semiHidden/>
    <w:rsid w:val="006D6867"/>
  </w:style>
  <w:style w:type="paragraph" w:styleId="CommentSubject">
    <w:name w:val="annotation subject"/>
    <w:basedOn w:val="CommentText"/>
    <w:next w:val="CommentText"/>
    <w:link w:val="CommentSubjectChar"/>
    <w:uiPriority w:val="99"/>
    <w:semiHidden/>
    <w:unhideWhenUsed/>
    <w:rsid w:val="006D6867"/>
    <w:rPr>
      <w:b/>
      <w:bCs/>
      <w:sz w:val="20"/>
      <w:szCs w:val="20"/>
    </w:rPr>
  </w:style>
  <w:style w:type="character" w:customStyle="1" w:styleId="CommentSubjectChar">
    <w:name w:val="Comment Subject Char"/>
    <w:basedOn w:val="CommentTextChar"/>
    <w:link w:val="CommentSubject"/>
    <w:uiPriority w:val="99"/>
    <w:semiHidden/>
    <w:rsid w:val="006D6867"/>
    <w:rPr>
      <w:b/>
      <w:bCs/>
      <w:sz w:val="20"/>
      <w:szCs w:val="20"/>
    </w:rPr>
  </w:style>
  <w:style w:type="paragraph" w:styleId="ListParagraph">
    <w:name w:val="List Paragraph"/>
    <w:basedOn w:val="Normal"/>
    <w:uiPriority w:val="99"/>
    <w:qFormat/>
    <w:rsid w:val="006F6CBE"/>
    <w:pPr>
      <w:ind w:left="720"/>
      <w:contextualSpacing/>
    </w:pPr>
  </w:style>
  <w:style w:type="character" w:customStyle="1" w:styleId="Heading1Char">
    <w:name w:val="Heading 1 Char"/>
    <w:basedOn w:val="DefaultParagraphFont"/>
    <w:link w:val="Heading1"/>
    <w:uiPriority w:val="9"/>
    <w:rsid w:val="007774F8"/>
    <w:rPr>
      <w:rFonts w:ascii="Times" w:hAnsi="Times"/>
      <w:b/>
      <w:bCs/>
      <w:kern w:val="36"/>
      <w:sz w:val="48"/>
      <w:szCs w:val="48"/>
    </w:rPr>
  </w:style>
  <w:style w:type="character" w:customStyle="1" w:styleId="Heading3Char">
    <w:name w:val="Heading 3 Char"/>
    <w:basedOn w:val="DefaultParagraphFont"/>
    <w:link w:val="Heading3"/>
    <w:uiPriority w:val="9"/>
    <w:rsid w:val="007774F8"/>
    <w:rPr>
      <w:rFonts w:ascii="Times" w:hAnsi="Times"/>
      <w:b/>
      <w:bCs/>
      <w:sz w:val="27"/>
      <w:szCs w:val="27"/>
    </w:rPr>
  </w:style>
  <w:style w:type="character" w:customStyle="1" w:styleId="apple-converted-space">
    <w:name w:val="apple-converted-space"/>
    <w:basedOn w:val="DefaultParagraphFont"/>
    <w:rsid w:val="007774F8"/>
  </w:style>
  <w:style w:type="character" w:customStyle="1" w:styleId="highlight">
    <w:name w:val="highlight"/>
    <w:basedOn w:val="DefaultParagraphFont"/>
    <w:rsid w:val="007774F8"/>
  </w:style>
  <w:style w:type="paragraph" w:styleId="Title">
    <w:name w:val="Title"/>
    <w:aliases w:val="title"/>
    <w:basedOn w:val="Normal"/>
    <w:link w:val="TitleChar"/>
    <w:uiPriority w:val="10"/>
    <w:qFormat/>
    <w:rsid w:val="00D646F1"/>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uiPriority w:val="10"/>
    <w:rsid w:val="00D646F1"/>
    <w:rPr>
      <w:rFonts w:ascii="Times" w:hAnsi="Times"/>
      <w:sz w:val="20"/>
      <w:szCs w:val="20"/>
    </w:rPr>
  </w:style>
  <w:style w:type="paragraph" w:customStyle="1" w:styleId="desc">
    <w:name w:val="desc"/>
    <w:basedOn w:val="Normal"/>
    <w:rsid w:val="00D646F1"/>
    <w:pPr>
      <w:spacing w:before="100" w:beforeAutospacing="1" w:after="100" w:afterAutospacing="1"/>
    </w:pPr>
    <w:rPr>
      <w:rFonts w:ascii="Times" w:hAnsi="Times"/>
      <w:sz w:val="20"/>
      <w:szCs w:val="20"/>
    </w:rPr>
  </w:style>
  <w:style w:type="paragraph" w:customStyle="1" w:styleId="details">
    <w:name w:val="details"/>
    <w:basedOn w:val="Normal"/>
    <w:rsid w:val="00D646F1"/>
    <w:pPr>
      <w:spacing w:before="100" w:beforeAutospacing="1" w:after="100" w:afterAutospacing="1"/>
    </w:pPr>
    <w:rPr>
      <w:rFonts w:ascii="Times" w:hAnsi="Times"/>
      <w:sz w:val="20"/>
      <w:szCs w:val="20"/>
    </w:rPr>
  </w:style>
  <w:style w:type="character" w:customStyle="1" w:styleId="jrnl">
    <w:name w:val="jrnl"/>
    <w:basedOn w:val="DefaultParagraphFont"/>
    <w:rsid w:val="00D646F1"/>
  </w:style>
  <w:style w:type="character" w:customStyle="1" w:styleId="Heading2Char">
    <w:name w:val="Heading 2 Char"/>
    <w:basedOn w:val="DefaultParagraphFont"/>
    <w:link w:val="Heading2"/>
    <w:uiPriority w:val="9"/>
    <w:semiHidden/>
    <w:rsid w:val="00244388"/>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562A9D"/>
  </w:style>
  <w:style w:type="character" w:customStyle="1" w:styleId="citebib">
    <w:name w:val="cite_bib"/>
    <w:rsid w:val="00D96592"/>
    <w:rPr>
      <w:sz w:val="26"/>
      <w:bdr w:val="none" w:sz="0" w:space="0" w:color="auto"/>
      <w:shd w:val="clear" w:color="auto" w:fill="00FFFF"/>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64049">
      <w:bodyDiv w:val="1"/>
      <w:marLeft w:val="0"/>
      <w:marRight w:val="0"/>
      <w:marTop w:val="0"/>
      <w:marBottom w:val="0"/>
      <w:divBdr>
        <w:top w:val="none" w:sz="0" w:space="0" w:color="auto"/>
        <w:left w:val="none" w:sz="0" w:space="0" w:color="auto"/>
        <w:bottom w:val="none" w:sz="0" w:space="0" w:color="auto"/>
        <w:right w:val="none" w:sz="0" w:space="0" w:color="auto"/>
      </w:divBdr>
    </w:div>
    <w:div w:id="160122503">
      <w:bodyDiv w:val="1"/>
      <w:marLeft w:val="0"/>
      <w:marRight w:val="0"/>
      <w:marTop w:val="0"/>
      <w:marBottom w:val="0"/>
      <w:divBdr>
        <w:top w:val="none" w:sz="0" w:space="0" w:color="auto"/>
        <w:left w:val="none" w:sz="0" w:space="0" w:color="auto"/>
        <w:bottom w:val="none" w:sz="0" w:space="0" w:color="auto"/>
        <w:right w:val="none" w:sz="0" w:space="0" w:color="auto"/>
      </w:divBdr>
    </w:div>
    <w:div w:id="175268684">
      <w:bodyDiv w:val="1"/>
      <w:marLeft w:val="0"/>
      <w:marRight w:val="0"/>
      <w:marTop w:val="0"/>
      <w:marBottom w:val="0"/>
      <w:divBdr>
        <w:top w:val="none" w:sz="0" w:space="0" w:color="auto"/>
        <w:left w:val="none" w:sz="0" w:space="0" w:color="auto"/>
        <w:bottom w:val="none" w:sz="0" w:space="0" w:color="auto"/>
        <w:right w:val="none" w:sz="0" w:space="0" w:color="auto"/>
      </w:divBdr>
      <w:divsChild>
        <w:div w:id="228001009">
          <w:marLeft w:val="0"/>
          <w:marRight w:val="0"/>
          <w:marTop w:val="34"/>
          <w:marBottom w:val="34"/>
          <w:divBdr>
            <w:top w:val="none" w:sz="0" w:space="0" w:color="auto"/>
            <w:left w:val="none" w:sz="0" w:space="0" w:color="auto"/>
            <w:bottom w:val="none" w:sz="0" w:space="0" w:color="auto"/>
            <w:right w:val="none" w:sz="0" w:space="0" w:color="auto"/>
          </w:divBdr>
        </w:div>
      </w:divsChild>
    </w:div>
    <w:div w:id="318734318">
      <w:bodyDiv w:val="1"/>
      <w:marLeft w:val="0"/>
      <w:marRight w:val="0"/>
      <w:marTop w:val="0"/>
      <w:marBottom w:val="0"/>
      <w:divBdr>
        <w:top w:val="none" w:sz="0" w:space="0" w:color="auto"/>
        <w:left w:val="none" w:sz="0" w:space="0" w:color="auto"/>
        <w:bottom w:val="none" w:sz="0" w:space="0" w:color="auto"/>
        <w:right w:val="none" w:sz="0" w:space="0" w:color="auto"/>
      </w:divBdr>
    </w:div>
    <w:div w:id="475294779">
      <w:bodyDiv w:val="1"/>
      <w:marLeft w:val="0"/>
      <w:marRight w:val="0"/>
      <w:marTop w:val="0"/>
      <w:marBottom w:val="0"/>
      <w:divBdr>
        <w:top w:val="none" w:sz="0" w:space="0" w:color="auto"/>
        <w:left w:val="none" w:sz="0" w:space="0" w:color="auto"/>
        <w:bottom w:val="none" w:sz="0" w:space="0" w:color="auto"/>
        <w:right w:val="none" w:sz="0" w:space="0" w:color="auto"/>
      </w:divBdr>
    </w:div>
    <w:div w:id="730228909">
      <w:bodyDiv w:val="1"/>
      <w:marLeft w:val="0"/>
      <w:marRight w:val="0"/>
      <w:marTop w:val="0"/>
      <w:marBottom w:val="0"/>
      <w:divBdr>
        <w:top w:val="none" w:sz="0" w:space="0" w:color="auto"/>
        <w:left w:val="none" w:sz="0" w:space="0" w:color="auto"/>
        <w:bottom w:val="none" w:sz="0" w:space="0" w:color="auto"/>
        <w:right w:val="none" w:sz="0" w:space="0" w:color="auto"/>
      </w:divBdr>
    </w:div>
    <w:div w:id="1116171257">
      <w:bodyDiv w:val="1"/>
      <w:marLeft w:val="0"/>
      <w:marRight w:val="0"/>
      <w:marTop w:val="0"/>
      <w:marBottom w:val="0"/>
      <w:divBdr>
        <w:top w:val="none" w:sz="0" w:space="0" w:color="auto"/>
        <w:left w:val="none" w:sz="0" w:space="0" w:color="auto"/>
        <w:bottom w:val="none" w:sz="0" w:space="0" w:color="auto"/>
        <w:right w:val="none" w:sz="0" w:space="0" w:color="auto"/>
      </w:divBdr>
    </w:div>
    <w:div w:id="1127624510">
      <w:bodyDiv w:val="1"/>
      <w:marLeft w:val="0"/>
      <w:marRight w:val="0"/>
      <w:marTop w:val="0"/>
      <w:marBottom w:val="0"/>
      <w:divBdr>
        <w:top w:val="none" w:sz="0" w:space="0" w:color="auto"/>
        <w:left w:val="none" w:sz="0" w:space="0" w:color="auto"/>
        <w:bottom w:val="none" w:sz="0" w:space="0" w:color="auto"/>
        <w:right w:val="none" w:sz="0" w:space="0" w:color="auto"/>
      </w:divBdr>
    </w:div>
    <w:div w:id="1236862888">
      <w:bodyDiv w:val="1"/>
      <w:marLeft w:val="0"/>
      <w:marRight w:val="0"/>
      <w:marTop w:val="0"/>
      <w:marBottom w:val="0"/>
      <w:divBdr>
        <w:top w:val="none" w:sz="0" w:space="0" w:color="auto"/>
        <w:left w:val="none" w:sz="0" w:space="0" w:color="auto"/>
        <w:bottom w:val="none" w:sz="0" w:space="0" w:color="auto"/>
        <w:right w:val="none" w:sz="0" w:space="0" w:color="auto"/>
      </w:divBdr>
      <w:divsChild>
        <w:div w:id="924220787">
          <w:marLeft w:val="0"/>
          <w:marRight w:val="0"/>
          <w:marTop w:val="34"/>
          <w:marBottom w:val="34"/>
          <w:divBdr>
            <w:top w:val="none" w:sz="0" w:space="0" w:color="auto"/>
            <w:left w:val="none" w:sz="0" w:space="0" w:color="auto"/>
            <w:bottom w:val="none" w:sz="0" w:space="0" w:color="auto"/>
            <w:right w:val="none" w:sz="0" w:space="0" w:color="auto"/>
          </w:divBdr>
        </w:div>
      </w:divsChild>
    </w:div>
    <w:div w:id="1350794036">
      <w:bodyDiv w:val="1"/>
      <w:marLeft w:val="0"/>
      <w:marRight w:val="0"/>
      <w:marTop w:val="0"/>
      <w:marBottom w:val="0"/>
      <w:divBdr>
        <w:top w:val="none" w:sz="0" w:space="0" w:color="auto"/>
        <w:left w:val="none" w:sz="0" w:space="0" w:color="auto"/>
        <w:bottom w:val="none" w:sz="0" w:space="0" w:color="auto"/>
        <w:right w:val="none" w:sz="0" w:space="0" w:color="auto"/>
      </w:divBdr>
    </w:div>
    <w:div w:id="1526823899">
      <w:bodyDiv w:val="1"/>
      <w:marLeft w:val="0"/>
      <w:marRight w:val="0"/>
      <w:marTop w:val="0"/>
      <w:marBottom w:val="0"/>
      <w:divBdr>
        <w:top w:val="none" w:sz="0" w:space="0" w:color="auto"/>
        <w:left w:val="none" w:sz="0" w:space="0" w:color="auto"/>
        <w:bottom w:val="none" w:sz="0" w:space="0" w:color="auto"/>
        <w:right w:val="none" w:sz="0" w:space="0" w:color="auto"/>
      </w:divBdr>
    </w:div>
    <w:div w:id="1588151695">
      <w:bodyDiv w:val="1"/>
      <w:marLeft w:val="0"/>
      <w:marRight w:val="0"/>
      <w:marTop w:val="0"/>
      <w:marBottom w:val="0"/>
      <w:divBdr>
        <w:top w:val="none" w:sz="0" w:space="0" w:color="auto"/>
        <w:left w:val="none" w:sz="0" w:space="0" w:color="auto"/>
        <w:bottom w:val="none" w:sz="0" w:space="0" w:color="auto"/>
        <w:right w:val="none" w:sz="0" w:space="0" w:color="auto"/>
      </w:divBdr>
    </w:div>
    <w:div w:id="1591084671">
      <w:bodyDiv w:val="1"/>
      <w:marLeft w:val="0"/>
      <w:marRight w:val="0"/>
      <w:marTop w:val="0"/>
      <w:marBottom w:val="0"/>
      <w:divBdr>
        <w:top w:val="none" w:sz="0" w:space="0" w:color="auto"/>
        <w:left w:val="none" w:sz="0" w:space="0" w:color="auto"/>
        <w:bottom w:val="none" w:sz="0" w:space="0" w:color="auto"/>
        <w:right w:val="none" w:sz="0" w:space="0" w:color="auto"/>
      </w:divBdr>
    </w:div>
    <w:div w:id="1659112966">
      <w:bodyDiv w:val="1"/>
      <w:marLeft w:val="0"/>
      <w:marRight w:val="0"/>
      <w:marTop w:val="0"/>
      <w:marBottom w:val="0"/>
      <w:divBdr>
        <w:top w:val="none" w:sz="0" w:space="0" w:color="auto"/>
        <w:left w:val="none" w:sz="0" w:space="0" w:color="auto"/>
        <w:bottom w:val="none" w:sz="0" w:space="0" w:color="auto"/>
        <w:right w:val="none" w:sz="0" w:space="0" w:color="auto"/>
      </w:divBdr>
    </w:div>
    <w:div w:id="1716810754">
      <w:bodyDiv w:val="1"/>
      <w:marLeft w:val="0"/>
      <w:marRight w:val="0"/>
      <w:marTop w:val="0"/>
      <w:marBottom w:val="0"/>
      <w:divBdr>
        <w:top w:val="none" w:sz="0" w:space="0" w:color="auto"/>
        <w:left w:val="none" w:sz="0" w:space="0" w:color="auto"/>
        <w:bottom w:val="none" w:sz="0" w:space="0" w:color="auto"/>
        <w:right w:val="none" w:sz="0" w:space="0" w:color="auto"/>
      </w:divBdr>
    </w:div>
    <w:div w:id="2044095178">
      <w:bodyDiv w:val="1"/>
      <w:marLeft w:val="0"/>
      <w:marRight w:val="0"/>
      <w:marTop w:val="0"/>
      <w:marBottom w:val="0"/>
      <w:divBdr>
        <w:top w:val="none" w:sz="0" w:space="0" w:color="auto"/>
        <w:left w:val="none" w:sz="0" w:space="0" w:color="auto"/>
        <w:bottom w:val="none" w:sz="0" w:space="0" w:color="auto"/>
        <w:right w:val="none" w:sz="0" w:space="0" w:color="auto"/>
      </w:divBdr>
    </w:div>
    <w:div w:id="2105690841">
      <w:bodyDiv w:val="1"/>
      <w:marLeft w:val="0"/>
      <w:marRight w:val="0"/>
      <w:marTop w:val="0"/>
      <w:marBottom w:val="0"/>
      <w:divBdr>
        <w:top w:val="none" w:sz="0" w:space="0" w:color="auto"/>
        <w:left w:val="none" w:sz="0" w:space="0" w:color="auto"/>
        <w:bottom w:val="none" w:sz="0" w:space="0" w:color="auto"/>
        <w:right w:val="none" w:sz="0" w:space="0" w:color="auto"/>
      </w:divBdr>
    </w:div>
    <w:div w:id="2142528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lincalc.com/Stats/Power.aspx" TargetMode="External"/><Relationship Id="rId12" Type="http://schemas.openxmlformats.org/officeDocument/2006/relationships/hyperlink" Target="https://pubmed.ncbi.nlm.nih.gov/327306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Pages>
  <Words>6983</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Puntmann</dc:creator>
  <cp:keywords/>
  <dc:description/>
  <cp:lastModifiedBy>Steven Glaros</cp:lastModifiedBy>
  <cp:revision>26</cp:revision>
  <cp:lastPrinted>2017-11-12T11:01:00Z</cp:lastPrinted>
  <dcterms:created xsi:type="dcterms:W3CDTF">2020-09-09T19:23:00Z</dcterms:created>
  <dcterms:modified xsi:type="dcterms:W3CDTF">2021-02-23T19:35:00Z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id="http://www.zotero.org/styles/journal-of-the-american-college-of-cardiology"/&gt;&lt;hasBiblio/&gt;&lt;format class="21"/&gt;&lt;count citations="13" publications="13"/&gt;&lt;/info&gt;PAPERS2_INFO_END</vt:lpwstr>
  </property>
</Properties>
</file>