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20E965" w14:textId="77777777" w:rsidR="00581563" w:rsidRDefault="00581563" w:rsidP="00581563">
      <w:pPr>
        <w:rPr>
          <w:rFonts w:ascii="Arial" w:eastAsiaTheme="majorEastAsia" w:hAnsi="Arial" w:cs="Arial"/>
          <w:b/>
          <w:sz w:val="24"/>
          <w:szCs w:val="32"/>
        </w:rPr>
      </w:pPr>
      <w:r w:rsidRPr="00581563">
        <w:rPr>
          <w:rFonts w:ascii="Arial" w:eastAsiaTheme="majorEastAsia" w:hAnsi="Arial" w:cs="Arial"/>
          <w:b/>
          <w:sz w:val="24"/>
          <w:szCs w:val="32"/>
        </w:rPr>
        <w:t>SUPPLEMENTARY INFORMATION</w:t>
      </w:r>
    </w:p>
    <w:p w14:paraId="2198083A" w14:textId="09565DFE" w:rsidR="00BC231F" w:rsidRDefault="0058512D" w:rsidP="00417B84">
      <w:pPr>
        <w:jc w:val="center"/>
        <w:rPr>
          <w:rFonts w:ascii="Arial" w:hAnsi="Arial" w:cs="Arial"/>
          <w:b/>
        </w:rPr>
      </w:pPr>
      <w:r>
        <w:rPr>
          <w:rFonts w:ascii="Arial" w:hAnsi="Arial" w:cs="Arial"/>
          <w:b/>
          <w:noProof/>
        </w:rPr>
        <w:drawing>
          <wp:inline distT="0" distB="0" distL="0" distR="0" wp14:anchorId="5160919E" wp14:editId="0F9F31E6">
            <wp:extent cx="5972810" cy="740664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upplementary_Figure_1.tif"/>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72810" cy="7406640"/>
                    </a:xfrm>
                    <a:prstGeom prst="rect">
                      <a:avLst/>
                    </a:prstGeom>
                  </pic:spPr>
                </pic:pic>
              </a:graphicData>
            </a:graphic>
          </wp:inline>
        </w:drawing>
      </w:r>
    </w:p>
    <w:p w14:paraId="17A6C307" w14:textId="7A89DDF5" w:rsidR="002B3A72" w:rsidRDefault="00581563" w:rsidP="00D47C94">
      <w:pPr>
        <w:jc w:val="both"/>
        <w:rPr>
          <w:rFonts w:ascii="Arial" w:hAnsi="Arial" w:cs="Arial"/>
        </w:rPr>
      </w:pPr>
      <w:r w:rsidRPr="00FA3313">
        <w:rPr>
          <w:rFonts w:ascii="Arial" w:hAnsi="Arial" w:cs="Arial"/>
          <w:b/>
        </w:rPr>
        <w:t>Supplementary Figure 1 |</w:t>
      </w:r>
      <w:r w:rsidRPr="00FA3313">
        <w:rPr>
          <w:rFonts w:ascii="Arial" w:hAnsi="Arial" w:cs="Arial"/>
        </w:rPr>
        <w:t xml:space="preserve"> </w:t>
      </w:r>
      <w:r w:rsidR="00015913" w:rsidRPr="00FA3313">
        <w:rPr>
          <w:rFonts w:ascii="Arial" w:hAnsi="Arial" w:cs="Arial"/>
          <w:b/>
        </w:rPr>
        <w:t>M</w:t>
      </w:r>
      <w:r w:rsidR="0086631B" w:rsidRPr="00FA3313">
        <w:rPr>
          <w:rFonts w:ascii="Arial" w:hAnsi="Arial" w:cs="Arial"/>
          <w:b/>
        </w:rPr>
        <w:t xml:space="preserve">icroscope components </w:t>
      </w:r>
      <w:r w:rsidRPr="00FA3313">
        <w:rPr>
          <w:rFonts w:ascii="Arial" w:hAnsi="Arial" w:cs="Arial"/>
          <w:b/>
        </w:rPr>
        <w:t>and software</w:t>
      </w:r>
      <w:r w:rsidR="00015913" w:rsidRPr="00FA3313">
        <w:rPr>
          <w:rFonts w:ascii="Arial" w:hAnsi="Arial" w:cs="Arial"/>
          <w:b/>
        </w:rPr>
        <w:t xml:space="preserve"> used to control the </w:t>
      </w:r>
      <w:r w:rsidR="00B949D3" w:rsidRPr="006E6487">
        <w:rPr>
          <w:rFonts w:ascii="Arial" w:hAnsi="Arial" w:cs="Arial"/>
          <w:b/>
        </w:rPr>
        <w:t>maS</w:t>
      </w:r>
      <w:r w:rsidR="00B949D3" w:rsidRPr="006E6487">
        <w:rPr>
          <w:rFonts w:ascii="Arial" w:hAnsi="Arial" w:cs="Arial"/>
          <w:b/>
          <w:vertAlign w:val="superscript"/>
        </w:rPr>
        <w:t>3</w:t>
      </w:r>
      <w:r w:rsidR="00B949D3" w:rsidRPr="006E6487">
        <w:rPr>
          <w:rFonts w:ascii="Arial" w:hAnsi="Arial" w:cs="Arial"/>
          <w:b/>
        </w:rPr>
        <w:t>TORM</w:t>
      </w:r>
      <w:r w:rsidR="00015913" w:rsidRPr="00FA3313">
        <w:rPr>
          <w:rFonts w:ascii="Arial" w:hAnsi="Arial" w:cs="Arial"/>
          <w:b/>
        </w:rPr>
        <w:t xml:space="preserve"> setup</w:t>
      </w:r>
      <w:r w:rsidRPr="00FA3313">
        <w:rPr>
          <w:rFonts w:ascii="Arial" w:hAnsi="Arial" w:cs="Arial"/>
          <w:b/>
        </w:rPr>
        <w:t>.</w:t>
      </w:r>
      <w:r w:rsidRPr="00FA3313">
        <w:rPr>
          <w:rFonts w:ascii="Arial" w:hAnsi="Arial" w:cs="Arial"/>
        </w:rPr>
        <w:t xml:space="preserve"> (</w:t>
      </w:r>
      <w:r w:rsidRPr="00FA3313">
        <w:rPr>
          <w:rFonts w:ascii="Arial" w:hAnsi="Arial" w:cs="Arial"/>
          <w:b/>
        </w:rPr>
        <w:t>a</w:t>
      </w:r>
      <w:r w:rsidRPr="00FA3313">
        <w:rPr>
          <w:rFonts w:ascii="Arial" w:hAnsi="Arial" w:cs="Arial"/>
        </w:rPr>
        <w:t xml:space="preserve">) </w:t>
      </w:r>
      <w:r w:rsidR="0086631B" w:rsidRPr="00FA3313">
        <w:rPr>
          <w:rFonts w:ascii="Arial" w:hAnsi="Arial" w:cs="Arial"/>
        </w:rPr>
        <w:t xml:space="preserve">Detailed schematic of the microscope components of the </w:t>
      </w:r>
      <w:r w:rsidR="00B949D3">
        <w:rPr>
          <w:rFonts w:ascii="Arial" w:hAnsi="Arial" w:cs="Arial"/>
        </w:rPr>
        <w:t>maS</w:t>
      </w:r>
      <w:r w:rsidR="00B949D3" w:rsidRPr="008222AF">
        <w:rPr>
          <w:rFonts w:ascii="Arial" w:hAnsi="Arial" w:cs="Arial"/>
          <w:vertAlign w:val="superscript"/>
        </w:rPr>
        <w:t>3</w:t>
      </w:r>
      <w:r w:rsidR="00B949D3" w:rsidRPr="00C91877">
        <w:rPr>
          <w:rFonts w:ascii="Arial" w:hAnsi="Arial" w:cs="Arial"/>
        </w:rPr>
        <w:t>TORM</w:t>
      </w:r>
      <w:r w:rsidR="0086631B" w:rsidRPr="00FA3313">
        <w:rPr>
          <w:rFonts w:ascii="Arial" w:hAnsi="Arial" w:cs="Arial"/>
        </w:rPr>
        <w:t xml:space="preserve"> </w:t>
      </w:r>
      <w:r w:rsidR="0086631B">
        <w:rPr>
          <w:rFonts w:ascii="Arial" w:hAnsi="Arial" w:cs="Arial"/>
        </w:rPr>
        <w:t>setup</w:t>
      </w:r>
      <w:r w:rsidR="00B949D3">
        <w:rPr>
          <w:rFonts w:ascii="Arial" w:hAnsi="Arial" w:cs="Arial"/>
        </w:rPr>
        <w:t xml:space="preserve"> </w:t>
      </w:r>
      <w:r w:rsidR="006E6487">
        <w:rPr>
          <w:rFonts w:ascii="Arial" w:hAnsi="Arial" w:cs="Arial"/>
        </w:rPr>
        <w:t>(see also</w:t>
      </w:r>
      <w:r w:rsidR="00015913">
        <w:rPr>
          <w:rFonts w:ascii="Arial" w:hAnsi="Arial" w:cs="Arial"/>
        </w:rPr>
        <w:t xml:space="preserve"> </w:t>
      </w:r>
      <w:r w:rsidR="00015913" w:rsidRPr="005E7DA3">
        <w:rPr>
          <w:rFonts w:ascii="Arial" w:hAnsi="Arial" w:cs="Arial"/>
          <w:b/>
        </w:rPr>
        <w:t xml:space="preserve">Supplementary Table </w:t>
      </w:r>
      <w:r w:rsidR="00373F8A" w:rsidRPr="005E7DA3">
        <w:rPr>
          <w:rFonts w:ascii="Arial" w:hAnsi="Arial" w:cs="Arial"/>
          <w:b/>
        </w:rPr>
        <w:t>4</w:t>
      </w:r>
      <w:r w:rsidR="006E6487">
        <w:rPr>
          <w:rFonts w:ascii="Arial" w:hAnsi="Arial" w:cs="Arial"/>
        </w:rPr>
        <w:t>)</w:t>
      </w:r>
      <w:r w:rsidR="00373F8A">
        <w:rPr>
          <w:rFonts w:ascii="Arial" w:hAnsi="Arial" w:cs="Arial"/>
        </w:rPr>
        <w:t>.</w:t>
      </w:r>
      <w:r w:rsidR="00015913">
        <w:rPr>
          <w:rFonts w:ascii="Arial" w:hAnsi="Arial" w:cs="Arial"/>
        </w:rPr>
        <w:t xml:space="preserve"> For emission (blue background), the </w:t>
      </w:r>
      <w:r w:rsidR="00172B32">
        <w:rPr>
          <w:rFonts w:ascii="Arial" w:hAnsi="Arial" w:cs="Arial"/>
        </w:rPr>
        <w:t xml:space="preserve">home-built </w:t>
      </w:r>
      <w:proofErr w:type="spellStart"/>
      <w:r w:rsidR="00B949D3" w:rsidRPr="006E6487">
        <w:rPr>
          <w:rFonts w:ascii="Arial" w:hAnsi="Arial" w:cs="Arial"/>
          <w:i/>
        </w:rPr>
        <w:lastRenderedPageBreak/>
        <w:t>d</w:t>
      </w:r>
      <w:r w:rsidR="00015913">
        <w:rPr>
          <w:rFonts w:ascii="Arial" w:hAnsi="Arial" w:cs="Arial"/>
        </w:rPr>
        <w:t>STORM</w:t>
      </w:r>
      <w:proofErr w:type="spellEnd"/>
      <w:r w:rsidR="00015913">
        <w:rPr>
          <w:rFonts w:ascii="Arial" w:hAnsi="Arial" w:cs="Arial"/>
        </w:rPr>
        <w:t xml:space="preserve"> system is equipped with four lasers</w:t>
      </w:r>
      <w:r w:rsidR="00373F8A">
        <w:rPr>
          <w:rFonts w:ascii="Arial" w:hAnsi="Arial" w:cs="Arial"/>
        </w:rPr>
        <w:t xml:space="preserve">: 405 nm (#1), 488 nm (#2), 561 nm (#3), and 661 nm (#4). </w:t>
      </w:r>
      <w:r w:rsidR="00373F8A" w:rsidRPr="00373F8A">
        <w:rPr>
          <w:rFonts w:ascii="Arial" w:hAnsi="Arial" w:cs="Arial"/>
        </w:rPr>
        <w:t>The 405</w:t>
      </w:r>
      <w:r w:rsidR="00373F8A">
        <w:rPr>
          <w:rFonts w:ascii="Arial" w:hAnsi="Arial" w:cs="Arial"/>
        </w:rPr>
        <w:t> nm, 488 nm, and the 561 </w:t>
      </w:r>
      <w:r w:rsidR="00373F8A" w:rsidRPr="00373F8A">
        <w:rPr>
          <w:rFonts w:ascii="Arial" w:hAnsi="Arial" w:cs="Arial"/>
        </w:rPr>
        <w:t>nm laser beams are merged using two dichroic mirrors (</w:t>
      </w:r>
      <w:r w:rsidR="00373F8A">
        <w:rPr>
          <w:rFonts w:ascii="Arial" w:hAnsi="Arial" w:cs="Arial"/>
        </w:rPr>
        <w:t>#</w:t>
      </w:r>
      <w:r w:rsidR="00373F8A" w:rsidRPr="00373F8A">
        <w:rPr>
          <w:rFonts w:ascii="Arial" w:hAnsi="Arial" w:cs="Arial"/>
        </w:rPr>
        <w:t xml:space="preserve">5 and </w:t>
      </w:r>
      <w:r w:rsidR="00373F8A">
        <w:rPr>
          <w:rFonts w:ascii="Arial" w:hAnsi="Arial" w:cs="Arial"/>
        </w:rPr>
        <w:t>#</w:t>
      </w:r>
      <w:r w:rsidR="00373F8A" w:rsidRPr="00373F8A">
        <w:rPr>
          <w:rFonts w:ascii="Arial" w:hAnsi="Arial" w:cs="Arial"/>
        </w:rPr>
        <w:t>6). The 661</w:t>
      </w:r>
      <w:r w:rsidR="00373F8A">
        <w:rPr>
          <w:rFonts w:ascii="Arial" w:hAnsi="Arial" w:cs="Arial"/>
        </w:rPr>
        <w:t> </w:t>
      </w:r>
      <w:r w:rsidR="00373F8A" w:rsidRPr="00373F8A">
        <w:rPr>
          <w:rFonts w:ascii="Arial" w:hAnsi="Arial" w:cs="Arial"/>
        </w:rPr>
        <w:t xml:space="preserve">nm laser beam that is primarily used for </w:t>
      </w:r>
      <w:proofErr w:type="spellStart"/>
      <w:r w:rsidR="00B949D3" w:rsidRPr="004E4DC2">
        <w:rPr>
          <w:rFonts w:ascii="Arial" w:hAnsi="Arial" w:cs="Arial"/>
          <w:i/>
        </w:rPr>
        <w:t>d</w:t>
      </w:r>
      <w:r w:rsidR="00373F8A" w:rsidRPr="00373F8A">
        <w:rPr>
          <w:rFonts w:ascii="Arial" w:hAnsi="Arial" w:cs="Arial"/>
        </w:rPr>
        <w:t>STORM</w:t>
      </w:r>
      <w:proofErr w:type="spellEnd"/>
      <w:r w:rsidR="00373F8A" w:rsidRPr="00373F8A">
        <w:rPr>
          <w:rFonts w:ascii="Arial" w:hAnsi="Arial" w:cs="Arial"/>
        </w:rPr>
        <w:t xml:space="preserve"> measurements is conjoined with all the other laser beams </w:t>
      </w:r>
      <w:r w:rsidR="00373F8A">
        <w:rPr>
          <w:rFonts w:ascii="Arial" w:hAnsi="Arial" w:cs="Arial"/>
        </w:rPr>
        <w:t>by</w:t>
      </w:r>
      <w:r w:rsidR="00373F8A" w:rsidRPr="00373F8A">
        <w:rPr>
          <w:rFonts w:ascii="Arial" w:hAnsi="Arial" w:cs="Arial"/>
        </w:rPr>
        <w:t xml:space="preserve"> the dichroic mirror (</w:t>
      </w:r>
      <w:r w:rsidR="00373F8A">
        <w:rPr>
          <w:rFonts w:ascii="Arial" w:hAnsi="Arial" w:cs="Arial"/>
        </w:rPr>
        <w:t>#</w:t>
      </w:r>
      <w:r w:rsidR="00373F8A" w:rsidRPr="00373F8A">
        <w:rPr>
          <w:rFonts w:ascii="Arial" w:hAnsi="Arial" w:cs="Arial"/>
        </w:rPr>
        <w:t>7). Subsequently, the excitation light is widened by two lenses forming a telescope and is reflected onto the sample using another dichroic mirror (</w:t>
      </w:r>
      <w:r w:rsidR="00373F8A">
        <w:rPr>
          <w:rFonts w:ascii="Arial" w:hAnsi="Arial" w:cs="Arial"/>
        </w:rPr>
        <w:t>#</w:t>
      </w:r>
      <w:r w:rsidR="00373F8A" w:rsidRPr="00373F8A">
        <w:rPr>
          <w:rFonts w:ascii="Arial" w:hAnsi="Arial" w:cs="Arial"/>
        </w:rPr>
        <w:t>8). The emission beam (red background) is collected by the objective (</w:t>
      </w:r>
      <w:r w:rsidR="00373F8A">
        <w:rPr>
          <w:rFonts w:ascii="Arial" w:hAnsi="Arial" w:cs="Arial"/>
        </w:rPr>
        <w:t>#</w:t>
      </w:r>
      <w:r w:rsidR="00373F8A" w:rsidRPr="00373F8A">
        <w:rPr>
          <w:rFonts w:ascii="Arial" w:hAnsi="Arial" w:cs="Arial"/>
        </w:rPr>
        <w:t>9; yellow background) and passes a tube lens followed by the cylindrical lens (</w:t>
      </w:r>
      <w:r w:rsidR="00373F8A">
        <w:rPr>
          <w:rFonts w:ascii="Arial" w:hAnsi="Arial" w:cs="Arial"/>
        </w:rPr>
        <w:t>#</w:t>
      </w:r>
      <w:r w:rsidR="00373F8A" w:rsidRPr="00373F8A">
        <w:rPr>
          <w:rFonts w:ascii="Arial" w:hAnsi="Arial" w:cs="Arial"/>
        </w:rPr>
        <w:t>10) that can be used for 3D imaging. At the focal point of the tube lens a slit (</w:t>
      </w:r>
      <w:r w:rsidR="00373F8A">
        <w:rPr>
          <w:rFonts w:ascii="Arial" w:hAnsi="Arial" w:cs="Arial"/>
        </w:rPr>
        <w:t>#</w:t>
      </w:r>
      <w:r w:rsidR="00373F8A" w:rsidRPr="00373F8A">
        <w:rPr>
          <w:rFonts w:ascii="Arial" w:hAnsi="Arial" w:cs="Arial"/>
        </w:rPr>
        <w:t>11) is placed, followed by another lens parallelizing the beam. Different emission filters to block excitation light are mounted in a filter wheel (</w:t>
      </w:r>
      <w:r w:rsidR="00373F8A">
        <w:rPr>
          <w:rFonts w:ascii="Arial" w:hAnsi="Arial" w:cs="Arial"/>
        </w:rPr>
        <w:t>#</w:t>
      </w:r>
      <w:r w:rsidR="00373F8A" w:rsidRPr="00373F8A">
        <w:rPr>
          <w:rFonts w:ascii="Arial" w:hAnsi="Arial" w:cs="Arial"/>
        </w:rPr>
        <w:t>12). The dichroic filter (</w:t>
      </w:r>
      <w:r w:rsidR="00373F8A">
        <w:rPr>
          <w:rFonts w:ascii="Arial" w:hAnsi="Arial" w:cs="Arial"/>
        </w:rPr>
        <w:t>#</w:t>
      </w:r>
      <w:r w:rsidR="00373F8A" w:rsidRPr="00373F8A">
        <w:rPr>
          <w:rFonts w:ascii="Arial" w:hAnsi="Arial" w:cs="Arial"/>
        </w:rPr>
        <w:t>13) splits the emission light into two beams with one beam passing and the other being reflected at the inner edge of a prism (</w:t>
      </w:r>
      <w:r w:rsidR="00373F8A">
        <w:rPr>
          <w:rFonts w:ascii="Arial" w:hAnsi="Arial" w:cs="Arial"/>
        </w:rPr>
        <w:t>#</w:t>
      </w:r>
      <w:r w:rsidR="00373F8A" w:rsidRPr="00373F8A">
        <w:rPr>
          <w:rFonts w:ascii="Arial" w:hAnsi="Arial" w:cs="Arial"/>
        </w:rPr>
        <w:t>14) resulting in two channels that are focused onto the camera (</w:t>
      </w:r>
      <w:r w:rsidR="00373F8A">
        <w:rPr>
          <w:rFonts w:ascii="Arial" w:hAnsi="Arial" w:cs="Arial"/>
        </w:rPr>
        <w:t>#</w:t>
      </w:r>
      <w:r w:rsidR="00373F8A" w:rsidRPr="00373F8A">
        <w:rPr>
          <w:rFonts w:ascii="Arial" w:hAnsi="Arial" w:cs="Arial"/>
        </w:rPr>
        <w:t>15). The microscope is further provided with an infrared beam-based active focus stabilization system (green background). The incoming beam of the infrared diode (</w:t>
      </w:r>
      <w:r w:rsidR="00373F8A">
        <w:rPr>
          <w:rFonts w:ascii="Arial" w:hAnsi="Arial" w:cs="Arial"/>
        </w:rPr>
        <w:t>#</w:t>
      </w:r>
      <w:r w:rsidR="00373F8A" w:rsidRPr="00373F8A">
        <w:rPr>
          <w:rFonts w:ascii="Arial" w:hAnsi="Arial" w:cs="Arial"/>
        </w:rPr>
        <w:t>16) is coupled into the objective by the dichroic mirror (</w:t>
      </w:r>
      <w:r w:rsidR="00373F8A">
        <w:rPr>
          <w:rFonts w:ascii="Arial" w:hAnsi="Arial" w:cs="Arial"/>
        </w:rPr>
        <w:t>#</w:t>
      </w:r>
      <w:r w:rsidR="00373F8A" w:rsidRPr="00373F8A">
        <w:rPr>
          <w:rFonts w:ascii="Arial" w:hAnsi="Arial" w:cs="Arial"/>
        </w:rPr>
        <w:t>17). The beam is reflected at the edge between the glass surface of the sample and the sample medium. Using a movable mirror (</w:t>
      </w:r>
      <w:r w:rsidR="00373F8A">
        <w:rPr>
          <w:rFonts w:ascii="Arial" w:hAnsi="Arial" w:cs="Arial"/>
        </w:rPr>
        <w:t>#</w:t>
      </w:r>
      <w:r w:rsidR="00373F8A" w:rsidRPr="00373F8A">
        <w:rPr>
          <w:rFonts w:ascii="Arial" w:hAnsi="Arial" w:cs="Arial"/>
        </w:rPr>
        <w:t>18)</w:t>
      </w:r>
      <w:r w:rsidR="00373F8A">
        <w:rPr>
          <w:rFonts w:ascii="Arial" w:hAnsi="Arial" w:cs="Arial"/>
        </w:rPr>
        <w:t>,</w:t>
      </w:r>
      <w:r w:rsidR="00373F8A" w:rsidRPr="00373F8A">
        <w:rPr>
          <w:rFonts w:ascii="Arial" w:hAnsi="Arial" w:cs="Arial"/>
        </w:rPr>
        <w:t xml:space="preserve"> the reflected beam is projected onto a quadrant diode (</w:t>
      </w:r>
      <w:r w:rsidR="00373F8A">
        <w:rPr>
          <w:rFonts w:ascii="Arial" w:hAnsi="Arial" w:cs="Arial"/>
        </w:rPr>
        <w:t>#</w:t>
      </w:r>
      <w:r w:rsidR="00373F8A" w:rsidRPr="00373F8A">
        <w:rPr>
          <w:rFonts w:ascii="Arial" w:hAnsi="Arial" w:cs="Arial"/>
        </w:rPr>
        <w:t xml:space="preserve">19). To correct for focus drift, the quadrant diode </w:t>
      </w:r>
      <w:r w:rsidR="00B949D3">
        <w:rPr>
          <w:rFonts w:ascii="Arial" w:hAnsi="Arial" w:cs="Arial"/>
        </w:rPr>
        <w:t>is linked</w:t>
      </w:r>
      <w:r w:rsidR="00373F8A" w:rsidRPr="00373F8A">
        <w:rPr>
          <w:rFonts w:ascii="Arial" w:hAnsi="Arial" w:cs="Arial"/>
        </w:rPr>
        <w:t xml:space="preserve"> to a controller (not shown) that, in turn, initiates movement of a piezo-driven stage (</w:t>
      </w:r>
      <w:r w:rsidR="00373F8A">
        <w:rPr>
          <w:rFonts w:ascii="Arial" w:hAnsi="Arial" w:cs="Arial"/>
        </w:rPr>
        <w:t>#20) wherein the objective</w:t>
      </w:r>
      <w:r w:rsidR="00373F8A" w:rsidRPr="00373F8A">
        <w:rPr>
          <w:rFonts w:ascii="Arial" w:hAnsi="Arial" w:cs="Arial"/>
        </w:rPr>
        <w:t xml:space="preserve"> is mounted.</w:t>
      </w:r>
      <w:r w:rsidR="00373F8A">
        <w:rPr>
          <w:rFonts w:ascii="Arial" w:hAnsi="Arial" w:cs="Arial"/>
        </w:rPr>
        <w:t xml:space="preserve"> </w:t>
      </w:r>
      <w:r w:rsidRPr="00C91877">
        <w:rPr>
          <w:rFonts w:ascii="Arial" w:hAnsi="Arial" w:cs="Arial"/>
        </w:rPr>
        <w:t>(</w:t>
      </w:r>
      <w:r w:rsidRPr="00C91877">
        <w:rPr>
          <w:rFonts w:ascii="Arial" w:hAnsi="Arial" w:cs="Arial"/>
          <w:b/>
        </w:rPr>
        <w:t>b</w:t>
      </w:r>
      <w:r w:rsidRPr="00C91877">
        <w:rPr>
          <w:rFonts w:ascii="Arial" w:hAnsi="Arial" w:cs="Arial"/>
        </w:rPr>
        <w:t xml:space="preserve">) </w:t>
      </w:r>
      <w:r w:rsidR="00172B32">
        <w:rPr>
          <w:rFonts w:ascii="Arial" w:hAnsi="Arial" w:cs="Arial"/>
        </w:rPr>
        <w:t xml:space="preserve">Software architecture designed for coordinated control of </w:t>
      </w:r>
      <w:proofErr w:type="spellStart"/>
      <w:r w:rsidR="00B949D3" w:rsidRPr="006E6487">
        <w:rPr>
          <w:rFonts w:ascii="Arial" w:hAnsi="Arial" w:cs="Arial"/>
          <w:i/>
        </w:rPr>
        <w:t>d</w:t>
      </w:r>
      <w:r w:rsidR="00172B32">
        <w:rPr>
          <w:rFonts w:ascii="Arial" w:hAnsi="Arial" w:cs="Arial"/>
        </w:rPr>
        <w:t>STORM</w:t>
      </w:r>
      <w:proofErr w:type="spellEnd"/>
      <w:r w:rsidR="00172B32">
        <w:rPr>
          <w:rFonts w:ascii="Arial" w:hAnsi="Arial" w:cs="Arial"/>
        </w:rPr>
        <w:t xml:space="preserve"> and robot hardware components. </w:t>
      </w:r>
      <w:r w:rsidR="00172B32" w:rsidRPr="00172B32">
        <w:rPr>
          <w:rFonts w:ascii="Arial" w:hAnsi="Arial" w:cs="Arial"/>
        </w:rPr>
        <w:t xml:space="preserve">All microscope hardware components (photograph in the left lower part of the diagram) were implemented into </w:t>
      </w:r>
      <w:r w:rsidR="00172B32">
        <w:rPr>
          <w:rFonts w:ascii="Arial" w:hAnsi="Arial" w:cs="Arial"/>
        </w:rPr>
        <w:t>the</w:t>
      </w:r>
      <w:r w:rsidR="00172B32" w:rsidRPr="00172B32">
        <w:rPr>
          <w:rFonts w:ascii="Arial" w:hAnsi="Arial" w:cs="Arial"/>
        </w:rPr>
        <w:t xml:space="preserve"> open-source software called </w:t>
      </w:r>
      <w:r w:rsidR="00172B32">
        <w:rPr>
          <w:rFonts w:ascii="Arial" w:hAnsi="Arial" w:cs="Arial"/>
        </w:rPr>
        <w:t>µ</w:t>
      </w:r>
      <w:r w:rsidR="00172B32" w:rsidRPr="00172B32">
        <w:rPr>
          <w:rFonts w:ascii="Arial" w:hAnsi="Arial" w:cs="Arial"/>
        </w:rPr>
        <w:t>Manager</w:t>
      </w:r>
      <w:r w:rsidR="006E6487">
        <w:rPr>
          <w:rFonts w:ascii="Arial" w:hAnsi="Arial" w:cs="Arial"/>
        </w:rPr>
        <w:fldChar w:fldCharType="begin" w:fldLock="1"/>
      </w:r>
      <w:r w:rsidR="00351FE9">
        <w:rPr>
          <w:rFonts w:ascii="Arial" w:hAnsi="Arial" w:cs="Arial"/>
        </w:rPr>
        <w:instrText>ADDIN CSL_CITATION {"citationItems":[{"id":"ITEM-1","itemData":{"DOI":"10.14440/jbm.2014.36","ISSN":"2326-9901","abstract":"µManager is an open-source, cross-platform desktop application, to control a wide variety of motorized microscopes, scientific cameras, stages, illuminators, and other microscope accessories. Since its inception in 2005, µManager has grown to support a wide range of microscopy hardware and is now used by thousands of researchers around the world. The application provides a mature graphical user interface and offers open programming interfaces to facilitate plugins and scripts. Here, we present a guide to using some of the recently added advanced µManager features, including hardware synchronization, simultaneous use of multiple cameras, projection of patterned light onto a specimen, live slide mapping, imaging with multi-well plates, particle localization and tracking, and high-speed imaging.","author":[{"dropping-particle":"","family":"Edelstein","given":"Arthur D","non-dropping-particle":"","parse-names":false,"suffix":""},{"dropping-particle":"","family":"Tsuchida","given":"Mark A","non-dropping-particle":"","parse-names":false,"suffix":""},{"dropping-particle":"","family":"Amodaj","given":"Nenad","non-dropping-particle":"","parse-names":false,"suffix":""},{"dropping-particle":"","family":"Pinkard","given":"Henry","non-dropping-particle":"","parse-names":false,"suffix":""},{"dropping-particle":"","family":"Vale","given":"Ronald D","non-dropping-particle":"","parse-names":false,"suffix":""},{"dropping-particle":"","family":"Stuurman","given":"Nico","non-dropping-particle":"","parse-names":false,"suffix":""}],"container-title":"Journal of Biological Methods","id":"ITEM-1","issue":"2","issued":{"date-parts":[["2014","11","7"]]},"page":"10","title":"Advanced methods of microscope control using μManager software","type":"article-journal","volume":"1"},"uris":["http://www.mendeley.com/documents/?uuid=61280a03-8125-476f-892b-ae74c25772e8"]}],"mendeley":{"formattedCitation":"&lt;sup&gt;1&lt;/sup&gt;","plainTextFormattedCitation":"1","previouslyFormattedCitation":"&lt;sup&gt;1&lt;/sup&gt;"},"properties":{"noteIndex":0},"schema":"https://github.com/citation-style-language/schema/raw/master/csl-citation.json"}</w:instrText>
      </w:r>
      <w:r w:rsidR="006E6487">
        <w:rPr>
          <w:rFonts w:ascii="Arial" w:hAnsi="Arial" w:cs="Arial"/>
        </w:rPr>
        <w:fldChar w:fldCharType="separate"/>
      </w:r>
      <w:r w:rsidR="00347130" w:rsidRPr="00347130">
        <w:rPr>
          <w:rFonts w:ascii="Arial" w:hAnsi="Arial" w:cs="Arial"/>
          <w:noProof/>
          <w:vertAlign w:val="superscript"/>
          <w:lang w:val="de-DE"/>
        </w:rPr>
        <w:t>1</w:t>
      </w:r>
      <w:r w:rsidR="006E6487">
        <w:rPr>
          <w:rFonts w:ascii="Arial" w:hAnsi="Arial" w:cs="Arial"/>
        </w:rPr>
        <w:fldChar w:fldCharType="end"/>
      </w:r>
      <w:r w:rsidR="00172B32" w:rsidRPr="006E6487">
        <w:rPr>
          <w:rFonts w:ascii="Arial" w:hAnsi="Arial" w:cs="Arial"/>
          <w:lang w:val="de-DE"/>
        </w:rPr>
        <w:t xml:space="preserve">. </w:t>
      </w:r>
      <w:r w:rsidR="00172B32" w:rsidRPr="00172B32">
        <w:rPr>
          <w:rFonts w:ascii="Arial" w:hAnsi="Arial" w:cs="Arial"/>
        </w:rPr>
        <w:t xml:space="preserve">On top of </w:t>
      </w:r>
      <w:r w:rsidR="00172B32">
        <w:rPr>
          <w:rFonts w:ascii="Arial" w:hAnsi="Arial" w:cs="Arial"/>
        </w:rPr>
        <w:t>µ</w:t>
      </w:r>
      <w:r w:rsidR="00172B32" w:rsidRPr="00172B32">
        <w:rPr>
          <w:rFonts w:ascii="Arial" w:hAnsi="Arial" w:cs="Arial"/>
        </w:rPr>
        <w:t xml:space="preserve">Manager, the custom-written Microscope Control software and the corresponding graphical user interface (GUI) were developed to conveniently use all necessary functionality of the hardware. The setup was complemented by </w:t>
      </w:r>
      <w:r w:rsidR="001342BC">
        <w:rPr>
          <w:rFonts w:ascii="Arial" w:hAnsi="Arial" w:cs="Arial"/>
        </w:rPr>
        <w:t>the</w:t>
      </w:r>
      <w:r w:rsidR="001342BC" w:rsidRPr="00172B32">
        <w:rPr>
          <w:rFonts w:ascii="Arial" w:hAnsi="Arial" w:cs="Arial"/>
        </w:rPr>
        <w:t xml:space="preserve"> </w:t>
      </w:r>
      <w:r w:rsidR="00172B32" w:rsidRPr="00172B32">
        <w:rPr>
          <w:rFonts w:ascii="Arial" w:hAnsi="Arial" w:cs="Arial"/>
        </w:rPr>
        <w:t>commercial pipetting robot PAL3 by CTC Analytics AG</w:t>
      </w:r>
      <w:r w:rsidR="00172B32">
        <w:rPr>
          <w:rFonts w:ascii="Arial" w:hAnsi="Arial" w:cs="Arial"/>
        </w:rPr>
        <w:t>/Axel Semrau</w:t>
      </w:r>
      <w:r w:rsidR="00172B32" w:rsidRPr="00172B32">
        <w:rPr>
          <w:rFonts w:ascii="Arial" w:hAnsi="Arial" w:cs="Arial"/>
        </w:rPr>
        <w:t xml:space="preserve"> (photograph in the right lower part of the diagram) and can be con</w:t>
      </w:r>
      <w:r w:rsidR="00172B32">
        <w:rPr>
          <w:rFonts w:ascii="Arial" w:hAnsi="Arial" w:cs="Arial"/>
        </w:rPr>
        <w:t>trolled by the commercial Chronos software (</w:t>
      </w:r>
      <w:r w:rsidR="00172B32" w:rsidRPr="00172B32">
        <w:rPr>
          <w:rFonts w:ascii="Arial" w:hAnsi="Arial" w:cs="Arial"/>
        </w:rPr>
        <w:t>Axel Semrau</w:t>
      </w:r>
      <w:r w:rsidR="00172B32">
        <w:rPr>
          <w:rFonts w:ascii="Arial" w:hAnsi="Arial" w:cs="Arial"/>
        </w:rPr>
        <w:t>)</w:t>
      </w:r>
      <w:r w:rsidR="00172B32" w:rsidRPr="00172B32">
        <w:rPr>
          <w:rFonts w:ascii="Arial" w:hAnsi="Arial" w:cs="Arial"/>
        </w:rPr>
        <w:t>. For a fully automated microscopy and re</w:t>
      </w:r>
      <w:r w:rsidR="006E6487">
        <w:rPr>
          <w:rFonts w:ascii="Arial" w:hAnsi="Arial" w:cs="Arial"/>
        </w:rPr>
        <w:t>-</w:t>
      </w:r>
      <w:r w:rsidR="00172B32" w:rsidRPr="00172B32">
        <w:rPr>
          <w:rFonts w:ascii="Arial" w:hAnsi="Arial" w:cs="Arial"/>
        </w:rPr>
        <w:t>stain</w:t>
      </w:r>
      <w:r w:rsidR="001342BC">
        <w:rPr>
          <w:rFonts w:ascii="Arial" w:hAnsi="Arial" w:cs="Arial"/>
        </w:rPr>
        <w:t>ing</w:t>
      </w:r>
      <w:r w:rsidR="00172B32" w:rsidRPr="00172B32">
        <w:rPr>
          <w:rFonts w:ascii="Arial" w:hAnsi="Arial" w:cs="Arial"/>
        </w:rPr>
        <w:t xml:space="preserve"> procedure, both microscope hardware elements </w:t>
      </w:r>
      <w:r w:rsidR="00172B32">
        <w:rPr>
          <w:rFonts w:ascii="Arial" w:hAnsi="Arial" w:cs="Arial"/>
        </w:rPr>
        <w:t>and</w:t>
      </w:r>
      <w:r w:rsidR="00172B32" w:rsidRPr="00172B32">
        <w:rPr>
          <w:rFonts w:ascii="Arial" w:hAnsi="Arial" w:cs="Arial"/>
        </w:rPr>
        <w:t xml:space="preserve"> the pipetting robot were integrated into one custom-written Experiment Editor software that can be conveniently addressed by the user via the corresponding GUI depicted at the top center of the diagram. While the Microscope Control software </w:t>
      </w:r>
      <w:r w:rsidR="00172B32">
        <w:rPr>
          <w:rFonts w:ascii="Arial" w:hAnsi="Arial" w:cs="Arial"/>
        </w:rPr>
        <w:t>is</w:t>
      </w:r>
      <w:r w:rsidR="00172B32" w:rsidRPr="00172B32">
        <w:rPr>
          <w:rFonts w:ascii="Arial" w:hAnsi="Arial" w:cs="Arial"/>
        </w:rPr>
        <w:t xml:space="preserve"> directly addressed by the Experiment Editor</w:t>
      </w:r>
      <w:r w:rsidR="00172B32">
        <w:rPr>
          <w:rFonts w:ascii="Arial" w:hAnsi="Arial" w:cs="Arial"/>
        </w:rPr>
        <w:t xml:space="preserve"> software</w:t>
      </w:r>
      <w:r w:rsidR="00172B32" w:rsidRPr="00172B32">
        <w:rPr>
          <w:rFonts w:ascii="Arial" w:hAnsi="Arial" w:cs="Arial"/>
        </w:rPr>
        <w:t xml:space="preserve">, </w:t>
      </w:r>
      <w:r w:rsidR="00D47C94">
        <w:rPr>
          <w:rFonts w:ascii="Arial" w:hAnsi="Arial" w:cs="Arial"/>
        </w:rPr>
        <w:t xml:space="preserve">the communication between Experiment Editor and </w:t>
      </w:r>
      <w:r w:rsidR="00172B32" w:rsidRPr="00172B32">
        <w:rPr>
          <w:rFonts w:ascii="Arial" w:hAnsi="Arial" w:cs="Arial"/>
        </w:rPr>
        <w:t xml:space="preserve">the pipetting robot </w:t>
      </w:r>
      <w:r w:rsidR="00D47C94">
        <w:rPr>
          <w:rFonts w:ascii="Arial" w:hAnsi="Arial" w:cs="Arial"/>
        </w:rPr>
        <w:t xml:space="preserve">is realized indirectly </w:t>
      </w:r>
      <w:r w:rsidR="00D47C94" w:rsidRPr="00172B32">
        <w:rPr>
          <w:rFonts w:ascii="Arial" w:hAnsi="Arial" w:cs="Arial"/>
        </w:rPr>
        <w:t>(depicted by the dashed line)</w:t>
      </w:r>
      <w:r w:rsidR="00D47C94">
        <w:rPr>
          <w:rFonts w:ascii="Arial" w:hAnsi="Arial" w:cs="Arial"/>
        </w:rPr>
        <w:t xml:space="preserve"> via an exchange folder that is constantly checked and modified by </w:t>
      </w:r>
      <w:r w:rsidR="00FA3313">
        <w:rPr>
          <w:rFonts w:ascii="Arial" w:hAnsi="Arial" w:cs="Arial"/>
        </w:rPr>
        <w:t>the</w:t>
      </w:r>
      <w:r w:rsidR="00D47C94">
        <w:rPr>
          <w:rFonts w:ascii="Arial" w:hAnsi="Arial" w:cs="Arial"/>
        </w:rPr>
        <w:t xml:space="preserve"> custom-written plugin for Chronos as well as by </w:t>
      </w:r>
      <w:r w:rsidR="00FA3313">
        <w:rPr>
          <w:rFonts w:ascii="Arial" w:hAnsi="Arial" w:cs="Arial"/>
        </w:rPr>
        <w:t xml:space="preserve">the </w:t>
      </w:r>
      <w:r w:rsidR="00D47C94">
        <w:rPr>
          <w:rFonts w:ascii="Arial" w:hAnsi="Arial" w:cs="Arial"/>
        </w:rPr>
        <w:t>Experiment Editor.</w:t>
      </w:r>
    </w:p>
    <w:p w14:paraId="31139CEA" w14:textId="77777777" w:rsidR="002B3A72" w:rsidRDefault="002B3A72">
      <w:pPr>
        <w:rPr>
          <w:rFonts w:ascii="Arial" w:hAnsi="Arial" w:cs="Arial"/>
        </w:rPr>
      </w:pPr>
      <w:r>
        <w:rPr>
          <w:rFonts w:ascii="Arial" w:hAnsi="Arial" w:cs="Arial"/>
        </w:rPr>
        <w:br w:type="page"/>
      </w:r>
    </w:p>
    <w:p w14:paraId="4765FCAA" w14:textId="4F934361" w:rsidR="00BC231F" w:rsidRDefault="0058512D" w:rsidP="00417B84">
      <w:pPr>
        <w:jc w:val="center"/>
        <w:rPr>
          <w:rFonts w:ascii="Arial" w:hAnsi="Arial" w:cs="Arial"/>
          <w:b/>
        </w:rPr>
      </w:pPr>
      <w:r>
        <w:rPr>
          <w:rFonts w:ascii="Arial" w:hAnsi="Arial" w:cs="Arial"/>
          <w:b/>
          <w:noProof/>
        </w:rPr>
        <w:lastRenderedPageBreak/>
        <w:drawing>
          <wp:inline distT="0" distB="0" distL="0" distR="0" wp14:anchorId="5F8CBFB2" wp14:editId="6ED883A7">
            <wp:extent cx="5972810" cy="7113905"/>
            <wp:effectExtent l="0" t="0" r="889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upplementary_Figure_2.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72810" cy="7113905"/>
                    </a:xfrm>
                    <a:prstGeom prst="rect">
                      <a:avLst/>
                    </a:prstGeom>
                  </pic:spPr>
                </pic:pic>
              </a:graphicData>
            </a:graphic>
          </wp:inline>
        </w:drawing>
      </w:r>
    </w:p>
    <w:p w14:paraId="22B41B76" w14:textId="1097A651" w:rsidR="0012566D" w:rsidRDefault="002B3A72" w:rsidP="00420E19">
      <w:pPr>
        <w:jc w:val="both"/>
        <w:rPr>
          <w:rFonts w:ascii="Arial" w:hAnsi="Arial" w:cs="Arial"/>
        </w:rPr>
      </w:pPr>
      <w:r>
        <w:rPr>
          <w:rFonts w:ascii="Arial" w:hAnsi="Arial" w:cs="Arial"/>
          <w:b/>
        </w:rPr>
        <w:t>Supplementary Figure 2</w:t>
      </w:r>
      <w:r w:rsidRPr="00C91877">
        <w:rPr>
          <w:rFonts w:ascii="Arial" w:hAnsi="Arial" w:cs="Arial"/>
          <w:b/>
        </w:rPr>
        <w:t xml:space="preserve"> |</w:t>
      </w:r>
      <w:r w:rsidRPr="00C91877">
        <w:rPr>
          <w:rFonts w:ascii="Arial" w:hAnsi="Arial" w:cs="Arial"/>
        </w:rPr>
        <w:t xml:space="preserve"> </w:t>
      </w:r>
      <w:r w:rsidR="00420E19" w:rsidRPr="00B0013E">
        <w:rPr>
          <w:rFonts w:ascii="Arial" w:hAnsi="Arial" w:cs="Arial"/>
          <w:b/>
        </w:rPr>
        <w:t>Graphical user interface (GUI) of the Experiment Editor software.</w:t>
      </w:r>
      <w:r w:rsidR="00420E19">
        <w:rPr>
          <w:rFonts w:ascii="Arial" w:hAnsi="Arial" w:cs="Arial"/>
        </w:rPr>
        <w:t xml:space="preserve"> Zoom-in into main Experiment Editor GUI parts. </w:t>
      </w:r>
      <w:r w:rsidR="00B160CC">
        <w:rPr>
          <w:rFonts w:ascii="Arial" w:hAnsi="Arial" w:cs="Arial"/>
        </w:rPr>
        <w:t>To create a customized experiment, t</w:t>
      </w:r>
      <w:r w:rsidR="00420E19">
        <w:rPr>
          <w:rFonts w:ascii="Arial" w:hAnsi="Arial" w:cs="Arial"/>
        </w:rPr>
        <w:t xml:space="preserve">he user can select modules </w:t>
      </w:r>
      <w:r w:rsidR="00B160CC">
        <w:rPr>
          <w:rFonts w:ascii="Arial" w:hAnsi="Arial" w:cs="Arial"/>
        </w:rPr>
        <w:t>from three main categories listed in the ‘Available Module’ se</w:t>
      </w:r>
      <w:r w:rsidR="00B160CC" w:rsidRPr="003C760D">
        <w:rPr>
          <w:rFonts w:ascii="Arial" w:hAnsi="Arial" w:cs="Arial"/>
        </w:rPr>
        <w:t>ction (1). The ‘Microscope Functions’</w:t>
      </w:r>
      <w:r w:rsidR="00420E19" w:rsidRPr="003C760D">
        <w:rPr>
          <w:rFonts w:ascii="Arial" w:hAnsi="Arial" w:cs="Arial"/>
        </w:rPr>
        <w:t xml:space="preserve"> </w:t>
      </w:r>
      <w:r w:rsidR="00CC7D75" w:rsidRPr="003C760D">
        <w:rPr>
          <w:rFonts w:ascii="Arial" w:hAnsi="Arial" w:cs="Arial"/>
        </w:rPr>
        <w:t>dropdown list</w:t>
      </w:r>
      <w:r w:rsidR="00B160CC" w:rsidRPr="003C760D">
        <w:rPr>
          <w:rFonts w:ascii="Arial" w:hAnsi="Arial" w:cs="Arial"/>
        </w:rPr>
        <w:t xml:space="preserve"> </w:t>
      </w:r>
      <w:r w:rsidR="00420E19" w:rsidRPr="003C760D">
        <w:rPr>
          <w:rFonts w:ascii="Arial" w:hAnsi="Arial" w:cs="Arial"/>
        </w:rPr>
        <w:t>contains all modules that directly control the hardware of the microscope such as lasers, stage</w:t>
      </w:r>
      <w:r w:rsidR="00FA3313">
        <w:rPr>
          <w:rFonts w:ascii="Arial" w:hAnsi="Arial" w:cs="Arial"/>
        </w:rPr>
        <w:t>,</w:t>
      </w:r>
      <w:r w:rsidR="00420E19" w:rsidRPr="003C760D">
        <w:rPr>
          <w:rFonts w:ascii="Arial" w:hAnsi="Arial" w:cs="Arial"/>
        </w:rPr>
        <w:t xml:space="preserve"> or camera. </w:t>
      </w:r>
      <w:r w:rsidR="00CC7D75" w:rsidRPr="003C760D">
        <w:rPr>
          <w:rFonts w:ascii="Arial" w:hAnsi="Arial" w:cs="Arial"/>
        </w:rPr>
        <w:t>The ‘Staining Robot Functions’</w:t>
      </w:r>
      <w:r w:rsidR="00420E19" w:rsidRPr="003C760D">
        <w:rPr>
          <w:rFonts w:ascii="Arial" w:hAnsi="Arial" w:cs="Arial"/>
        </w:rPr>
        <w:t xml:space="preserve"> </w:t>
      </w:r>
      <w:r w:rsidR="00CC7D75" w:rsidRPr="003C760D">
        <w:rPr>
          <w:rFonts w:ascii="Arial" w:hAnsi="Arial" w:cs="Arial"/>
        </w:rPr>
        <w:t xml:space="preserve">list </w:t>
      </w:r>
      <w:r w:rsidR="00420E19" w:rsidRPr="003C760D">
        <w:rPr>
          <w:rFonts w:ascii="Arial" w:hAnsi="Arial" w:cs="Arial"/>
        </w:rPr>
        <w:t xml:space="preserve">contains </w:t>
      </w:r>
      <w:r w:rsidR="00CC7D75" w:rsidRPr="003C760D">
        <w:rPr>
          <w:rFonts w:ascii="Arial" w:hAnsi="Arial" w:cs="Arial"/>
        </w:rPr>
        <w:t xml:space="preserve">modules that trigger different actions of the robot. </w:t>
      </w:r>
      <w:r w:rsidR="00452315" w:rsidRPr="003C760D">
        <w:rPr>
          <w:rFonts w:ascii="Arial" w:hAnsi="Arial" w:cs="Arial"/>
        </w:rPr>
        <w:t xml:space="preserve">Most modules bundle different robot actions together for </w:t>
      </w:r>
      <w:r w:rsidR="00452315" w:rsidRPr="003C760D">
        <w:rPr>
          <w:rFonts w:ascii="Arial" w:hAnsi="Arial" w:cs="Arial"/>
        </w:rPr>
        <w:lastRenderedPageBreak/>
        <w:t xml:space="preserve">a convenient and time-saving usage. </w:t>
      </w:r>
      <w:r w:rsidR="00420E19" w:rsidRPr="003C760D">
        <w:rPr>
          <w:rFonts w:ascii="Arial" w:hAnsi="Arial" w:cs="Arial"/>
        </w:rPr>
        <w:t xml:space="preserve">The </w:t>
      </w:r>
      <w:r w:rsidR="00452315" w:rsidRPr="003C760D">
        <w:rPr>
          <w:rFonts w:ascii="Arial" w:hAnsi="Arial" w:cs="Arial"/>
        </w:rPr>
        <w:t>‘</w:t>
      </w:r>
      <w:r w:rsidR="00420E19" w:rsidRPr="003C760D">
        <w:rPr>
          <w:rFonts w:ascii="Arial" w:hAnsi="Arial" w:cs="Arial"/>
        </w:rPr>
        <w:t>Loops</w:t>
      </w:r>
      <w:r w:rsidR="00452315" w:rsidRPr="003C760D">
        <w:rPr>
          <w:rFonts w:ascii="Arial" w:hAnsi="Arial" w:cs="Arial"/>
        </w:rPr>
        <w:t>’</w:t>
      </w:r>
      <w:r w:rsidR="00420E19" w:rsidRPr="003C760D">
        <w:rPr>
          <w:rFonts w:ascii="Arial" w:hAnsi="Arial" w:cs="Arial"/>
        </w:rPr>
        <w:t xml:space="preserve"> </w:t>
      </w:r>
      <w:r w:rsidR="00452315" w:rsidRPr="003C760D">
        <w:rPr>
          <w:rFonts w:ascii="Arial" w:hAnsi="Arial" w:cs="Arial"/>
        </w:rPr>
        <w:t xml:space="preserve">dropdown </w:t>
      </w:r>
      <w:r w:rsidR="00420E19" w:rsidRPr="003C760D">
        <w:rPr>
          <w:rFonts w:ascii="Arial" w:hAnsi="Arial" w:cs="Arial"/>
        </w:rPr>
        <w:t xml:space="preserve">category </w:t>
      </w:r>
      <w:r w:rsidR="00452315" w:rsidRPr="003C760D">
        <w:rPr>
          <w:rFonts w:ascii="Arial" w:hAnsi="Arial" w:cs="Arial"/>
        </w:rPr>
        <w:t xml:space="preserve">contains two loop modules: ‘Loop </w:t>
      </w:r>
      <w:proofErr w:type="spellStart"/>
      <w:r w:rsidR="00452315" w:rsidRPr="003C760D">
        <w:rPr>
          <w:rFonts w:ascii="Arial" w:hAnsi="Arial" w:cs="Arial"/>
        </w:rPr>
        <w:t>Iterable</w:t>
      </w:r>
      <w:proofErr w:type="spellEnd"/>
      <w:r w:rsidR="00452315" w:rsidRPr="003C760D">
        <w:rPr>
          <w:rFonts w:ascii="Arial" w:hAnsi="Arial" w:cs="Arial"/>
        </w:rPr>
        <w:t xml:space="preserve">’ and ‘Loop ROIs’. ‘Loop </w:t>
      </w:r>
      <w:proofErr w:type="spellStart"/>
      <w:r w:rsidR="00452315" w:rsidRPr="003C760D">
        <w:rPr>
          <w:rFonts w:ascii="Arial" w:hAnsi="Arial" w:cs="Arial"/>
        </w:rPr>
        <w:t>Iterable</w:t>
      </w:r>
      <w:proofErr w:type="spellEnd"/>
      <w:r w:rsidR="00452315" w:rsidRPr="003C760D">
        <w:rPr>
          <w:rFonts w:ascii="Arial" w:hAnsi="Arial" w:cs="Arial"/>
        </w:rPr>
        <w:t>’ is used to repeat modules of choice for a desired number of times while ‘Loop ROIs’ is designed to repeat microscopic actions for a list of chosen ROIs that are automatically approached by the microscope stage</w:t>
      </w:r>
      <w:r w:rsidR="00992ACE" w:rsidRPr="003C760D">
        <w:rPr>
          <w:rFonts w:ascii="Arial" w:hAnsi="Arial" w:cs="Arial"/>
        </w:rPr>
        <w:t xml:space="preserve">. Once a module is chosen from one of the three categories, it appears in the ‘Selected Modules’ column in the center of the GUI (2). </w:t>
      </w:r>
      <w:r w:rsidR="00B949D3">
        <w:rPr>
          <w:rFonts w:ascii="Arial" w:hAnsi="Arial" w:cs="Arial"/>
        </w:rPr>
        <w:t>A</w:t>
      </w:r>
      <w:r w:rsidR="00891BF6" w:rsidRPr="003C760D">
        <w:rPr>
          <w:rFonts w:ascii="Arial" w:hAnsi="Arial" w:cs="Arial"/>
        </w:rPr>
        <w:t>n exemplary excerpt of a typical experiment is shown.</w:t>
      </w:r>
      <w:r w:rsidR="00992ACE" w:rsidRPr="003C760D">
        <w:rPr>
          <w:rFonts w:ascii="Arial" w:hAnsi="Arial" w:cs="Arial"/>
        </w:rPr>
        <w:t xml:space="preserve"> </w:t>
      </w:r>
      <w:r w:rsidR="00891BF6" w:rsidRPr="003C760D">
        <w:rPr>
          <w:rFonts w:ascii="Arial" w:hAnsi="Arial" w:cs="Arial"/>
        </w:rPr>
        <w:t>It contains all types of modules: robot control-related (green), microscope control-related (magenta), and loop functions (light blue). In addition</w:t>
      </w:r>
      <w:r w:rsidR="00697142" w:rsidRPr="003C760D">
        <w:rPr>
          <w:rFonts w:ascii="Arial" w:hAnsi="Arial" w:cs="Arial"/>
        </w:rPr>
        <w:t>, autofocus functions (dark blue)</w:t>
      </w:r>
      <w:r w:rsidR="002076BC" w:rsidRPr="003C760D">
        <w:rPr>
          <w:rFonts w:ascii="Arial" w:hAnsi="Arial" w:cs="Arial"/>
        </w:rPr>
        <w:t xml:space="preserve"> and</w:t>
      </w:r>
      <w:r w:rsidR="00697142" w:rsidRPr="003C760D">
        <w:rPr>
          <w:rFonts w:ascii="Arial" w:hAnsi="Arial" w:cs="Arial"/>
        </w:rPr>
        <w:t xml:space="preserve"> </w:t>
      </w:r>
      <w:r w:rsidR="002076BC" w:rsidRPr="003C760D">
        <w:rPr>
          <w:rFonts w:ascii="Arial" w:hAnsi="Arial" w:cs="Arial"/>
        </w:rPr>
        <w:t xml:space="preserve">the </w:t>
      </w:r>
      <w:r w:rsidR="00697142" w:rsidRPr="003C760D">
        <w:rPr>
          <w:rFonts w:ascii="Arial" w:hAnsi="Arial" w:cs="Arial"/>
        </w:rPr>
        <w:t>commentary function (gray)</w:t>
      </w:r>
      <w:r w:rsidR="002076BC" w:rsidRPr="003C760D">
        <w:rPr>
          <w:rFonts w:ascii="Arial" w:hAnsi="Arial" w:cs="Arial"/>
        </w:rPr>
        <w:t xml:space="preserve"> can be selected from the ‘Microscope Control’ list. After being added to the ‘Selected Modules’ field, the order of all </w:t>
      </w:r>
      <w:r w:rsidR="00992ACE" w:rsidRPr="003C760D">
        <w:rPr>
          <w:rFonts w:ascii="Arial" w:hAnsi="Arial" w:cs="Arial"/>
        </w:rPr>
        <w:t>modules can</w:t>
      </w:r>
      <w:r w:rsidR="002076BC" w:rsidRPr="003C760D">
        <w:rPr>
          <w:rFonts w:ascii="Arial" w:hAnsi="Arial" w:cs="Arial"/>
        </w:rPr>
        <w:t xml:space="preserve"> </w:t>
      </w:r>
      <w:r w:rsidR="00FA3313">
        <w:rPr>
          <w:rFonts w:ascii="Arial" w:hAnsi="Arial" w:cs="Arial"/>
        </w:rPr>
        <w:t xml:space="preserve">be </w:t>
      </w:r>
      <w:r w:rsidR="002076BC" w:rsidRPr="003C760D">
        <w:rPr>
          <w:rFonts w:ascii="Arial" w:hAnsi="Arial" w:cs="Arial"/>
        </w:rPr>
        <w:t>changed by</w:t>
      </w:r>
      <w:r w:rsidR="00992ACE" w:rsidRPr="003C760D">
        <w:rPr>
          <w:rFonts w:ascii="Arial" w:hAnsi="Arial" w:cs="Arial"/>
        </w:rPr>
        <w:t xml:space="preserve"> </w:t>
      </w:r>
      <w:r w:rsidR="002076BC" w:rsidRPr="003C760D">
        <w:rPr>
          <w:rFonts w:ascii="Arial" w:hAnsi="Arial" w:cs="Arial"/>
        </w:rPr>
        <w:t xml:space="preserve">the </w:t>
      </w:r>
      <w:r w:rsidR="00992ACE" w:rsidRPr="003C760D">
        <w:rPr>
          <w:rFonts w:ascii="Arial" w:hAnsi="Arial" w:cs="Arial"/>
        </w:rPr>
        <w:t xml:space="preserve">drag </w:t>
      </w:r>
      <w:r w:rsidR="002076BC" w:rsidRPr="003C760D">
        <w:rPr>
          <w:rFonts w:ascii="Arial" w:hAnsi="Arial" w:cs="Arial"/>
        </w:rPr>
        <w:t xml:space="preserve">and drop principle. </w:t>
      </w:r>
      <w:r w:rsidR="007248E3" w:rsidRPr="003C760D">
        <w:rPr>
          <w:rFonts w:ascii="Arial" w:hAnsi="Arial" w:cs="Arial"/>
        </w:rPr>
        <w:t xml:space="preserve">By clicking the cross on red background, modules can be deleted from the list. Gray push-buttons of individual modules can be clicked to display and modify module-specific parameters, which are shown in the right ‘Parameter Selection’ part of the GUI (3). </w:t>
      </w:r>
      <w:r w:rsidR="001A7D51" w:rsidRPr="003C760D">
        <w:rPr>
          <w:rFonts w:ascii="Arial" w:hAnsi="Arial" w:cs="Arial"/>
        </w:rPr>
        <w:t xml:space="preserve">After an experiment is designed, its consistency can be checked by the ‘Check Validity’ button on the upper left corner of the GUI (4). This </w:t>
      </w:r>
      <w:r w:rsidR="001A7D51">
        <w:rPr>
          <w:rFonts w:ascii="Arial" w:hAnsi="Arial" w:cs="Arial"/>
        </w:rPr>
        <w:t xml:space="preserve">function performs </w:t>
      </w:r>
      <w:r w:rsidR="001A7D51" w:rsidRPr="001A7D51">
        <w:rPr>
          <w:rFonts w:ascii="Arial" w:hAnsi="Arial" w:cs="Arial"/>
        </w:rPr>
        <w:t>simple checks to ensure that</w:t>
      </w:r>
      <w:r w:rsidR="00FA3313">
        <w:rPr>
          <w:rFonts w:ascii="Arial" w:hAnsi="Arial" w:cs="Arial"/>
        </w:rPr>
        <w:t>, for example,</w:t>
      </w:r>
      <w:r w:rsidR="001A7D51" w:rsidRPr="001A7D51">
        <w:rPr>
          <w:rFonts w:ascii="Arial" w:hAnsi="Arial" w:cs="Arial"/>
        </w:rPr>
        <w:t xml:space="preserve"> each parameter field is filled and that loops have the right number of parameters </w:t>
      </w:r>
      <w:r w:rsidR="00FA3313">
        <w:rPr>
          <w:rFonts w:ascii="Arial" w:hAnsi="Arial" w:cs="Arial"/>
        </w:rPr>
        <w:t>corresponding</w:t>
      </w:r>
      <w:r w:rsidR="001A7D51" w:rsidRPr="001A7D51">
        <w:rPr>
          <w:rFonts w:ascii="Arial" w:hAnsi="Arial" w:cs="Arial"/>
        </w:rPr>
        <w:t xml:space="preserve"> to the number of repetitions.</w:t>
      </w:r>
      <w:r w:rsidR="001A7D51">
        <w:rPr>
          <w:rFonts w:ascii="Arial" w:hAnsi="Arial" w:cs="Arial"/>
        </w:rPr>
        <w:t xml:space="preserve"> Subsequently, the workflow can be executed by clicking the ‘</w:t>
      </w:r>
      <w:r w:rsidR="001A7D51" w:rsidRPr="001A7D51">
        <w:rPr>
          <w:rFonts w:ascii="Arial" w:hAnsi="Arial" w:cs="Arial"/>
        </w:rPr>
        <w:t>Start Processing</w:t>
      </w:r>
      <w:r w:rsidR="001A7D51">
        <w:rPr>
          <w:rFonts w:ascii="Arial" w:hAnsi="Arial" w:cs="Arial"/>
        </w:rPr>
        <w:t>’ and interrupted by the ‘</w:t>
      </w:r>
      <w:r w:rsidR="001A7D51" w:rsidRPr="001A7D51">
        <w:rPr>
          <w:rFonts w:ascii="Arial" w:hAnsi="Arial" w:cs="Arial"/>
        </w:rPr>
        <w:t>Stop Processing</w:t>
      </w:r>
      <w:r w:rsidR="001A7D51">
        <w:rPr>
          <w:rFonts w:ascii="Arial" w:hAnsi="Arial" w:cs="Arial"/>
        </w:rPr>
        <w:t xml:space="preserve">’ button. The ‘File’ menu provides possibilities to save and load workflows. </w:t>
      </w:r>
    </w:p>
    <w:p w14:paraId="1C71132F" w14:textId="77777777" w:rsidR="0012566D" w:rsidRDefault="0012566D">
      <w:pPr>
        <w:rPr>
          <w:rFonts w:ascii="Arial" w:hAnsi="Arial" w:cs="Arial"/>
        </w:rPr>
      </w:pPr>
      <w:r>
        <w:rPr>
          <w:rFonts w:ascii="Arial" w:hAnsi="Arial" w:cs="Arial"/>
        </w:rPr>
        <w:br w:type="page"/>
      </w:r>
    </w:p>
    <w:p w14:paraId="3BFF5E8F" w14:textId="79E1D02D" w:rsidR="00417B84" w:rsidRDefault="0058512D" w:rsidP="00417B84">
      <w:pPr>
        <w:jc w:val="center"/>
        <w:rPr>
          <w:rFonts w:ascii="Arial" w:hAnsi="Arial" w:cs="Arial"/>
          <w:b/>
        </w:rPr>
      </w:pPr>
      <w:r>
        <w:rPr>
          <w:rFonts w:ascii="Arial" w:hAnsi="Arial" w:cs="Arial"/>
          <w:b/>
          <w:noProof/>
        </w:rPr>
        <w:lastRenderedPageBreak/>
        <w:drawing>
          <wp:inline distT="0" distB="0" distL="0" distR="0" wp14:anchorId="66FC597D" wp14:editId="53124EE3">
            <wp:extent cx="5972810" cy="724535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upplementary_Figure_3.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72810" cy="7245350"/>
                    </a:xfrm>
                    <a:prstGeom prst="rect">
                      <a:avLst/>
                    </a:prstGeom>
                  </pic:spPr>
                </pic:pic>
              </a:graphicData>
            </a:graphic>
          </wp:inline>
        </w:drawing>
      </w:r>
    </w:p>
    <w:p w14:paraId="2F4E0A95" w14:textId="79CBE0D5" w:rsidR="00363515" w:rsidRDefault="0012566D" w:rsidP="00420E19">
      <w:pPr>
        <w:jc w:val="both"/>
        <w:rPr>
          <w:rFonts w:ascii="Arial" w:hAnsi="Arial" w:cs="Arial"/>
        </w:rPr>
      </w:pPr>
      <w:r>
        <w:rPr>
          <w:rFonts w:ascii="Arial" w:hAnsi="Arial" w:cs="Arial"/>
          <w:b/>
        </w:rPr>
        <w:t>Supplementary Figure 3</w:t>
      </w:r>
      <w:r w:rsidRPr="00C91877">
        <w:rPr>
          <w:rFonts w:ascii="Arial" w:hAnsi="Arial" w:cs="Arial"/>
          <w:b/>
        </w:rPr>
        <w:t xml:space="preserve"> |</w:t>
      </w:r>
      <w:r w:rsidRPr="00C91877">
        <w:rPr>
          <w:rFonts w:ascii="Arial" w:hAnsi="Arial" w:cs="Arial"/>
        </w:rPr>
        <w:t xml:space="preserve"> </w:t>
      </w:r>
      <w:r w:rsidRPr="00B0013E">
        <w:rPr>
          <w:rFonts w:ascii="Arial" w:hAnsi="Arial" w:cs="Arial"/>
          <w:b/>
        </w:rPr>
        <w:t>Control experiments for bleaching- and elution-mediated signal removal.</w:t>
      </w:r>
      <w:r w:rsidRPr="00C91877">
        <w:rPr>
          <w:rFonts w:ascii="Arial" w:hAnsi="Arial" w:cs="Arial"/>
        </w:rPr>
        <w:t xml:space="preserve"> (</w:t>
      </w:r>
      <w:r w:rsidRPr="00C91877">
        <w:rPr>
          <w:rFonts w:ascii="Arial" w:hAnsi="Arial" w:cs="Arial"/>
          <w:b/>
        </w:rPr>
        <w:t>a</w:t>
      </w:r>
      <w:r w:rsidR="00FF2205">
        <w:rPr>
          <w:rFonts w:ascii="Arial" w:hAnsi="Arial" w:cs="Arial"/>
        </w:rPr>
        <w:t xml:space="preserve">) </w:t>
      </w:r>
      <w:r w:rsidR="00677CD1">
        <w:rPr>
          <w:rFonts w:ascii="Arial" w:hAnsi="Arial" w:cs="Arial"/>
        </w:rPr>
        <w:t>Six test experiments were carried</w:t>
      </w:r>
      <w:r w:rsidR="00FA3313">
        <w:rPr>
          <w:rFonts w:ascii="Arial" w:hAnsi="Arial" w:cs="Arial"/>
        </w:rPr>
        <w:t xml:space="preserve"> out</w:t>
      </w:r>
      <w:r w:rsidR="00677CD1">
        <w:rPr>
          <w:rFonts w:ascii="Arial" w:hAnsi="Arial" w:cs="Arial"/>
        </w:rPr>
        <w:t xml:space="preserve"> to evaluate the cross-talk from consecutive multiplexed STORM rounds. </w:t>
      </w:r>
      <w:r w:rsidR="00FF2205">
        <w:rPr>
          <w:rFonts w:ascii="Arial" w:hAnsi="Arial" w:cs="Arial"/>
        </w:rPr>
        <w:t>For all six test conditions, U2OS cells were stained with a primary antibody against Tom20 from rabbit (</w:t>
      </w:r>
      <w:proofErr w:type="spellStart"/>
      <w:r w:rsidR="00FF2205">
        <w:rPr>
          <w:rFonts w:ascii="Arial" w:hAnsi="Arial" w:cs="Arial"/>
        </w:rPr>
        <w:t>rb</w:t>
      </w:r>
      <w:proofErr w:type="spellEnd"/>
      <w:r w:rsidR="00FF2205">
        <w:rPr>
          <w:rFonts w:ascii="Arial" w:hAnsi="Arial" w:cs="Arial"/>
        </w:rPr>
        <w:t xml:space="preserve">) and a secondary anti-rabbit antibody conjugated to the Alexa Fluor 647 (AF647) fluorophores. Three STORM imaging rounds </w:t>
      </w:r>
      <w:r w:rsidR="00016E0E">
        <w:rPr>
          <w:rFonts w:ascii="Arial" w:hAnsi="Arial" w:cs="Arial"/>
        </w:rPr>
        <w:t>were</w:t>
      </w:r>
      <w:r w:rsidR="00FF2205">
        <w:rPr>
          <w:rFonts w:ascii="Arial" w:hAnsi="Arial" w:cs="Arial"/>
        </w:rPr>
        <w:t xml:space="preserve"> carried out for each </w:t>
      </w:r>
      <w:r w:rsidR="00FF2205">
        <w:rPr>
          <w:rFonts w:ascii="Arial" w:hAnsi="Arial" w:cs="Arial"/>
        </w:rPr>
        <w:lastRenderedPageBreak/>
        <w:t xml:space="preserve">condition. </w:t>
      </w:r>
      <w:r w:rsidR="00BF58D0">
        <w:rPr>
          <w:rFonts w:ascii="Arial" w:hAnsi="Arial" w:cs="Arial"/>
        </w:rPr>
        <w:t>S</w:t>
      </w:r>
      <w:r w:rsidR="00FF2205">
        <w:rPr>
          <w:rFonts w:ascii="Arial" w:hAnsi="Arial" w:cs="Arial"/>
        </w:rPr>
        <w:t>ignal intensity from the initial staining</w:t>
      </w:r>
      <w:r w:rsidR="00BF58D0">
        <w:rPr>
          <w:rFonts w:ascii="Arial" w:hAnsi="Arial" w:cs="Arial"/>
        </w:rPr>
        <w:t xml:space="preserve"> acquired in the first imaging round</w:t>
      </w:r>
      <w:r w:rsidR="00FF2205">
        <w:rPr>
          <w:rFonts w:ascii="Arial" w:hAnsi="Arial" w:cs="Arial"/>
        </w:rPr>
        <w:t xml:space="preserve"> was evaluated by quantifying </w:t>
      </w:r>
      <w:r w:rsidR="00BF58D0">
        <w:rPr>
          <w:rFonts w:ascii="Arial" w:hAnsi="Arial" w:cs="Arial"/>
        </w:rPr>
        <w:t xml:space="preserve">localizations within selections of Tom20-positive </w:t>
      </w:r>
      <w:r w:rsidR="00016E0E">
        <w:rPr>
          <w:rFonts w:ascii="Arial" w:hAnsi="Arial" w:cs="Arial"/>
        </w:rPr>
        <w:t xml:space="preserve">regions. </w:t>
      </w:r>
      <w:r w:rsidR="00BF58D0">
        <w:rPr>
          <w:rFonts w:ascii="Arial" w:hAnsi="Arial" w:cs="Arial"/>
        </w:rPr>
        <w:t xml:space="preserve">Signal from the following two rounds was </w:t>
      </w:r>
      <w:r w:rsidR="00016E0E">
        <w:rPr>
          <w:rFonts w:ascii="Arial" w:hAnsi="Arial" w:cs="Arial"/>
        </w:rPr>
        <w:t xml:space="preserve">normalized to the </w:t>
      </w:r>
      <w:r w:rsidR="00BF58D0">
        <w:rPr>
          <w:rFonts w:ascii="Arial" w:hAnsi="Arial" w:cs="Arial"/>
        </w:rPr>
        <w:t>first round. In the second imaging round, the influence of</w:t>
      </w:r>
      <w:r w:rsidR="00911318">
        <w:rPr>
          <w:rFonts w:ascii="Arial" w:hAnsi="Arial" w:cs="Arial"/>
        </w:rPr>
        <w:t xml:space="preserve"> elution and/or</w:t>
      </w:r>
      <w:r w:rsidR="00BF58D0">
        <w:rPr>
          <w:rFonts w:ascii="Arial" w:hAnsi="Arial" w:cs="Arial"/>
        </w:rPr>
        <w:t xml:space="preserve"> bleaching was evaluated.</w:t>
      </w:r>
      <w:r w:rsidR="00911318">
        <w:rPr>
          <w:rFonts w:ascii="Arial" w:hAnsi="Arial" w:cs="Arial"/>
        </w:rPr>
        <w:t xml:space="preserve"> Bleaching was either induced by the STORM acquisition itself or by the intended photobleaching procedure (conditions described in the </w:t>
      </w:r>
      <w:r w:rsidR="00911318" w:rsidRPr="00BF58D0">
        <w:rPr>
          <w:rFonts w:ascii="Arial" w:hAnsi="Arial" w:cs="Arial"/>
        </w:rPr>
        <w:t>Methods</w:t>
      </w:r>
      <w:r w:rsidR="00911318">
        <w:rPr>
          <w:rFonts w:ascii="Arial" w:hAnsi="Arial" w:cs="Arial"/>
        </w:rPr>
        <w:t xml:space="preserve"> section). Prior to the third imaging round, for test conditions 2-6</w:t>
      </w:r>
      <w:r w:rsidR="00016E0E">
        <w:rPr>
          <w:rFonts w:ascii="Arial" w:hAnsi="Arial" w:cs="Arial"/>
        </w:rPr>
        <w:t>,</w:t>
      </w:r>
      <w:r w:rsidR="00911318">
        <w:rPr>
          <w:rFonts w:ascii="Arial" w:hAnsi="Arial" w:cs="Arial"/>
        </w:rPr>
        <w:t xml:space="preserve"> the secondary antibody against rabbit was reapplied and the percentage of signal retrieval was evaluated. To measure the influence of a competing primary antibody</w:t>
      </w:r>
      <w:r w:rsidR="00677CD1">
        <w:rPr>
          <w:rFonts w:ascii="Arial" w:hAnsi="Arial" w:cs="Arial"/>
        </w:rPr>
        <w:t>, which is usually present during a typical multiplex experiment</w:t>
      </w:r>
      <w:r w:rsidR="00911318">
        <w:rPr>
          <w:rFonts w:ascii="Arial" w:hAnsi="Arial" w:cs="Arial"/>
        </w:rPr>
        <w:t xml:space="preserve">, </w:t>
      </w:r>
      <w:r w:rsidR="00677CD1">
        <w:rPr>
          <w:rFonts w:ascii="Arial" w:hAnsi="Arial" w:cs="Arial"/>
        </w:rPr>
        <w:t xml:space="preserve">in test condition 6, we also applied an antibody from rabbit against Fibrillarin as a test case. This condition resulted </w:t>
      </w:r>
      <w:r w:rsidR="008E01F1">
        <w:rPr>
          <w:rFonts w:ascii="Arial" w:hAnsi="Arial" w:cs="Arial"/>
        </w:rPr>
        <w:t xml:space="preserve">in a cross-talk of </w:t>
      </w:r>
      <w:r w:rsidR="004E4DC2">
        <w:rPr>
          <w:rFonts w:ascii="Arial" w:hAnsi="Arial" w:cs="Arial"/>
        </w:rPr>
        <w:t>~</w:t>
      </w:r>
      <w:r w:rsidR="008E01F1">
        <w:rPr>
          <w:rFonts w:ascii="Arial" w:hAnsi="Arial" w:cs="Arial"/>
        </w:rPr>
        <w:t>1.8%.</w:t>
      </w:r>
      <w:r w:rsidR="00740A31">
        <w:rPr>
          <w:rFonts w:ascii="Arial" w:hAnsi="Arial" w:cs="Arial"/>
        </w:rPr>
        <w:t xml:space="preserve"> </w:t>
      </w:r>
      <w:r w:rsidR="00FB5381">
        <w:rPr>
          <w:rFonts w:ascii="Arial" w:hAnsi="Arial" w:cs="Arial"/>
        </w:rPr>
        <w:t xml:space="preserve">For a detailed description of the six test conditions, see </w:t>
      </w:r>
      <w:r w:rsidR="00FB5381" w:rsidRPr="00BF58D0">
        <w:rPr>
          <w:rFonts w:ascii="Arial" w:hAnsi="Arial" w:cs="Arial"/>
          <w:b/>
        </w:rPr>
        <w:t>Supplementary Note 1</w:t>
      </w:r>
      <w:r w:rsidR="00FB5381">
        <w:rPr>
          <w:rFonts w:ascii="Arial" w:hAnsi="Arial" w:cs="Arial"/>
        </w:rPr>
        <w:t xml:space="preserve">. </w:t>
      </w:r>
      <w:r w:rsidR="00740A31">
        <w:rPr>
          <w:rFonts w:ascii="Arial" w:hAnsi="Arial" w:cs="Arial"/>
        </w:rPr>
        <w:t xml:space="preserve">Each experiment was </w:t>
      </w:r>
      <w:r w:rsidR="00831C54">
        <w:rPr>
          <w:rFonts w:ascii="Arial" w:hAnsi="Arial" w:cs="Arial"/>
        </w:rPr>
        <w:t>carried out for</w:t>
      </w:r>
      <w:r w:rsidR="00740A31">
        <w:rPr>
          <w:rFonts w:ascii="Arial" w:hAnsi="Arial" w:cs="Arial"/>
        </w:rPr>
        <w:t xml:space="preserve"> 3 </w:t>
      </w:r>
      <w:r w:rsidR="00831C54">
        <w:rPr>
          <w:rFonts w:ascii="Arial" w:hAnsi="Arial" w:cs="Arial"/>
        </w:rPr>
        <w:t>independent sample dishes</w:t>
      </w:r>
      <w:r w:rsidR="00FB5381">
        <w:rPr>
          <w:rFonts w:ascii="Arial" w:hAnsi="Arial" w:cs="Arial"/>
        </w:rPr>
        <w:t xml:space="preserve"> with</w:t>
      </w:r>
      <w:r w:rsidR="00831C54">
        <w:rPr>
          <w:rFonts w:ascii="Arial" w:hAnsi="Arial" w:cs="Arial"/>
        </w:rPr>
        <w:t xml:space="preserve"> 3 cells analyzed per sample dish.</w:t>
      </w:r>
      <w:r w:rsidR="00F5749C">
        <w:rPr>
          <w:rFonts w:ascii="Arial" w:hAnsi="Arial" w:cs="Arial"/>
        </w:rPr>
        <w:t xml:space="preserve"> For Tom20 signal quantifications, 3 selections in mitochondria-positive area were analyzed per cell. Background signal was </w:t>
      </w:r>
      <w:r w:rsidR="00C5442D">
        <w:rPr>
          <w:rFonts w:ascii="Arial" w:hAnsi="Arial" w:cs="Arial"/>
        </w:rPr>
        <w:t xml:space="preserve">determined </w:t>
      </w:r>
      <w:r w:rsidR="00F5749C">
        <w:rPr>
          <w:rFonts w:ascii="Arial" w:hAnsi="Arial" w:cs="Arial"/>
        </w:rPr>
        <w:t xml:space="preserve">in </w:t>
      </w:r>
      <w:r w:rsidR="00C5442D">
        <w:rPr>
          <w:rFonts w:ascii="Arial" w:hAnsi="Arial" w:cs="Arial"/>
        </w:rPr>
        <w:t xml:space="preserve">cell </w:t>
      </w:r>
      <w:r w:rsidR="00F5749C">
        <w:rPr>
          <w:rFonts w:ascii="Arial" w:hAnsi="Arial" w:cs="Arial"/>
        </w:rPr>
        <w:t>area</w:t>
      </w:r>
      <w:r w:rsidR="00C5442D">
        <w:rPr>
          <w:rFonts w:ascii="Arial" w:hAnsi="Arial" w:cs="Arial"/>
        </w:rPr>
        <w:t xml:space="preserve"> lacking mitochondria</w:t>
      </w:r>
      <w:r w:rsidR="00FB5381">
        <w:rPr>
          <w:rFonts w:ascii="Arial" w:hAnsi="Arial" w:cs="Arial"/>
        </w:rPr>
        <w:t xml:space="preserve"> (3 selections/cell) and subtracted from Tom20 signal to quantify specific Tom20 signal</w:t>
      </w:r>
      <w:r w:rsidR="003B4A19">
        <w:rPr>
          <w:rFonts w:ascii="Arial" w:hAnsi="Arial" w:cs="Arial"/>
        </w:rPr>
        <w:t xml:space="preserve">. </w:t>
      </w:r>
      <w:bookmarkStart w:id="0" w:name="OLE_LINK1"/>
      <w:r w:rsidR="006847A0" w:rsidRPr="006847A0">
        <w:rPr>
          <w:rFonts w:ascii="Arial" w:hAnsi="Arial" w:cs="Arial"/>
        </w:rPr>
        <w:t>Bars represent mean</w:t>
      </w:r>
      <w:r w:rsidR="006847A0">
        <w:rPr>
          <w:rFonts w:ascii="Arial" w:hAnsi="Arial" w:cs="Arial"/>
        </w:rPr>
        <w:t> </w:t>
      </w:r>
      <w:r w:rsidR="006847A0" w:rsidRPr="006847A0">
        <w:rPr>
          <w:rFonts w:ascii="Arial" w:hAnsi="Arial" w:cs="Arial"/>
        </w:rPr>
        <w:t>±</w:t>
      </w:r>
      <w:r w:rsidR="006847A0">
        <w:rPr>
          <w:rFonts w:ascii="Arial" w:hAnsi="Arial" w:cs="Arial"/>
        </w:rPr>
        <w:t> </w:t>
      </w:r>
      <w:r w:rsidR="00B0013E">
        <w:rPr>
          <w:rFonts w:ascii="Arial" w:hAnsi="Arial" w:cs="Arial"/>
        </w:rPr>
        <w:t>SD</w:t>
      </w:r>
      <w:r w:rsidR="006847A0" w:rsidRPr="006847A0">
        <w:rPr>
          <w:rFonts w:ascii="Arial" w:hAnsi="Arial" w:cs="Arial"/>
        </w:rPr>
        <w:t>.</w:t>
      </w:r>
      <w:r w:rsidR="006847A0">
        <w:rPr>
          <w:rFonts w:ascii="Arial" w:hAnsi="Arial" w:cs="Arial"/>
        </w:rPr>
        <w:t xml:space="preserve"> </w:t>
      </w:r>
      <w:bookmarkEnd w:id="0"/>
      <w:r w:rsidR="00175ED9">
        <w:rPr>
          <w:rFonts w:ascii="Arial" w:hAnsi="Arial" w:cs="Arial"/>
        </w:rPr>
        <w:t xml:space="preserve">For statistical analysis, all bars corresponding to imaging round 2 were compared to round 2 </w:t>
      </w:r>
      <w:r w:rsidR="00016E0E">
        <w:rPr>
          <w:rFonts w:ascii="Arial" w:hAnsi="Arial" w:cs="Arial"/>
        </w:rPr>
        <w:t>of</w:t>
      </w:r>
      <w:r w:rsidR="00175ED9">
        <w:rPr>
          <w:rFonts w:ascii="Arial" w:hAnsi="Arial" w:cs="Arial"/>
        </w:rPr>
        <w:t xml:space="preserve"> the first test condition. In analogy, all bars corresponding to imaging round 3 were compared to round 3 from the first test condition. </w:t>
      </w:r>
      <w:r w:rsidR="006847A0">
        <w:rPr>
          <w:rFonts w:ascii="Arial" w:hAnsi="Arial" w:cs="Arial"/>
        </w:rPr>
        <w:t xml:space="preserve">Asterisks indicate statistical significance (*** corresponding to p &lt; 0.001), assessed by one-way ANOVA followed by </w:t>
      </w:r>
      <w:r w:rsidR="006847A0" w:rsidRPr="006847A0">
        <w:rPr>
          <w:rFonts w:ascii="Arial" w:hAnsi="Arial" w:cs="Arial"/>
        </w:rPr>
        <w:t>Bonferroni post-hoc test</w:t>
      </w:r>
      <w:r w:rsidR="003B4A19">
        <w:rPr>
          <w:rFonts w:ascii="Arial" w:hAnsi="Arial" w:cs="Arial"/>
        </w:rPr>
        <w:t>.</w:t>
      </w:r>
      <w:r w:rsidR="004A6DAC">
        <w:rPr>
          <w:rFonts w:ascii="Arial" w:hAnsi="Arial" w:cs="Arial"/>
        </w:rPr>
        <w:t xml:space="preserve"> </w:t>
      </w:r>
      <w:r w:rsidR="008E01F1">
        <w:rPr>
          <w:rFonts w:ascii="Arial" w:hAnsi="Arial" w:cs="Arial"/>
        </w:rPr>
        <w:t>(</w:t>
      </w:r>
      <w:r w:rsidR="008E01F1" w:rsidRPr="008E01F1">
        <w:rPr>
          <w:rFonts w:ascii="Arial" w:hAnsi="Arial" w:cs="Arial"/>
          <w:b/>
        </w:rPr>
        <w:t>b</w:t>
      </w:r>
      <w:r w:rsidR="008E01F1">
        <w:rPr>
          <w:rFonts w:ascii="Arial" w:hAnsi="Arial" w:cs="Arial"/>
        </w:rPr>
        <w:t>) Illustration of effects measured</w:t>
      </w:r>
      <w:r w:rsidR="008E01F1" w:rsidRPr="005E7DA3">
        <w:rPr>
          <w:rFonts w:ascii="Arial" w:hAnsi="Arial" w:cs="Arial"/>
        </w:rPr>
        <w:t xml:space="preserve"> in</w:t>
      </w:r>
      <w:r w:rsidR="008E01F1" w:rsidRPr="008E01F1">
        <w:rPr>
          <w:rFonts w:ascii="Arial" w:hAnsi="Arial" w:cs="Arial"/>
          <w:b/>
        </w:rPr>
        <w:t xml:space="preserve"> Supplementary Figure 3a</w:t>
      </w:r>
      <w:r w:rsidR="008E01F1">
        <w:rPr>
          <w:rFonts w:ascii="Arial" w:hAnsi="Arial" w:cs="Arial"/>
        </w:rPr>
        <w:t xml:space="preserve">. </w:t>
      </w:r>
      <w:r w:rsidR="009D6C73">
        <w:rPr>
          <w:rFonts w:ascii="Arial" w:hAnsi="Arial" w:cs="Arial"/>
        </w:rPr>
        <w:t>Exemplary numbers of antigens labeled by antibodies with intact fluorophores are shown in the right bottom corner of each panel illustrating an imaging round.</w:t>
      </w:r>
      <w:r w:rsidR="00403994">
        <w:rPr>
          <w:rFonts w:ascii="Arial" w:hAnsi="Arial" w:cs="Arial"/>
        </w:rPr>
        <w:t xml:space="preserve"> </w:t>
      </w:r>
    </w:p>
    <w:p w14:paraId="4A4BCAFE" w14:textId="77777777" w:rsidR="00363515" w:rsidRDefault="00363515">
      <w:pPr>
        <w:rPr>
          <w:rFonts w:ascii="Arial" w:hAnsi="Arial" w:cs="Arial"/>
        </w:rPr>
      </w:pPr>
      <w:r>
        <w:rPr>
          <w:rFonts w:ascii="Arial" w:hAnsi="Arial" w:cs="Arial"/>
        </w:rPr>
        <w:br w:type="page"/>
      </w:r>
    </w:p>
    <w:p w14:paraId="21F0AC5C" w14:textId="4E6580E7" w:rsidR="00417B84" w:rsidRDefault="0058512D" w:rsidP="00417B84">
      <w:pPr>
        <w:jc w:val="center"/>
        <w:rPr>
          <w:rFonts w:ascii="Arial" w:hAnsi="Arial" w:cs="Arial"/>
          <w:b/>
        </w:rPr>
      </w:pPr>
      <w:r>
        <w:rPr>
          <w:rFonts w:ascii="Arial" w:hAnsi="Arial" w:cs="Arial"/>
          <w:b/>
          <w:noProof/>
        </w:rPr>
        <w:lastRenderedPageBreak/>
        <w:drawing>
          <wp:inline distT="0" distB="0" distL="0" distR="0" wp14:anchorId="270EECE5" wp14:editId="5161BC94">
            <wp:extent cx="5972810" cy="514731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upplementary_Figure_4.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72810" cy="5147310"/>
                    </a:xfrm>
                    <a:prstGeom prst="rect">
                      <a:avLst/>
                    </a:prstGeom>
                  </pic:spPr>
                </pic:pic>
              </a:graphicData>
            </a:graphic>
          </wp:inline>
        </w:drawing>
      </w:r>
    </w:p>
    <w:p w14:paraId="07158D20" w14:textId="02AF7DD2" w:rsidR="00B0013E" w:rsidRDefault="00363515" w:rsidP="00420E19">
      <w:pPr>
        <w:jc w:val="both"/>
        <w:rPr>
          <w:rFonts w:ascii="Arial" w:hAnsi="Arial" w:cs="Arial"/>
        </w:rPr>
      </w:pPr>
      <w:r>
        <w:rPr>
          <w:rFonts w:ascii="Arial" w:hAnsi="Arial" w:cs="Arial"/>
          <w:b/>
        </w:rPr>
        <w:t>Supplementary Figure 4</w:t>
      </w:r>
      <w:r w:rsidRPr="00C91877">
        <w:rPr>
          <w:rFonts w:ascii="Arial" w:hAnsi="Arial" w:cs="Arial"/>
          <w:b/>
        </w:rPr>
        <w:t xml:space="preserve"> |</w:t>
      </w:r>
      <w:r w:rsidRPr="00C91877">
        <w:rPr>
          <w:rFonts w:ascii="Arial" w:hAnsi="Arial" w:cs="Arial"/>
        </w:rPr>
        <w:t xml:space="preserve"> </w:t>
      </w:r>
      <w:r w:rsidRPr="00B0013E">
        <w:rPr>
          <w:rFonts w:ascii="Arial" w:hAnsi="Arial" w:cs="Arial"/>
          <w:b/>
        </w:rPr>
        <w:t xml:space="preserve">Single case control experiments for estimation of cross-talk and labeling efficiency. </w:t>
      </w:r>
      <w:r>
        <w:rPr>
          <w:rFonts w:ascii="Arial" w:hAnsi="Arial" w:cs="Arial"/>
        </w:rPr>
        <w:t>(</w:t>
      </w:r>
      <w:r w:rsidRPr="00363515">
        <w:rPr>
          <w:rFonts w:ascii="Arial" w:hAnsi="Arial" w:cs="Arial"/>
          <w:b/>
        </w:rPr>
        <w:t>a</w:t>
      </w:r>
      <w:r>
        <w:rPr>
          <w:rFonts w:ascii="Arial" w:hAnsi="Arial" w:cs="Arial"/>
        </w:rPr>
        <w:t xml:space="preserve">) </w:t>
      </w:r>
      <w:r w:rsidR="00403994">
        <w:rPr>
          <w:rFonts w:ascii="Arial" w:hAnsi="Arial" w:cs="Arial"/>
        </w:rPr>
        <w:t xml:space="preserve">Three examples from the multiplex experiment in </w:t>
      </w:r>
      <w:r w:rsidR="00403994" w:rsidRPr="00932813">
        <w:rPr>
          <w:rFonts w:ascii="Arial" w:hAnsi="Arial" w:cs="Arial"/>
          <w:b/>
        </w:rPr>
        <w:t>Figure 2a</w:t>
      </w:r>
      <w:r w:rsidR="00403994">
        <w:rPr>
          <w:rFonts w:ascii="Arial" w:hAnsi="Arial" w:cs="Arial"/>
        </w:rPr>
        <w:t xml:space="preserve"> were analyzed with respect to unwanted cross-talk from </w:t>
      </w:r>
      <w:r w:rsidR="00981F9A">
        <w:rPr>
          <w:rFonts w:ascii="Arial" w:hAnsi="Arial" w:cs="Arial"/>
        </w:rPr>
        <w:t>preceding staining rounds</w:t>
      </w:r>
      <w:r w:rsidR="006847A0">
        <w:rPr>
          <w:rFonts w:ascii="Arial" w:hAnsi="Arial" w:cs="Arial"/>
        </w:rPr>
        <w:t xml:space="preserve"> (SR)</w:t>
      </w:r>
      <w:r w:rsidR="00981F9A">
        <w:rPr>
          <w:rFonts w:ascii="Arial" w:hAnsi="Arial" w:cs="Arial"/>
        </w:rPr>
        <w:t>.</w:t>
      </w:r>
      <w:r w:rsidR="006847A0">
        <w:rPr>
          <w:rFonts w:ascii="Arial" w:hAnsi="Arial" w:cs="Arial"/>
        </w:rPr>
        <w:t xml:space="preserve"> Here, after each SR</w:t>
      </w:r>
      <w:r w:rsidR="00981F9A">
        <w:rPr>
          <w:rFonts w:ascii="Arial" w:hAnsi="Arial" w:cs="Arial"/>
        </w:rPr>
        <w:t xml:space="preserve"> </w:t>
      </w:r>
      <w:r w:rsidR="006847A0">
        <w:rPr>
          <w:rFonts w:ascii="Arial" w:hAnsi="Arial" w:cs="Arial"/>
        </w:rPr>
        <w:t xml:space="preserve">elution and bleaching procedures were carried out. </w:t>
      </w:r>
      <w:r w:rsidR="00981F9A">
        <w:rPr>
          <w:rFonts w:ascii="Arial" w:hAnsi="Arial" w:cs="Arial"/>
        </w:rPr>
        <w:t xml:space="preserve">In the first test case (upper </w:t>
      </w:r>
      <w:r w:rsidR="00CF14D4">
        <w:rPr>
          <w:rFonts w:ascii="Arial" w:hAnsi="Arial" w:cs="Arial"/>
        </w:rPr>
        <w:t xml:space="preserve">row of </w:t>
      </w:r>
      <w:r w:rsidR="00981F9A">
        <w:rPr>
          <w:rFonts w:ascii="Arial" w:hAnsi="Arial" w:cs="Arial"/>
        </w:rPr>
        <w:t xml:space="preserve">panels) </w:t>
      </w:r>
      <w:r w:rsidR="00C645DC">
        <w:rPr>
          <w:rFonts w:ascii="Arial" w:hAnsi="Arial" w:cs="Arial"/>
        </w:rPr>
        <w:t xml:space="preserve">images </w:t>
      </w:r>
      <w:r w:rsidR="00981F9A">
        <w:rPr>
          <w:rFonts w:ascii="Arial" w:hAnsi="Arial" w:cs="Arial"/>
        </w:rPr>
        <w:t>from consecutive rounds</w:t>
      </w:r>
      <w:r w:rsidR="00C645DC">
        <w:rPr>
          <w:rFonts w:ascii="Arial" w:hAnsi="Arial" w:cs="Arial"/>
        </w:rPr>
        <w:t xml:space="preserve"> </w:t>
      </w:r>
      <w:r w:rsidR="00981F9A">
        <w:rPr>
          <w:rFonts w:ascii="Arial" w:hAnsi="Arial" w:cs="Arial"/>
        </w:rPr>
        <w:t>were analyzed</w:t>
      </w:r>
      <w:r w:rsidR="00C645DC">
        <w:rPr>
          <w:rFonts w:ascii="Arial" w:hAnsi="Arial" w:cs="Arial"/>
        </w:rPr>
        <w:t xml:space="preserve"> where primary antibodies from the same species, in this case mouse (</w:t>
      </w:r>
      <w:proofErr w:type="spellStart"/>
      <w:r w:rsidR="00C645DC">
        <w:rPr>
          <w:rFonts w:ascii="Arial" w:hAnsi="Arial" w:cs="Arial"/>
        </w:rPr>
        <w:t>ms</w:t>
      </w:r>
      <w:proofErr w:type="spellEnd"/>
      <w:r w:rsidR="00C645DC">
        <w:rPr>
          <w:rFonts w:ascii="Arial" w:hAnsi="Arial" w:cs="Arial"/>
        </w:rPr>
        <w:t>), were used.</w:t>
      </w:r>
      <w:r w:rsidR="006847A0">
        <w:rPr>
          <w:rFonts w:ascii="Arial" w:hAnsi="Arial" w:cs="Arial"/>
        </w:rPr>
        <w:t xml:space="preserve"> T</w:t>
      </w:r>
      <w:r w:rsidR="00C645DC">
        <w:rPr>
          <w:rFonts w:ascii="Arial" w:hAnsi="Arial" w:cs="Arial"/>
        </w:rPr>
        <w:t xml:space="preserve">he </w:t>
      </w:r>
      <w:r w:rsidR="004B49BF">
        <w:rPr>
          <w:rFonts w:ascii="Arial" w:hAnsi="Arial" w:cs="Arial"/>
        </w:rPr>
        <w:t>initial</w:t>
      </w:r>
      <w:r w:rsidR="00C645DC">
        <w:rPr>
          <w:rFonts w:ascii="Arial" w:hAnsi="Arial" w:cs="Arial"/>
        </w:rPr>
        <w:t xml:space="preserve"> </w:t>
      </w:r>
      <w:r w:rsidR="00C645DC">
        <w:rPr>
          <w:rFonts w:ascii="Arial" w:hAnsi="Arial" w:cs="Arial"/>
        </w:rPr>
        <w:sym w:font="Symbol" w:char="F061"/>
      </w:r>
      <w:r w:rsidR="00C645DC">
        <w:rPr>
          <w:rFonts w:ascii="Arial" w:hAnsi="Arial" w:cs="Arial"/>
        </w:rPr>
        <w:t>-</w:t>
      </w:r>
      <w:r w:rsidR="002B5D92">
        <w:rPr>
          <w:rFonts w:ascii="Arial" w:hAnsi="Arial" w:cs="Arial"/>
        </w:rPr>
        <w:t>t</w:t>
      </w:r>
      <w:r w:rsidR="00C645DC">
        <w:rPr>
          <w:rFonts w:ascii="Arial" w:hAnsi="Arial" w:cs="Arial"/>
        </w:rPr>
        <w:t xml:space="preserve">ubulin staining </w:t>
      </w:r>
      <w:r w:rsidR="004B49BF">
        <w:rPr>
          <w:rFonts w:ascii="Arial" w:hAnsi="Arial" w:cs="Arial"/>
        </w:rPr>
        <w:t>resulted in a cross-</w:t>
      </w:r>
      <w:r w:rsidR="00B858CD">
        <w:rPr>
          <w:rFonts w:ascii="Arial" w:hAnsi="Arial" w:cs="Arial"/>
        </w:rPr>
        <w:t>talk (CT) of ~</w:t>
      </w:r>
      <w:r w:rsidR="004B49BF">
        <w:rPr>
          <w:rFonts w:ascii="Arial" w:hAnsi="Arial" w:cs="Arial"/>
        </w:rPr>
        <w:t xml:space="preserve">6.4% in the GM130 channel (Ch) of the consecutive imaging round. Colocalization analysis also resulted in a relatively low Pearson’s r (PR) coefficient of 0.09. </w:t>
      </w:r>
      <w:r w:rsidR="003B4A19">
        <w:rPr>
          <w:rFonts w:ascii="Arial" w:hAnsi="Arial" w:cs="Arial"/>
        </w:rPr>
        <w:t>Only ~2.2% CT and 0.01 PR were estimated for</w:t>
      </w:r>
      <w:r w:rsidR="004B49BF">
        <w:rPr>
          <w:rFonts w:ascii="Arial" w:hAnsi="Arial" w:cs="Arial"/>
        </w:rPr>
        <w:t xml:space="preserve"> primary antibodies from different species used in consecutive rounds</w:t>
      </w:r>
      <w:r w:rsidR="00CF14D4">
        <w:rPr>
          <w:rFonts w:ascii="Arial" w:hAnsi="Arial" w:cs="Arial"/>
        </w:rPr>
        <w:t xml:space="preserve"> (central panel row)</w:t>
      </w:r>
      <w:r w:rsidR="004B49BF">
        <w:rPr>
          <w:rFonts w:ascii="Arial" w:hAnsi="Arial" w:cs="Arial"/>
        </w:rPr>
        <w:t xml:space="preserve">. </w:t>
      </w:r>
      <w:r w:rsidR="003B4A19">
        <w:rPr>
          <w:rFonts w:ascii="Arial" w:hAnsi="Arial" w:cs="Arial"/>
        </w:rPr>
        <w:t>Whenever possible, primary antibodies from the same species were not used in the consecutive round but in the round after the next. Such a case exemplified by Paxillin staining in round 4 and Fibrillarin staining in round 6 resulted in CT ~ 2.3% and PR = 0</w:t>
      </w:r>
      <w:r w:rsidR="00CF14D4">
        <w:rPr>
          <w:rFonts w:ascii="Arial" w:hAnsi="Arial" w:cs="Arial"/>
        </w:rPr>
        <w:t xml:space="preserve"> (lower panel row)</w:t>
      </w:r>
      <w:r w:rsidR="003B4A19">
        <w:rPr>
          <w:rFonts w:ascii="Arial" w:hAnsi="Arial" w:cs="Arial"/>
        </w:rPr>
        <w:t xml:space="preserve">. </w:t>
      </w:r>
      <w:r w:rsidR="00CF14D4">
        <w:rPr>
          <w:rFonts w:ascii="Arial" w:hAnsi="Arial" w:cs="Arial"/>
        </w:rPr>
        <w:t xml:space="preserve">Scale bars correspond to 5 µm in main panels and 1 µm in magnified boxed areas. </w:t>
      </w:r>
      <w:r w:rsidR="00932813">
        <w:rPr>
          <w:rFonts w:ascii="Arial" w:hAnsi="Arial" w:cs="Arial"/>
        </w:rPr>
        <w:t>(</w:t>
      </w:r>
      <w:r w:rsidR="00932813" w:rsidRPr="00932813">
        <w:rPr>
          <w:rFonts w:ascii="Arial" w:hAnsi="Arial" w:cs="Arial"/>
          <w:b/>
        </w:rPr>
        <w:t>b</w:t>
      </w:r>
      <w:r w:rsidR="00932813">
        <w:rPr>
          <w:rFonts w:ascii="Arial" w:hAnsi="Arial" w:cs="Arial"/>
        </w:rPr>
        <w:t xml:space="preserve">) The effect of bleaching </w:t>
      </w:r>
      <w:r w:rsidR="002D3D94">
        <w:rPr>
          <w:rFonts w:ascii="Arial" w:hAnsi="Arial" w:cs="Arial"/>
        </w:rPr>
        <w:t xml:space="preserve">in consecutive rounds </w:t>
      </w:r>
      <w:r w:rsidR="00932813">
        <w:rPr>
          <w:rFonts w:ascii="Arial" w:hAnsi="Arial" w:cs="Arial"/>
        </w:rPr>
        <w:t>was assessed based on three examples yielding very low cross-talk values of ~0.1% to ~1.7%. (</w:t>
      </w:r>
      <w:r w:rsidR="00932813" w:rsidRPr="002D3D94">
        <w:rPr>
          <w:rFonts w:ascii="Arial" w:hAnsi="Arial" w:cs="Arial"/>
          <w:b/>
        </w:rPr>
        <w:t>c</w:t>
      </w:r>
      <w:r w:rsidR="00932813">
        <w:rPr>
          <w:rFonts w:ascii="Arial" w:hAnsi="Arial" w:cs="Arial"/>
        </w:rPr>
        <w:t xml:space="preserve">) </w:t>
      </w:r>
      <w:r w:rsidR="002D3D94">
        <w:rPr>
          <w:rFonts w:ascii="Arial" w:hAnsi="Arial" w:cs="Arial"/>
        </w:rPr>
        <w:t>The c</w:t>
      </w:r>
      <w:r w:rsidR="00932813">
        <w:rPr>
          <w:rFonts w:ascii="Arial" w:hAnsi="Arial" w:cs="Arial"/>
        </w:rPr>
        <w:t xml:space="preserve">ombination of elution and bleaching </w:t>
      </w:r>
      <w:r w:rsidR="002D3D94">
        <w:rPr>
          <w:rFonts w:ascii="Arial" w:hAnsi="Arial" w:cs="Arial"/>
        </w:rPr>
        <w:t>with subsequent reapplication of the same secondary antibody (2</w:t>
      </w:r>
      <w:r w:rsidR="001342BC">
        <w:rPr>
          <w:rFonts w:ascii="Arial" w:hAnsi="Arial" w:cs="Arial"/>
        </w:rPr>
        <w:t xml:space="preserve">˚ </w:t>
      </w:r>
      <w:r w:rsidR="002D3D94">
        <w:rPr>
          <w:rFonts w:ascii="Arial" w:hAnsi="Arial" w:cs="Arial"/>
        </w:rPr>
        <w:t>AB) in the next round resulted in cross</w:t>
      </w:r>
      <w:r w:rsidR="00B858CD">
        <w:rPr>
          <w:rFonts w:ascii="Arial" w:hAnsi="Arial" w:cs="Arial"/>
        </w:rPr>
        <w:t>-</w:t>
      </w:r>
      <w:r w:rsidR="002D3D94">
        <w:rPr>
          <w:rFonts w:ascii="Arial" w:hAnsi="Arial" w:cs="Arial"/>
        </w:rPr>
        <w:t>talk values ranging from 4.5% to 9.3%. (</w:t>
      </w:r>
      <w:r w:rsidR="002D3D94" w:rsidRPr="002D3D94">
        <w:rPr>
          <w:rFonts w:ascii="Arial" w:hAnsi="Arial" w:cs="Arial"/>
          <w:b/>
        </w:rPr>
        <w:t>d</w:t>
      </w:r>
      <w:r w:rsidR="002D3D94">
        <w:rPr>
          <w:rFonts w:ascii="Arial" w:hAnsi="Arial" w:cs="Arial"/>
        </w:rPr>
        <w:t xml:space="preserve">) The effect of elution (without the additional </w:t>
      </w:r>
      <w:r w:rsidR="002D3D94">
        <w:rPr>
          <w:rFonts w:ascii="Arial" w:hAnsi="Arial" w:cs="Arial"/>
        </w:rPr>
        <w:lastRenderedPageBreak/>
        <w:t xml:space="preserve">bleaching step) was evaluated based on five examples </w:t>
      </w:r>
      <w:r w:rsidR="009B77BE">
        <w:rPr>
          <w:rFonts w:ascii="Arial" w:hAnsi="Arial" w:cs="Arial"/>
        </w:rPr>
        <w:t>resulting in</w:t>
      </w:r>
      <w:r w:rsidR="002D3D94">
        <w:rPr>
          <w:rFonts w:ascii="Arial" w:hAnsi="Arial" w:cs="Arial"/>
        </w:rPr>
        <w:t xml:space="preserve"> values below 6% for most test cases. Unexpectedly, </w:t>
      </w:r>
      <w:r w:rsidR="009B77BE">
        <w:rPr>
          <w:rFonts w:ascii="Arial" w:hAnsi="Arial" w:cs="Arial"/>
        </w:rPr>
        <w:t xml:space="preserve">the </w:t>
      </w:r>
      <w:r w:rsidR="002D3D94">
        <w:rPr>
          <w:rFonts w:ascii="Arial" w:hAnsi="Arial" w:cs="Arial"/>
        </w:rPr>
        <w:t xml:space="preserve">vimentin antibody showed an extraordinarily high affinity and </w:t>
      </w:r>
      <w:r w:rsidR="009B77BE">
        <w:rPr>
          <w:rFonts w:ascii="Arial" w:hAnsi="Arial" w:cs="Arial"/>
        </w:rPr>
        <w:t>resulted in a cross-talk of ~56.9%. Therefore, in our experiments we did not use other antibodies from chicken in consecutive rounds. (</w:t>
      </w:r>
      <w:r w:rsidR="009B77BE" w:rsidRPr="009B77BE">
        <w:rPr>
          <w:rFonts w:ascii="Arial" w:hAnsi="Arial" w:cs="Arial"/>
          <w:b/>
        </w:rPr>
        <w:t>e</w:t>
      </w:r>
      <w:r w:rsidR="009B77BE">
        <w:rPr>
          <w:rFonts w:ascii="Arial" w:hAnsi="Arial" w:cs="Arial"/>
        </w:rPr>
        <w:t xml:space="preserve">) </w:t>
      </w:r>
      <w:r w:rsidR="00C008A5">
        <w:rPr>
          <w:rFonts w:ascii="Arial" w:hAnsi="Arial" w:cs="Arial"/>
        </w:rPr>
        <w:t xml:space="preserve">To assess signal quality with increasing numbers </w:t>
      </w:r>
      <w:r w:rsidR="001342BC">
        <w:rPr>
          <w:rFonts w:ascii="Arial" w:hAnsi="Arial" w:cs="Arial"/>
        </w:rPr>
        <w:t xml:space="preserve">of rounds </w:t>
      </w:r>
      <w:r w:rsidR="00C008A5">
        <w:rPr>
          <w:rFonts w:ascii="Arial" w:hAnsi="Arial" w:cs="Arial"/>
        </w:rPr>
        <w:t xml:space="preserve">after bleaching or bleaching and elution, we compared the labeling efficiency of four test antibodies from the multiplex experiment in </w:t>
      </w:r>
      <w:r w:rsidR="00C008A5" w:rsidRPr="00932813">
        <w:rPr>
          <w:rFonts w:ascii="Arial" w:hAnsi="Arial" w:cs="Arial"/>
          <w:b/>
        </w:rPr>
        <w:t>Figure 2a</w:t>
      </w:r>
      <w:r w:rsidR="00C008A5">
        <w:rPr>
          <w:rFonts w:ascii="Arial" w:hAnsi="Arial" w:cs="Arial"/>
        </w:rPr>
        <w:t xml:space="preserve"> to their performance in fresh untreated cells (round 1). After one or two bleaching rounds</w:t>
      </w:r>
      <w:r w:rsidR="001D24FB">
        <w:rPr>
          <w:rFonts w:ascii="Arial" w:hAnsi="Arial" w:cs="Arial"/>
        </w:rPr>
        <w:t>,</w:t>
      </w:r>
      <w:r w:rsidR="00C008A5">
        <w:rPr>
          <w:rFonts w:ascii="Arial" w:hAnsi="Arial" w:cs="Arial"/>
        </w:rPr>
        <w:t xml:space="preserve"> labels (in this case WGA lectin and CHC17 antibody) were as efficient as </w:t>
      </w:r>
      <w:r w:rsidR="001D24FB">
        <w:rPr>
          <w:rFonts w:ascii="Arial" w:hAnsi="Arial" w:cs="Arial"/>
        </w:rPr>
        <w:t>on untreated cells.</w:t>
      </w:r>
      <w:r w:rsidR="00C008A5">
        <w:rPr>
          <w:rFonts w:ascii="Arial" w:hAnsi="Arial" w:cs="Arial"/>
        </w:rPr>
        <w:t xml:space="preserve"> </w:t>
      </w:r>
      <w:r w:rsidR="001D24FB">
        <w:rPr>
          <w:rFonts w:ascii="Arial" w:hAnsi="Arial" w:cs="Arial"/>
        </w:rPr>
        <w:t xml:space="preserve">Despite numerous elution and bleaching rounds, Tom20 antibody application in SR7 still resulted in </w:t>
      </w:r>
      <w:r w:rsidR="00067515">
        <w:rPr>
          <w:rFonts w:ascii="Arial" w:hAnsi="Arial" w:cs="Arial"/>
        </w:rPr>
        <w:t>~</w:t>
      </w:r>
      <w:r w:rsidR="001D24FB">
        <w:rPr>
          <w:rFonts w:ascii="Arial" w:hAnsi="Arial" w:cs="Arial"/>
        </w:rPr>
        <w:t>49</w:t>
      </w:r>
      <w:r w:rsidR="00067515">
        <w:rPr>
          <w:rFonts w:ascii="Arial" w:hAnsi="Arial" w:cs="Arial"/>
        </w:rPr>
        <w:t>.2</w:t>
      </w:r>
      <w:r w:rsidR="001D24FB">
        <w:rPr>
          <w:rFonts w:ascii="Arial" w:hAnsi="Arial" w:cs="Arial"/>
        </w:rPr>
        <w:t xml:space="preserve">% </w:t>
      </w:r>
      <w:r w:rsidR="00067515">
        <w:rPr>
          <w:rFonts w:ascii="Arial" w:hAnsi="Arial" w:cs="Arial"/>
        </w:rPr>
        <w:t>of the initial signal</w:t>
      </w:r>
      <w:r w:rsidR="00B858CD">
        <w:rPr>
          <w:rFonts w:ascii="Arial" w:hAnsi="Arial" w:cs="Arial"/>
        </w:rPr>
        <w:t>;</w:t>
      </w:r>
      <w:r w:rsidR="00067515">
        <w:rPr>
          <w:rFonts w:ascii="Arial" w:hAnsi="Arial" w:cs="Arial"/>
        </w:rPr>
        <w:t xml:space="preserve"> and ~37.6% of initial performance could be reached by the </w:t>
      </w:r>
      <w:proofErr w:type="spellStart"/>
      <w:r w:rsidR="00067515">
        <w:rPr>
          <w:rFonts w:ascii="Arial" w:hAnsi="Arial" w:cs="Arial"/>
        </w:rPr>
        <w:t>lamin</w:t>
      </w:r>
      <w:proofErr w:type="spellEnd"/>
      <w:r w:rsidR="00067515">
        <w:rPr>
          <w:rFonts w:ascii="Arial" w:hAnsi="Arial" w:cs="Arial"/>
        </w:rPr>
        <w:t xml:space="preserve"> antibody in SR8. </w:t>
      </w:r>
      <w:r w:rsidR="00932813">
        <w:rPr>
          <w:rFonts w:ascii="Arial" w:hAnsi="Arial" w:cs="Arial"/>
        </w:rPr>
        <w:t>(</w:t>
      </w:r>
      <w:r w:rsidR="00932813" w:rsidRPr="00932813">
        <w:rPr>
          <w:rFonts w:ascii="Arial" w:hAnsi="Arial" w:cs="Arial"/>
          <w:b/>
        </w:rPr>
        <w:t>b</w:t>
      </w:r>
      <w:r w:rsidR="00932813" w:rsidRPr="00932813">
        <w:rPr>
          <w:rFonts w:ascii="Arial" w:hAnsi="Arial" w:cs="Arial"/>
        </w:rPr>
        <w:t>-</w:t>
      </w:r>
      <w:r w:rsidR="00932813" w:rsidRPr="00932813">
        <w:rPr>
          <w:rFonts w:ascii="Arial" w:hAnsi="Arial" w:cs="Arial"/>
          <w:b/>
        </w:rPr>
        <w:t>e</w:t>
      </w:r>
      <w:r w:rsidR="00932813">
        <w:rPr>
          <w:rFonts w:ascii="Arial" w:hAnsi="Arial" w:cs="Arial"/>
        </w:rPr>
        <w:t xml:space="preserve">) </w:t>
      </w:r>
      <w:r w:rsidR="002B5D92">
        <w:rPr>
          <w:rFonts w:ascii="Arial" w:hAnsi="Arial" w:cs="Arial"/>
        </w:rPr>
        <w:t xml:space="preserve">For sample numbers, see </w:t>
      </w:r>
      <w:r w:rsidR="002B5D92" w:rsidRPr="002B5D92">
        <w:rPr>
          <w:rFonts w:ascii="Arial" w:hAnsi="Arial" w:cs="Arial"/>
          <w:b/>
        </w:rPr>
        <w:t>Supplementary Table 5</w:t>
      </w:r>
      <w:r w:rsidR="002B5D92">
        <w:rPr>
          <w:rFonts w:ascii="Arial" w:hAnsi="Arial" w:cs="Arial"/>
        </w:rPr>
        <w:t xml:space="preserve">. </w:t>
      </w:r>
      <w:r w:rsidR="00932813" w:rsidRPr="006847A0">
        <w:rPr>
          <w:rFonts w:ascii="Arial" w:hAnsi="Arial" w:cs="Arial"/>
        </w:rPr>
        <w:t>Bars represent mean</w:t>
      </w:r>
      <w:r w:rsidR="00932813">
        <w:rPr>
          <w:rFonts w:ascii="Arial" w:hAnsi="Arial" w:cs="Arial"/>
        </w:rPr>
        <w:t> </w:t>
      </w:r>
      <w:r w:rsidR="00932813" w:rsidRPr="006847A0">
        <w:rPr>
          <w:rFonts w:ascii="Arial" w:hAnsi="Arial" w:cs="Arial"/>
        </w:rPr>
        <w:t>±</w:t>
      </w:r>
      <w:r w:rsidR="00932813">
        <w:rPr>
          <w:rFonts w:ascii="Arial" w:hAnsi="Arial" w:cs="Arial"/>
        </w:rPr>
        <w:t> </w:t>
      </w:r>
      <w:r w:rsidR="00B0013E">
        <w:rPr>
          <w:rFonts w:ascii="Arial" w:hAnsi="Arial" w:cs="Arial"/>
        </w:rPr>
        <w:t>SD</w:t>
      </w:r>
      <w:r w:rsidR="00932813" w:rsidRPr="006847A0">
        <w:rPr>
          <w:rFonts w:ascii="Arial" w:hAnsi="Arial" w:cs="Arial"/>
        </w:rPr>
        <w:t>.</w:t>
      </w:r>
      <w:r w:rsidR="00067515">
        <w:rPr>
          <w:rFonts w:ascii="Arial" w:hAnsi="Arial" w:cs="Arial"/>
        </w:rPr>
        <w:t xml:space="preserve"> </w:t>
      </w:r>
      <w:r w:rsidR="00CF14D4">
        <w:rPr>
          <w:rFonts w:ascii="Arial" w:hAnsi="Arial" w:cs="Arial"/>
        </w:rPr>
        <w:t xml:space="preserve">Abbreviations: </w:t>
      </w:r>
      <w:proofErr w:type="spellStart"/>
      <w:r w:rsidR="00CF14D4">
        <w:rPr>
          <w:rFonts w:ascii="Arial" w:hAnsi="Arial" w:cs="Arial"/>
        </w:rPr>
        <w:t>ms</w:t>
      </w:r>
      <w:proofErr w:type="spellEnd"/>
      <w:r w:rsidR="00CF14D4">
        <w:rPr>
          <w:rFonts w:ascii="Arial" w:hAnsi="Arial" w:cs="Arial"/>
        </w:rPr>
        <w:t xml:space="preserve"> = mouse, </w:t>
      </w:r>
      <w:proofErr w:type="spellStart"/>
      <w:r w:rsidR="00CF14D4">
        <w:rPr>
          <w:rFonts w:ascii="Arial" w:hAnsi="Arial" w:cs="Arial"/>
        </w:rPr>
        <w:t>rb</w:t>
      </w:r>
      <w:proofErr w:type="spellEnd"/>
      <w:r w:rsidR="00CF14D4">
        <w:rPr>
          <w:rFonts w:ascii="Arial" w:hAnsi="Arial" w:cs="Arial"/>
        </w:rPr>
        <w:t xml:space="preserve"> = rabbit, </w:t>
      </w:r>
      <w:proofErr w:type="spellStart"/>
      <w:r w:rsidR="00CF14D4">
        <w:rPr>
          <w:rFonts w:ascii="Arial" w:hAnsi="Arial" w:cs="Arial"/>
        </w:rPr>
        <w:t>ch</w:t>
      </w:r>
      <w:proofErr w:type="spellEnd"/>
      <w:r w:rsidR="00CF14D4">
        <w:rPr>
          <w:rFonts w:ascii="Arial" w:hAnsi="Arial" w:cs="Arial"/>
        </w:rPr>
        <w:t xml:space="preserve"> = c</w:t>
      </w:r>
      <w:r w:rsidR="00067515">
        <w:rPr>
          <w:rFonts w:ascii="Arial" w:hAnsi="Arial" w:cs="Arial"/>
        </w:rPr>
        <w:t>h</w:t>
      </w:r>
      <w:r w:rsidR="00CF14D4">
        <w:rPr>
          <w:rFonts w:ascii="Arial" w:hAnsi="Arial" w:cs="Arial"/>
        </w:rPr>
        <w:t>icken, AF647 = Alexa Fluor 647</w:t>
      </w:r>
      <w:r w:rsidR="00067515">
        <w:rPr>
          <w:rFonts w:ascii="Arial" w:hAnsi="Arial" w:cs="Arial"/>
        </w:rPr>
        <w:t>, bl. = bleaching, el. = elution</w:t>
      </w:r>
      <w:r w:rsidR="00CF14D4">
        <w:rPr>
          <w:rFonts w:ascii="Arial" w:hAnsi="Arial" w:cs="Arial"/>
        </w:rPr>
        <w:t xml:space="preserve">. </w:t>
      </w:r>
    </w:p>
    <w:p w14:paraId="783F2471" w14:textId="77777777" w:rsidR="00B0013E" w:rsidRPr="002B5D92" w:rsidRDefault="00B0013E">
      <w:pPr>
        <w:rPr>
          <w:rFonts w:ascii="Arial" w:hAnsi="Arial" w:cs="Arial"/>
          <w:lang w:val="de-DE"/>
        </w:rPr>
      </w:pPr>
      <w:r w:rsidRPr="002B5D92">
        <w:rPr>
          <w:rFonts w:ascii="Arial" w:hAnsi="Arial" w:cs="Arial"/>
          <w:lang w:val="de-DE"/>
        </w:rPr>
        <w:br w:type="page"/>
      </w:r>
    </w:p>
    <w:p w14:paraId="66112E02" w14:textId="10429AB9" w:rsidR="00417B84" w:rsidRDefault="0058512D" w:rsidP="00417B84">
      <w:pPr>
        <w:jc w:val="center"/>
        <w:rPr>
          <w:rFonts w:ascii="Arial" w:hAnsi="Arial" w:cs="Arial"/>
          <w:b/>
        </w:rPr>
      </w:pPr>
      <w:r>
        <w:rPr>
          <w:rFonts w:ascii="Arial" w:hAnsi="Arial" w:cs="Arial"/>
          <w:b/>
          <w:noProof/>
        </w:rPr>
        <w:lastRenderedPageBreak/>
        <w:drawing>
          <wp:inline distT="0" distB="0" distL="0" distR="0" wp14:anchorId="6636632D" wp14:editId="15E27EB6">
            <wp:extent cx="5972810" cy="2619375"/>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upplementary_Figure_5.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72810" cy="2619375"/>
                    </a:xfrm>
                    <a:prstGeom prst="rect">
                      <a:avLst/>
                    </a:prstGeom>
                  </pic:spPr>
                </pic:pic>
              </a:graphicData>
            </a:graphic>
          </wp:inline>
        </w:drawing>
      </w:r>
    </w:p>
    <w:p w14:paraId="5DA987BB" w14:textId="4928C33C" w:rsidR="0048574C" w:rsidRDefault="00B0013E" w:rsidP="00420E19">
      <w:pPr>
        <w:jc w:val="both"/>
        <w:rPr>
          <w:rFonts w:ascii="Arial" w:hAnsi="Arial" w:cs="Arial"/>
        </w:rPr>
      </w:pPr>
      <w:r>
        <w:rPr>
          <w:rFonts w:ascii="Arial" w:hAnsi="Arial" w:cs="Arial"/>
          <w:b/>
        </w:rPr>
        <w:t>Supplementary Figure 5</w:t>
      </w:r>
      <w:r w:rsidRPr="00C91877">
        <w:rPr>
          <w:rFonts w:ascii="Arial" w:hAnsi="Arial" w:cs="Arial"/>
          <w:b/>
        </w:rPr>
        <w:t xml:space="preserve"> |</w:t>
      </w:r>
      <w:r w:rsidRPr="00C91877">
        <w:rPr>
          <w:rFonts w:ascii="Arial" w:hAnsi="Arial" w:cs="Arial"/>
        </w:rPr>
        <w:t xml:space="preserve"> </w:t>
      </w:r>
      <w:r w:rsidRPr="003B3F1E">
        <w:rPr>
          <w:rFonts w:ascii="Arial" w:hAnsi="Arial" w:cs="Arial"/>
          <w:b/>
        </w:rPr>
        <w:t xml:space="preserve">Localization precision </w:t>
      </w:r>
      <w:r w:rsidR="003B3F1E">
        <w:rPr>
          <w:rFonts w:ascii="Arial" w:hAnsi="Arial" w:cs="Arial"/>
          <w:b/>
        </w:rPr>
        <w:t xml:space="preserve">analysis </w:t>
      </w:r>
      <w:r w:rsidRPr="003B3F1E">
        <w:rPr>
          <w:rFonts w:ascii="Arial" w:hAnsi="Arial" w:cs="Arial"/>
          <w:b/>
        </w:rPr>
        <w:t>for images acquired throughout the multiplex experiment.</w:t>
      </w:r>
      <w:r>
        <w:rPr>
          <w:rFonts w:ascii="Arial" w:hAnsi="Arial" w:cs="Arial"/>
        </w:rPr>
        <w:t xml:space="preserve"> Localiz</w:t>
      </w:r>
      <w:r w:rsidR="003B3F1E">
        <w:rPr>
          <w:rFonts w:ascii="Arial" w:hAnsi="Arial" w:cs="Arial"/>
        </w:rPr>
        <w:t>ation precision was</w:t>
      </w:r>
      <w:r w:rsidR="0048574C">
        <w:rPr>
          <w:rFonts w:ascii="Arial" w:hAnsi="Arial" w:cs="Arial"/>
        </w:rPr>
        <w:t xml:space="preserve"> estimated</w:t>
      </w:r>
      <w:r>
        <w:rPr>
          <w:rFonts w:ascii="Arial" w:hAnsi="Arial" w:cs="Arial"/>
        </w:rPr>
        <w:t xml:space="preserve"> </w:t>
      </w:r>
      <w:r w:rsidR="003B3F1E">
        <w:rPr>
          <w:rFonts w:ascii="Arial" w:hAnsi="Arial" w:cs="Arial"/>
        </w:rPr>
        <w:t xml:space="preserve">by </w:t>
      </w:r>
      <w:r w:rsidR="0048574C">
        <w:rPr>
          <w:rFonts w:ascii="Arial" w:hAnsi="Arial" w:cs="Arial"/>
        </w:rPr>
        <w:t xml:space="preserve">quantifying </w:t>
      </w:r>
      <w:r w:rsidR="003B3F1E">
        <w:rPr>
          <w:rFonts w:ascii="Arial" w:hAnsi="Arial" w:cs="Arial"/>
        </w:rPr>
        <w:t>the</w:t>
      </w:r>
      <w:r>
        <w:rPr>
          <w:rFonts w:ascii="Arial" w:hAnsi="Arial" w:cs="Arial"/>
        </w:rPr>
        <w:t xml:space="preserve"> nearest neighbor (</w:t>
      </w:r>
      <w:proofErr w:type="spellStart"/>
      <w:r>
        <w:rPr>
          <w:rFonts w:ascii="Arial" w:hAnsi="Arial" w:cs="Arial"/>
        </w:rPr>
        <w:t>NeNa</w:t>
      </w:r>
      <w:proofErr w:type="spellEnd"/>
      <w:r>
        <w:rPr>
          <w:rFonts w:ascii="Arial" w:hAnsi="Arial" w:cs="Arial"/>
        </w:rPr>
        <w:t>) distance</w:t>
      </w:r>
      <w:r w:rsidR="003B3F1E">
        <w:rPr>
          <w:rFonts w:ascii="Arial" w:hAnsi="Arial" w:cs="Arial"/>
        </w:rPr>
        <w:t xml:space="preserve"> between corresponding localizations from adjacent </w:t>
      </w:r>
      <w:r w:rsidR="00DC1197">
        <w:rPr>
          <w:rFonts w:ascii="Arial" w:hAnsi="Arial" w:cs="Arial"/>
        </w:rPr>
        <w:t xml:space="preserve">STORM </w:t>
      </w:r>
      <w:r w:rsidR="003B3F1E">
        <w:rPr>
          <w:rFonts w:ascii="Arial" w:hAnsi="Arial" w:cs="Arial"/>
        </w:rPr>
        <w:t>frames</w:t>
      </w:r>
      <w:r w:rsidR="00DC1197">
        <w:rPr>
          <w:rFonts w:ascii="Arial" w:hAnsi="Arial" w:cs="Arial"/>
        </w:rPr>
        <w:fldChar w:fldCharType="begin" w:fldLock="1"/>
      </w:r>
      <w:r w:rsidR="00351FE9">
        <w:rPr>
          <w:rFonts w:ascii="Arial" w:hAnsi="Arial" w:cs="Arial"/>
        </w:rPr>
        <w:instrText>ADDIN CSL_CITATION {"citationItems":[{"id":"ITEM-1","itemData":{"DOI":"10.1007/s00418-014-1192-3","ISSN":"0948-6143","abstract":"The localization precision is a crucial and important parameter for single-molecule localization microscopy (SMLM) and directly influences the achievable spatial resolution. It primarily depends on experimental imaging conditions and the registration potency of the algorithm used. We propose a new and simple routine to estimate the average experimental localization precision in SMLM, based on the nearest neighbor analysis. By exploring different experimental and simulated targets, we show that this approach can be generally used for any 2D or 3D SMLM data and that reliable values for the localization precision σ SMLM are obtained. Knowing σ SMLM is a prerequisite for consistent visualization or any quantitative structural analysis, e.g., cluster analysis or colocalization studies.","author":[{"dropping-particle":"","family":"Endesfelder","given":"Ulrike","non-dropping-particle":"","parse-names":false,"suffix":""},{"dropping-particle":"","family":"Malkusch","given":"Sebastian","non-dropping-particle":"","parse-names":false,"suffix":""},{"dropping-particle":"","family":"Fricke","given":"Franziska","non-dropping-particle":"","parse-names":false,"suffix":""},{"dropping-particle":"","family":"Heilemann","given":"Mike","non-dropping-particle":"","parse-names":false,"suffix":""}],"container-title":"Histochemistry and Cell Biology","id":"ITEM-1","issue":"6","issued":{"date-parts":[["2014","6","13"]]},"page":"629-638","title":"A simple method to estimate the average localization precision of a single-molecule localization microscopy experiment","type":"article-journal","volume":"141"},"uris":["http://www.mendeley.com/documents/?uuid=1fc542cb-46df-448f-91d8-50c7450cdfa2"]}],"mendeley":{"formattedCitation":"&lt;sup&gt;2&lt;/sup&gt;","plainTextFormattedCitation":"2","previouslyFormattedCitation":"&lt;sup&gt;2&lt;/sup&gt;"},"properties":{"noteIndex":0},"schema":"https://github.com/citation-style-language/schema/raw/master/csl-citation.json"}</w:instrText>
      </w:r>
      <w:r w:rsidR="00DC1197">
        <w:rPr>
          <w:rFonts w:ascii="Arial" w:hAnsi="Arial" w:cs="Arial"/>
        </w:rPr>
        <w:fldChar w:fldCharType="separate"/>
      </w:r>
      <w:r w:rsidR="00347130" w:rsidRPr="00347130">
        <w:rPr>
          <w:rFonts w:ascii="Arial" w:hAnsi="Arial" w:cs="Arial"/>
          <w:noProof/>
          <w:vertAlign w:val="superscript"/>
        </w:rPr>
        <w:t>2</w:t>
      </w:r>
      <w:r w:rsidR="00DC1197">
        <w:rPr>
          <w:rFonts w:ascii="Arial" w:hAnsi="Arial" w:cs="Arial"/>
        </w:rPr>
        <w:fldChar w:fldCharType="end"/>
      </w:r>
      <w:r w:rsidR="003B3F1E">
        <w:rPr>
          <w:rFonts w:ascii="Arial" w:hAnsi="Arial" w:cs="Arial"/>
        </w:rPr>
        <w:t xml:space="preserve">. </w:t>
      </w:r>
      <w:proofErr w:type="spellStart"/>
      <w:r w:rsidR="0048574C">
        <w:rPr>
          <w:rFonts w:ascii="Arial" w:hAnsi="Arial" w:cs="Arial"/>
        </w:rPr>
        <w:t>NeNa</w:t>
      </w:r>
      <w:proofErr w:type="spellEnd"/>
      <w:r w:rsidR="0048574C">
        <w:rPr>
          <w:rFonts w:ascii="Arial" w:hAnsi="Arial" w:cs="Arial"/>
        </w:rPr>
        <w:t xml:space="preserve"> analysis resulted in a mean </w:t>
      </w:r>
      <w:proofErr w:type="spellStart"/>
      <w:r w:rsidR="0048574C">
        <w:rPr>
          <w:rFonts w:ascii="Arial" w:hAnsi="Arial" w:cs="Arial"/>
        </w:rPr>
        <w:t>NeNa</w:t>
      </w:r>
      <w:proofErr w:type="spellEnd"/>
      <w:r w:rsidR="0048574C">
        <w:rPr>
          <w:rFonts w:ascii="Arial" w:hAnsi="Arial" w:cs="Arial"/>
        </w:rPr>
        <w:t xml:space="preserve"> distance of 7.7 </w:t>
      </w:r>
      <w:r w:rsidR="0048574C" w:rsidRPr="006847A0">
        <w:rPr>
          <w:rFonts w:ascii="Arial" w:hAnsi="Arial" w:cs="Arial"/>
        </w:rPr>
        <w:t>±</w:t>
      </w:r>
      <w:r w:rsidR="0048574C">
        <w:rPr>
          <w:rFonts w:ascii="Arial" w:hAnsi="Arial" w:cs="Arial"/>
        </w:rPr>
        <w:t xml:space="preserve"> 2.7 for all imaging rounds, indicating a very high localization precision. </w:t>
      </w:r>
      <w:r w:rsidR="003B3F1E">
        <w:rPr>
          <w:rFonts w:ascii="Arial" w:hAnsi="Arial" w:cs="Arial"/>
        </w:rPr>
        <w:t xml:space="preserve">For this analysis we used the </w:t>
      </w:r>
      <w:proofErr w:type="spellStart"/>
      <w:r w:rsidR="003B3F1E">
        <w:rPr>
          <w:rFonts w:ascii="Arial" w:hAnsi="Arial" w:cs="Arial"/>
        </w:rPr>
        <w:t>NeNa</w:t>
      </w:r>
      <w:proofErr w:type="spellEnd"/>
      <w:r w:rsidR="003B3F1E">
        <w:rPr>
          <w:rFonts w:ascii="Arial" w:hAnsi="Arial" w:cs="Arial"/>
        </w:rPr>
        <w:t xml:space="preserve"> algorithm of LAMA software</w:t>
      </w:r>
      <w:r w:rsidR="006E6EBA">
        <w:rPr>
          <w:rFonts w:ascii="Arial" w:hAnsi="Arial" w:cs="Arial"/>
        </w:rPr>
        <w:fldChar w:fldCharType="begin" w:fldLock="1"/>
      </w:r>
      <w:r w:rsidR="00351FE9">
        <w:rPr>
          <w:rFonts w:ascii="Arial" w:hAnsi="Arial" w:cs="Arial"/>
        </w:rPr>
        <w:instrText>ADDIN CSL_CITATION {"citationItems":[{"id":"ITEM-1","itemData":{"DOI":"10.1038/srep34486","ISSN":"2045-2322","abstract":"Super-resolution fluorescence microscopy revolutionizes cell biology research and provides novel insights on how proteins are organized at the nanoscale and in the cellular context. In order to extract a maximum of information, specialized tools for image analysis are necessary. Here, we introduce the LocAlization Microscopy Analyzer (LAMA), a comprehensive software tool that extracts quantitative information from single-molecule super-resolution imaging data. LAMA allows characterizing cellular structures by their size, shape, intensity, distribution, as well as the degree of colocalization with other structures. LAMA is freely available, platform-independent and designed to provide direct access to individual analysis of super-resolution data.","author":[{"dropping-particle":"","family":"Malkusch","given":"Sebastian","non-dropping-particle":"","parse-names":false,"suffix":""},{"dropping-particle":"","family":"Heilemann","given":"Mike","non-dropping-particle":"","parse-names":false,"suffix":""}],"container-title":"Scientific Reports","id":"ITEM-1","issue":"1","issued":{"date-parts":[["2016","12","5"]]},"page":"34486","title":"Extracting quantitative information from single-molecule super-resolution imaging data with LAMA – LocAlization Microscopy Analyzer","type":"article-journal","volume":"6"},"uris":["http://www.mendeley.com/documents/?uuid=c8ade23a-275b-4789-8154-fff22d46a9ae"]}],"mendeley":{"formattedCitation":"&lt;sup&gt;3&lt;/sup&gt;","plainTextFormattedCitation":"3","previouslyFormattedCitation":"&lt;sup&gt;3&lt;/sup&gt;"},"properties":{"noteIndex":0},"schema":"https://github.com/citation-style-language/schema/raw/master/csl-citation.json"}</w:instrText>
      </w:r>
      <w:r w:rsidR="006E6EBA">
        <w:rPr>
          <w:rFonts w:ascii="Arial" w:hAnsi="Arial" w:cs="Arial"/>
        </w:rPr>
        <w:fldChar w:fldCharType="separate"/>
      </w:r>
      <w:r w:rsidR="00347130" w:rsidRPr="00347130">
        <w:rPr>
          <w:rFonts w:ascii="Arial" w:hAnsi="Arial" w:cs="Arial"/>
          <w:noProof/>
          <w:vertAlign w:val="superscript"/>
        </w:rPr>
        <w:t>3</w:t>
      </w:r>
      <w:r w:rsidR="006E6EBA">
        <w:rPr>
          <w:rFonts w:ascii="Arial" w:hAnsi="Arial" w:cs="Arial"/>
        </w:rPr>
        <w:fldChar w:fldCharType="end"/>
      </w:r>
      <w:r w:rsidR="003B3F1E">
        <w:rPr>
          <w:rFonts w:ascii="Arial" w:hAnsi="Arial" w:cs="Arial"/>
        </w:rPr>
        <w:t xml:space="preserve">. </w:t>
      </w:r>
    </w:p>
    <w:p w14:paraId="4540087C" w14:textId="77777777" w:rsidR="0048574C" w:rsidRDefault="0048574C">
      <w:pPr>
        <w:rPr>
          <w:rFonts w:ascii="Arial" w:hAnsi="Arial" w:cs="Arial"/>
        </w:rPr>
      </w:pPr>
      <w:r>
        <w:rPr>
          <w:rFonts w:ascii="Arial" w:hAnsi="Arial" w:cs="Arial"/>
        </w:rPr>
        <w:br w:type="page"/>
      </w:r>
    </w:p>
    <w:p w14:paraId="692C511A" w14:textId="79CA7A25" w:rsidR="00417B84" w:rsidRDefault="0058512D" w:rsidP="00420E19">
      <w:pPr>
        <w:jc w:val="both"/>
        <w:rPr>
          <w:rFonts w:ascii="Arial" w:hAnsi="Arial" w:cs="Arial"/>
          <w:b/>
        </w:rPr>
      </w:pPr>
      <w:r>
        <w:rPr>
          <w:rFonts w:ascii="Arial" w:hAnsi="Arial" w:cs="Arial"/>
          <w:b/>
          <w:noProof/>
        </w:rPr>
        <w:lastRenderedPageBreak/>
        <w:drawing>
          <wp:inline distT="0" distB="0" distL="0" distR="0" wp14:anchorId="67BCD45A" wp14:editId="1B36A3DB">
            <wp:extent cx="5972810" cy="4974590"/>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upplementary_Figure_6.ti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72810" cy="4974590"/>
                    </a:xfrm>
                    <a:prstGeom prst="rect">
                      <a:avLst/>
                    </a:prstGeom>
                  </pic:spPr>
                </pic:pic>
              </a:graphicData>
            </a:graphic>
          </wp:inline>
        </w:drawing>
      </w:r>
    </w:p>
    <w:p w14:paraId="20D04831" w14:textId="35979273" w:rsidR="00E70958" w:rsidRDefault="0048574C" w:rsidP="00420E19">
      <w:pPr>
        <w:jc w:val="both"/>
        <w:rPr>
          <w:rFonts w:ascii="Arial" w:hAnsi="Arial" w:cs="Arial"/>
        </w:rPr>
      </w:pPr>
      <w:r>
        <w:rPr>
          <w:rFonts w:ascii="Arial" w:hAnsi="Arial" w:cs="Arial"/>
          <w:b/>
        </w:rPr>
        <w:t>Supplementary Figure 6</w:t>
      </w:r>
      <w:r w:rsidRPr="00C91877">
        <w:rPr>
          <w:rFonts w:ascii="Arial" w:hAnsi="Arial" w:cs="Arial"/>
          <w:b/>
        </w:rPr>
        <w:t xml:space="preserve"> |</w:t>
      </w:r>
      <w:r w:rsidRPr="00C91877">
        <w:rPr>
          <w:rFonts w:ascii="Arial" w:hAnsi="Arial" w:cs="Arial"/>
        </w:rPr>
        <w:t xml:space="preserve"> </w:t>
      </w:r>
      <w:r>
        <w:rPr>
          <w:rFonts w:ascii="Arial" w:hAnsi="Arial" w:cs="Arial"/>
          <w:b/>
        </w:rPr>
        <w:t xml:space="preserve">Examples showing 3D </w:t>
      </w:r>
      <w:r w:rsidR="00A84DA2">
        <w:rPr>
          <w:rFonts w:ascii="Arial" w:hAnsi="Arial" w:cs="Arial"/>
          <w:b/>
        </w:rPr>
        <w:t>visualization of selected STORM images.</w:t>
      </w:r>
      <w:r>
        <w:rPr>
          <w:rFonts w:ascii="Arial" w:hAnsi="Arial" w:cs="Arial"/>
        </w:rPr>
        <w:t xml:space="preserve"> (</w:t>
      </w:r>
      <w:r w:rsidRPr="0048574C">
        <w:rPr>
          <w:rFonts w:ascii="Arial" w:hAnsi="Arial" w:cs="Arial"/>
          <w:b/>
        </w:rPr>
        <w:t>a</w:t>
      </w:r>
      <w:r>
        <w:rPr>
          <w:rFonts w:ascii="Arial" w:hAnsi="Arial" w:cs="Arial"/>
        </w:rPr>
        <w:t xml:space="preserve">) Three-dimensional representation of the </w:t>
      </w:r>
      <w:r w:rsidR="006E6EBA">
        <w:rPr>
          <w:rFonts w:ascii="Arial" w:hAnsi="Arial" w:cs="Arial"/>
        </w:rPr>
        <w:t>p</w:t>
      </w:r>
      <w:r>
        <w:rPr>
          <w:rFonts w:ascii="Arial" w:hAnsi="Arial" w:cs="Arial"/>
        </w:rPr>
        <w:t xml:space="preserve">halloidin staining (left panel) and </w:t>
      </w:r>
      <w:r>
        <w:rPr>
          <w:rFonts w:ascii="Arial" w:hAnsi="Arial" w:cs="Arial"/>
        </w:rPr>
        <w:sym w:font="Symbol" w:char="F061"/>
      </w:r>
      <w:r w:rsidR="006E6EBA">
        <w:rPr>
          <w:rFonts w:ascii="Arial" w:hAnsi="Arial" w:cs="Arial"/>
        </w:rPr>
        <w:t>-t</w:t>
      </w:r>
      <w:r>
        <w:rPr>
          <w:rFonts w:ascii="Arial" w:hAnsi="Arial" w:cs="Arial"/>
        </w:rPr>
        <w:t xml:space="preserve">ubulin staining (right panel) </w:t>
      </w:r>
      <w:r w:rsidR="00A84DA2">
        <w:rPr>
          <w:rFonts w:ascii="Arial" w:hAnsi="Arial" w:cs="Arial"/>
        </w:rPr>
        <w:t xml:space="preserve">from the multiplex experiment </w:t>
      </w:r>
      <w:r w:rsidR="001342BC">
        <w:rPr>
          <w:rFonts w:ascii="Arial" w:hAnsi="Arial" w:cs="Arial"/>
        </w:rPr>
        <w:t xml:space="preserve">shown </w:t>
      </w:r>
      <w:r w:rsidR="00A84DA2">
        <w:rPr>
          <w:rFonts w:ascii="Arial" w:hAnsi="Arial" w:cs="Arial"/>
        </w:rPr>
        <w:t xml:space="preserve">in </w:t>
      </w:r>
      <w:r w:rsidR="00A84DA2" w:rsidRPr="00932813">
        <w:rPr>
          <w:rFonts w:ascii="Arial" w:hAnsi="Arial" w:cs="Arial"/>
          <w:b/>
        </w:rPr>
        <w:t>Figure 2a</w:t>
      </w:r>
      <w:r w:rsidR="00A84DA2">
        <w:rPr>
          <w:rFonts w:ascii="Arial" w:hAnsi="Arial" w:cs="Arial"/>
        </w:rPr>
        <w:t xml:space="preserve"> </w:t>
      </w:r>
      <w:r>
        <w:rPr>
          <w:rFonts w:ascii="Arial" w:hAnsi="Arial" w:cs="Arial"/>
        </w:rPr>
        <w:t>u</w:t>
      </w:r>
      <w:r w:rsidR="00813929">
        <w:rPr>
          <w:rFonts w:ascii="Arial" w:hAnsi="Arial" w:cs="Arial"/>
        </w:rPr>
        <w:t xml:space="preserve">sing </w:t>
      </w:r>
      <w:proofErr w:type="spellStart"/>
      <w:r w:rsidR="00813929">
        <w:rPr>
          <w:rFonts w:ascii="Arial" w:hAnsi="Arial" w:cs="Arial"/>
        </w:rPr>
        <w:t>ViS</w:t>
      </w:r>
      <w:r w:rsidR="00B858CD">
        <w:rPr>
          <w:rFonts w:ascii="Arial" w:hAnsi="Arial" w:cs="Arial"/>
        </w:rPr>
        <w:t>P</w:t>
      </w:r>
      <w:proofErr w:type="spellEnd"/>
      <w:r w:rsidR="00813929">
        <w:rPr>
          <w:rFonts w:ascii="Arial" w:hAnsi="Arial" w:cs="Arial"/>
        </w:rPr>
        <w:t xml:space="preserve"> software</w:t>
      </w:r>
      <w:r w:rsidR="006E6EBA">
        <w:rPr>
          <w:rFonts w:ascii="Arial" w:hAnsi="Arial" w:cs="Arial"/>
        </w:rPr>
        <w:fldChar w:fldCharType="begin" w:fldLock="1"/>
      </w:r>
      <w:r w:rsidR="00351FE9">
        <w:rPr>
          <w:rFonts w:ascii="Arial" w:hAnsi="Arial" w:cs="Arial"/>
        </w:rPr>
        <w:instrText>ADDIN CSL_CITATION {"citationItems":[{"id":"ITEM-1","itemData":{"DOI":"10.1038/nmeth.2566","ISSN":"1548-7091","abstract":"Nature Methods 10, 689 (2013). doi:10.1038/nmeth.2566","author":[{"dropping-particle":"El","family":"Beheiry","given":"Mohamed","non-dropping-particle":"","parse-names":false,"suffix":""},{"dropping-particle":"","family":"Dahan","given":"Maxime","non-dropping-particle":"","parse-names":false,"suffix":""}],"container-title":"Nature Methods","id":"ITEM-1","issue":"8","issued":{"date-parts":[["2013","8","30"]]},"page":"689-690","title":"ViSP: representing single-particle localizations in three dimensions","type":"article-journal","volume":"10"},"uris":["http://www.mendeley.com/documents/?uuid=9907fac0-bcba-42a6-9f17-da514edbe85f"]}],"mendeley":{"formattedCitation":"&lt;sup&gt;4&lt;/sup&gt;","plainTextFormattedCitation":"4","previouslyFormattedCitation":"&lt;sup&gt;4&lt;/sup&gt;"},"properties":{"noteIndex":0},"schema":"https://github.com/citation-style-language/schema/raw/master/csl-citation.json"}</w:instrText>
      </w:r>
      <w:r w:rsidR="006E6EBA">
        <w:rPr>
          <w:rFonts w:ascii="Arial" w:hAnsi="Arial" w:cs="Arial"/>
        </w:rPr>
        <w:fldChar w:fldCharType="separate"/>
      </w:r>
      <w:r w:rsidR="00347130" w:rsidRPr="00347130">
        <w:rPr>
          <w:rFonts w:ascii="Arial" w:hAnsi="Arial" w:cs="Arial"/>
          <w:noProof/>
          <w:vertAlign w:val="superscript"/>
        </w:rPr>
        <w:t>4</w:t>
      </w:r>
      <w:r w:rsidR="006E6EBA">
        <w:rPr>
          <w:rFonts w:ascii="Arial" w:hAnsi="Arial" w:cs="Arial"/>
        </w:rPr>
        <w:fldChar w:fldCharType="end"/>
      </w:r>
      <w:r w:rsidR="00813929">
        <w:rPr>
          <w:rFonts w:ascii="Arial" w:hAnsi="Arial" w:cs="Arial"/>
        </w:rPr>
        <w:t>. (</w:t>
      </w:r>
      <w:r w:rsidR="00813929" w:rsidRPr="00A84DA2">
        <w:rPr>
          <w:rFonts w:ascii="Arial" w:hAnsi="Arial" w:cs="Arial"/>
          <w:b/>
        </w:rPr>
        <w:t>b</w:t>
      </w:r>
      <w:r w:rsidR="00813929">
        <w:rPr>
          <w:rFonts w:ascii="Arial" w:hAnsi="Arial" w:cs="Arial"/>
        </w:rPr>
        <w:t xml:space="preserve">) Second example </w:t>
      </w:r>
      <w:r w:rsidR="00766D8F">
        <w:rPr>
          <w:rFonts w:ascii="Arial" w:hAnsi="Arial" w:cs="Arial"/>
        </w:rPr>
        <w:t xml:space="preserve">(for first example, see </w:t>
      </w:r>
      <w:r w:rsidR="00766D8F" w:rsidRPr="00766D8F">
        <w:rPr>
          <w:rFonts w:ascii="Arial" w:hAnsi="Arial" w:cs="Arial"/>
          <w:b/>
        </w:rPr>
        <w:t>Figure 2d</w:t>
      </w:r>
      <w:r w:rsidR="00766D8F">
        <w:rPr>
          <w:rFonts w:ascii="Arial" w:hAnsi="Arial" w:cs="Arial"/>
        </w:rPr>
        <w:t>) of a</w:t>
      </w:r>
      <w:r w:rsidR="00813929">
        <w:rPr>
          <w:rFonts w:ascii="Arial" w:hAnsi="Arial" w:cs="Arial"/>
        </w:rPr>
        <w:t xml:space="preserve"> nuclear pore complex </w:t>
      </w:r>
      <w:r w:rsidR="00766D8F">
        <w:rPr>
          <w:rFonts w:ascii="Arial" w:hAnsi="Arial" w:cs="Arial"/>
        </w:rPr>
        <w:t>rendered in 3D,</w:t>
      </w:r>
      <w:r w:rsidR="00813929">
        <w:rPr>
          <w:rFonts w:ascii="Arial" w:hAnsi="Arial" w:cs="Arial"/>
        </w:rPr>
        <w:t xml:space="preserve"> </w:t>
      </w:r>
      <w:r w:rsidR="00766D8F">
        <w:rPr>
          <w:rFonts w:ascii="Arial" w:hAnsi="Arial" w:cs="Arial"/>
        </w:rPr>
        <w:t xml:space="preserve">demonstrating high axial resolution and </w:t>
      </w:r>
      <w:r w:rsidR="0006521C">
        <w:rPr>
          <w:rFonts w:ascii="Arial" w:hAnsi="Arial" w:cs="Arial"/>
        </w:rPr>
        <w:t>robust</w:t>
      </w:r>
      <w:r w:rsidR="00AC0303">
        <w:rPr>
          <w:rFonts w:ascii="Arial" w:hAnsi="Arial" w:cs="Arial"/>
        </w:rPr>
        <w:t xml:space="preserve"> </w:t>
      </w:r>
      <w:r w:rsidR="00766D8F">
        <w:rPr>
          <w:rFonts w:ascii="Arial" w:hAnsi="Arial" w:cs="Arial"/>
        </w:rPr>
        <w:t>fiducial-based registration precision. ImageJ was used for 3D visualization</w:t>
      </w:r>
      <w:r w:rsidR="007F2994">
        <w:rPr>
          <w:rFonts w:ascii="Arial" w:hAnsi="Arial" w:cs="Arial"/>
        </w:rPr>
        <w:t xml:space="preserve"> in </w:t>
      </w:r>
      <w:r w:rsidR="007F2994" w:rsidRPr="007F2994">
        <w:rPr>
          <w:rFonts w:ascii="Arial" w:hAnsi="Arial" w:cs="Arial"/>
          <w:b/>
        </w:rPr>
        <w:t>b</w:t>
      </w:r>
      <w:r w:rsidR="00766D8F">
        <w:rPr>
          <w:rFonts w:ascii="Arial" w:hAnsi="Arial" w:cs="Arial"/>
        </w:rPr>
        <w:t>.</w:t>
      </w:r>
    </w:p>
    <w:p w14:paraId="223456DF" w14:textId="77777777" w:rsidR="00E70958" w:rsidRDefault="00E70958">
      <w:pPr>
        <w:rPr>
          <w:rFonts w:ascii="Arial" w:hAnsi="Arial" w:cs="Arial"/>
        </w:rPr>
      </w:pPr>
      <w:r>
        <w:rPr>
          <w:rFonts w:ascii="Arial" w:hAnsi="Arial" w:cs="Arial"/>
        </w:rPr>
        <w:br w:type="page"/>
      </w:r>
    </w:p>
    <w:p w14:paraId="006D6D3A" w14:textId="03D144A2" w:rsidR="00651669" w:rsidRDefault="0058512D" w:rsidP="00420E19">
      <w:pPr>
        <w:jc w:val="both"/>
        <w:rPr>
          <w:rFonts w:ascii="Arial" w:hAnsi="Arial" w:cs="Arial"/>
          <w:b/>
        </w:rPr>
      </w:pPr>
      <w:r>
        <w:rPr>
          <w:rFonts w:ascii="Arial" w:hAnsi="Arial" w:cs="Arial"/>
          <w:b/>
          <w:noProof/>
        </w:rPr>
        <w:lastRenderedPageBreak/>
        <w:drawing>
          <wp:inline distT="0" distB="0" distL="0" distR="0" wp14:anchorId="0E42BF31" wp14:editId="40C5B74D">
            <wp:extent cx="5972810" cy="5480050"/>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upplementary_Figure_7.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72810" cy="5480050"/>
                    </a:xfrm>
                    <a:prstGeom prst="rect">
                      <a:avLst/>
                    </a:prstGeom>
                  </pic:spPr>
                </pic:pic>
              </a:graphicData>
            </a:graphic>
          </wp:inline>
        </w:drawing>
      </w:r>
    </w:p>
    <w:p w14:paraId="1B810AF4" w14:textId="01E60279" w:rsidR="00A3326A" w:rsidRDefault="00E70958" w:rsidP="00420E19">
      <w:pPr>
        <w:jc w:val="both"/>
        <w:rPr>
          <w:rFonts w:ascii="Arial" w:hAnsi="Arial" w:cs="Arial"/>
        </w:rPr>
      </w:pPr>
      <w:r>
        <w:rPr>
          <w:rFonts w:ascii="Arial" w:hAnsi="Arial" w:cs="Arial"/>
          <w:b/>
        </w:rPr>
        <w:t>Supplementary Figure 7</w:t>
      </w:r>
      <w:r w:rsidRPr="00C91877">
        <w:rPr>
          <w:rFonts w:ascii="Arial" w:hAnsi="Arial" w:cs="Arial"/>
          <w:b/>
        </w:rPr>
        <w:t xml:space="preserve"> |</w:t>
      </w:r>
      <w:r w:rsidRPr="00E70958">
        <w:rPr>
          <w:rFonts w:ascii="Arial" w:hAnsi="Arial" w:cs="Arial"/>
          <w:b/>
        </w:rPr>
        <w:t xml:space="preserve"> </w:t>
      </w:r>
      <w:r w:rsidR="00090E22">
        <w:rPr>
          <w:rFonts w:ascii="Arial" w:hAnsi="Arial" w:cs="Arial"/>
          <w:b/>
        </w:rPr>
        <w:t>Workflow for analysis of presynaptic architecture of the calyx of Held</w:t>
      </w:r>
      <w:r>
        <w:rPr>
          <w:rFonts w:ascii="Arial" w:hAnsi="Arial" w:cs="Arial"/>
          <w:b/>
        </w:rPr>
        <w:t>.</w:t>
      </w:r>
      <w:r>
        <w:rPr>
          <w:rFonts w:ascii="Arial" w:hAnsi="Arial" w:cs="Arial"/>
        </w:rPr>
        <w:t xml:space="preserve"> (</w:t>
      </w:r>
      <w:r w:rsidRPr="0048574C">
        <w:rPr>
          <w:rFonts w:ascii="Arial" w:hAnsi="Arial" w:cs="Arial"/>
          <w:b/>
        </w:rPr>
        <w:t>a</w:t>
      </w:r>
      <w:r>
        <w:rPr>
          <w:rFonts w:ascii="Arial" w:hAnsi="Arial" w:cs="Arial"/>
        </w:rPr>
        <w:t xml:space="preserve">) </w:t>
      </w:r>
      <w:r w:rsidR="00090E22">
        <w:rPr>
          <w:rFonts w:ascii="Arial" w:hAnsi="Arial" w:cs="Arial"/>
        </w:rPr>
        <w:t xml:space="preserve">The distribution of presynaptic proteins </w:t>
      </w:r>
      <w:r w:rsidR="0081382D">
        <w:rPr>
          <w:rFonts w:ascii="Arial" w:hAnsi="Arial" w:cs="Arial"/>
        </w:rPr>
        <w:t>was analyzed using a custom-written plugin for ImageJ</w:t>
      </w:r>
      <w:r w:rsidR="006E6EBA">
        <w:rPr>
          <w:rFonts w:ascii="Arial" w:hAnsi="Arial" w:cs="Arial"/>
        </w:rPr>
        <w:fldChar w:fldCharType="begin" w:fldLock="1"/>
      </w:r>
      <w:r w:rsidR="00351FE9">
        <w:rPr>
          <w:rFonts w:ascii="Arial" w:hAnsi="Arial" w:cs="Arial"/>
        </w:rPr>
        <w:instrText>ADDIN CSL_CITATION {"citationItems":[{"id":"ITEM-1","itemData":{"DOI":"10.1038/nmeth.2019","ISSN":"1548-7091","abstract":"Fiji is a distribution of the popular open-source software ImageJ focused on biological-image analysis. Fiji uses modern software engineering practices to combine powerful software libraries with a broad range of scripting languages to enable rapid prototyping of image-processing algorithms. Fiji facilitates the transformation of new algorithms into ImageJ plugins that can be shared with end users through an integrated update system. We propose Fiji as a platform for productive collaboration between computer science and biology research communities.","author":[{"dropping-particle":"","family":"Schindelin","given":"Johannes","non-dropping-particle":"","parse-names":false,"suffix":""},{"dropping-particle":"","family":"Arganda-Carreras","given":"Ignacio","non-dropping-particle":"","parse-names":false,"suffix":""},{"dropping-particle":"","family":"Frise","given":"Erwin","non-dropping-particle":"","parse-names":false,"suffix":""},{"dropping-particle":"","family":"Kaynig","given":"Verena","non-dropping-particle":"","parse-names":false,"suffix":""},{"dropping-particle":"","family":"Longair","given":"Mark","non-dropping-particle":"","parse-names":false,"suffix":""},{"dropping-particle":"","family":"Pietzsch","given":"Tobias","non-dropping-particle":"","parse-names":false,"suffix":""},{"dropping-particle":"","family":"Preibisch","given":"Stephan","non-dropping-particle":"","parse-names":false,"suffix":""},{"dropping-particle":"","family":"Rueden","given":"Curtis","non-dropping-particle":"","parse-names":false,"suffix":""},{"dropping-particle":"","family":"Saalfeld","given":"Stephan","non-dropping-particle":"","parse-names":false,"suffix":""},{"dropping-particle":"","family":"Schmid","given":"Benjamin","non-dropping-particle":"","parse-names":false,"suffix":""},{"dropping-particle":"","family":"Tinevez","given":"Jean-Yves","non-dropping-particle":"","parse-names":false,"suffix":""},{"dropping-particle":"","family":"White","given":"Daniel James","non-dropping-particle":"","parse-names":false,"suffix":""},{"dropping-particle":"","family":"Hartenstein","given":"Volker","non-dropping-particle":"","parse-names":false,"suffix":""},{"dropping-particle":"","family":"Eliceiri","given":"Kevin","non-dropping-particle":"","parse-names":false,"suffix":""},{"dropping-particle":"","family":"Tomancak","given":"Pavel","non-dropping-particle":"","parse-names":false,"suffix":""},{"dropping-particle":"","family":"Cardona","given":"Albert","non-dropping-particle":"","parse-names":false,"suffix":""}],"container-title":"Nature Methods","id":"ITEM-1","issue":"7","issued":{"date-parts":[["2012","7","28"]]},"page":"676-682","title":"Fiji: an open-source platform for biological-image analysis","type":"article-journal","volume":"9"},"uris":["http://www.mendeley.com/documents/?uuid=97ecc32f-2cab-40fe-a397-d5b8c2173986"]}],"mendeley":{"formattedCitation":"&lt;sup&gt;5&lt;/sup&gt;","plainTextFormattedCitation":"5","previouslyFormattedCitation":"&lt;sup&gt;5&lt;/sup&gt;"},"properties":{"noteIndex":0},"schema":"https://github.com/citation-style-language/schema/raw/master/csl-citation.json"}</w:instrText>
      </w:r>
      <w:r w:rsidR="006E6EBA">
        <w:rPr>
          <w:rFonts w:ascii="Arial" w:hAnsi="Arial" w:cs="Arial"/>
        </w:rPr>
        <w:fldChar w:fldCharType="separate"/>
      </w:r>
      <w:r w:rsidR="00347130" w:rsidRPr="00347130">
        <w:rPr>
          <w:rFonts w:ascii="Arial" w:hAnsi="Arial" w:cs="Arial"/>
          <w:noProof/>
          <w:vertAlign w:val="superscript"/>
        </w:rPr>
        <w:t>5</w:t>
      </w:r>
      <w:r w:rsidR="006E6EBA">
        <w:rPr>
          <w:rFonts w:ascii="Arial" w:hAnsi="Arial" w:cs="Arial"/>
        </w:rPr>
        <w:fldChar w:fldCharType="end"/>
      </w:r>
      <w:r w:rsidR="0081382D">
        <w:rPr>
          <w:rFonts w:ascii="Arial" w:hAnsi="Arial" w:cs="Arial"/>
        </w:rPr>
        <w:t>. In the first step (1), the user has to roughly outline the inner border of the calyx by a segmented line selection</w:t>
      </w:r>
      <w:r w:rsidR="0021384C">
        <w:rPr>
          <w:rFonts w:ascii="Arial" w:hAnsi="Arial" w:cs="Arial"/>
        </w:rPr>
        <w:t xml:space="preserve">. Outlining was performed based on images with WGA staining aided by information from </w:t>
      </w:r>
      <w:proofErr w:type="spellStart"/>
      <w:r w:rsidR="0021384C">
        <w:rPr>
          <w:rFonts w:ascii="Arial" w:hAnsi="Arial" w:cs="Arial"/>
        </w:rPr>
        <w:t>stainings</w:t>
      </w:r>
      <w:proofErr w:type="spellEnd"/>
      <w:r w:rsidR="0021384C">
        <w:rPr>
          <w:rFonts w:ascii="Arial" w:hAnsi="Arial" w:cs="Arial"/>
        </w:rPr>
        <w:t xml:space="preserve"> of active zone </w:t>
      </w:r>
      <w:r w:rsidR="009329D0">
        <w:rPr>
          <w:rFonts w:ascii="Arial" w:hAnsi="Arial" w:cs="Arial"/>
        </w:rPr>
        <w:t xml:space="preserve">(AZ) </w:t>
      </w:r>
      <w:r w:rsidR="0021384C">
        <w:rPr>
          <w:rFonts w:ascii="Arial" w:hAnsi="Arial" w:cs="Arial"/>
        </w:rPr>
        <w:t xml:space="preserve">marker Bassoon and synaptic vesicle markers (e.g. </w:t>
      </w:r>
      <w:proofErr w:type="spellStart"/>
      <w:r w:rsidR="0021384C">
        <w:rPr>
          <w:rFonts w:ascii="Arial" w:hAnsi="Arial" w:cs="Arial"/>
        </w:rPr>
        <w:t>VGlut</w:t>
      </w:r>
      <w:proofErr w:type="spellEnd"/>
      <w:r w:rsidR="0021384C">
        <w:rPr>
          <w:rFonts w:ascii="Arial" w:hAnsi="Arial" w:cs="Arial"/>
        </w:rPr>
        <w:t>)</w:t>
      </w:r>
      <w:r w:rsidR="0081382D">
        <w:rPr>
          <w:rFonts w:ascii="Arial" w:hAnsi="Arial" w:cs="Arial"/>
        </w:rPr>
        <w:t xml:space="preserve">. Subsequently, the plugin can be launched and the line selection is automatically interpolated and split into segments (2). The segments are rotated 90° </w:t>
      </w:r>
      <w:r w:rsidR="005D6B3F">
        <w:rPr>
          <w:rFonts w:ascii="Arial" w:hAnsi="Arial" w:cs="Arial"/>
        </w:rPr>
        <w:t xml:space="preserve">(3) </w:t>
      </w:r>
      <w:r w:rsidR="0081382D">
        <w:rPr>
          <w:rFonts w:ascii="Arial" w:hAnsi="Arial" w:cs="Arial"/>
        </w:rPr>
        <w:t>to e</w:t>
      </w:r>
      <w:r w:rsidR="005D6B3F">
        <w:rPr>
          <w:rFonts w:ascii="Arial" w:hAnsi="Arial" w:cs="Arial"/>
        </w:rPr>
        <w:t xml:space="preserve">nsure that line profiles </w:t>
      </w:r>
      <w:r w:rsidR="0021384C">
        <w:rPr>
          <w:rFonts w:ascii="Arial" w:hAnsi="Arial" w:cs="Arial"/>
        </w:rPr>
        <w:t>will be</w:t>
      </w:r>
      <w:r w:rsidR="005D6B3F">
        <w:rPr>
          <w:rFonts w:ascii="Arial" w:hAnsi="Arial" w:cs="Arial"/>
        </w:rPr>
        <w:t xml:space="preserve"> determined</w:t>
      </w:r>
      <w:r w:rsidR="0081382D">
        <w:rPr>
          <w:rFonts w:ascii="Arial" w:hAnsi="Arial" w:cs="Arial"/>
        </w:rPr>
        <w:t xml:space="preserve"> perpendicularly to the inner calyx </w:t>
      </w:r>
      <w:r w:rsidR="005D6B3F">
        <w:rPr>
          <w:rFonts w:ascii="Arial" w:hAnsi="Arial" w:cs="Arial"/>
        </w:rPr>
        <w:t xml:space="preserve">membrane. In the next step (4), lines are elongated to cover the whole </w:t>
      </w:r>
      <w:proofErr w:type="spellStart"/>
      <w:r w:rsidR="005D6B3F">
        <w:rPr>
          <w:rFonts w:ascii="Arial" w:hAnsi="Arial" w:cs="Arial"/>
        </w:rPr>
        <w:t>presynapse</w:t>
      </w:r>
      <w:proofErr w:type="spellEnd"/>
      <w:r w:rsidR="005D6B3F">
        <w:rPr>
          <w:rFonts w:ascii="Arial" w:hAnsi="Arial" w:cs="Arial"/>
        </w:rPr>
        <w:t xml:space="preserve"> and their width is set to a desired value (for this analysis to 700 nm). The ‘multi plot’ command is executed to collect line profiles from all line profiles per calyx. Line profiles from all analyzed calyces are collected as text files (5) and imported to </w:t>
      </w:r>
      <w:proofErr w:type="spellStart"/>
      <w:r w:rsidR="005D6B3F">
        <w:rPr>
          <w:rFonts w:ascii="Arial" w:hAnsi="Arial" w:cs="Arial"/>
        </w:rPr>
        <w:t>Matlab</w:t>
      </w:r>
      <w:proofErr w:type="spellEnd"/>
      <w:r w:rsidR="005D6B3F">
        <w:rPr>
          <w:rFonts w:ascii="Arial" w:hAnsi="Arial" w:cs="Arial"/>
        </w:rPr>
        <w:t xml:space="preserve"> for further analysis. Peaks corresponding to </w:t>
      </w:r>
      <w:r w:rsidR="0021384C">
        <w:rPr>
          <w:rFonts w:ascii="Arial" w:hAnsi="Arial" w:cs="Arial"/>
        </w:rPr>
        <w:t>calyceal borders are fitted by Gaussian functions</w:t>
      </w:r>
      <w:r w:rsidR="00CE3941">
        <w:rPr>
          <w:rFonts w:ascii="Arial" w:hAnsi="Arial" w:cs="Arial"/>
        </w:rPr>
        <w:t xml:space="preserve"> (6)</w:t>
      </w:r>
      <w:r w:rsidR="0021384C">
        <w:rPr>
          <w:rFonts w:ascii="Arial" w:hAnsi="Arial" w:cs="Arial"/>
        </w:rPr>
        <w:t xml:space="preserve">. </w:t>
      </w:r>
      <w:r w:rsidR="0006521C">
        <w:rPr>
          <w:rFonts w:ascii="Arial" w:hAnsi="Arial" w:cs="Arial"/>
        </w:rPr>
        <w:t>For this purpose</w:t>
      </w:r>
      <w:r w:rsidR="0021384C">
        <w:rPr>
          <w:rFonts w:ascii="Arial" w:hAnsi="Arial" w:cs="Arial"/>
        </w:rPr>
        <w:t xml:space="preserve">, the inner calyx border is </w:t>
      </w:r>
      <w:r w:rsidR="0006521C">
        <w:rPr>
          <w:rFonts w:ascii="Arial" w:hAnsi="Arial" w:cs="Arial"/>
        </w:rPr>
        <w:t xml:space="preserve">localized first </w:t>
      </w:r>
      <w:r w:rsidR="0021384C">
        <w:rPr>
          <w:rFonts w:ascii="Arial" w:hAnsi="Arial" w:cs="Arial"/>
        </w:rPr>
        <w:t>within a defined window</w:t>
      </w:r>
      <w:r w:rsidR="00812D47">
        <w:rPr>
          <w:rFonts w:ascii="Arial" w:hAnsi="Arial" w:cs="Arial"/>
        </w:rPr>
        <w:t>; this fit is very reliable as the distance between the line profile origin and the inner border is nearly constant. As different calyces and calyx stretches have variable thickness, the second border (in this case, outer border) is more difficult to find and fit.</w:t>
      </w:r>
      <w:r w:rsidR="0006521C">
        <w:rPr>
          <w:rFonts w:ascii="Arial" w:hAnsi="Arial" w:cs="Arial"/>
        </w:rPr>
        <w:t xml:space="preserve"> For this purpose, we identified two intensity </w:t>
      </w:r>
      <w:r w:rsidR="0006521C">
        <w:rPr>
          <w:rFonts w:ascii="Arial" w:hAnsi="Arial" w:cs="Arial"/>
        </w:rPr>
        <w:lastRenderedPageBreak/>
        <w:t>minima: a first one that directly follow</w:t>
      </w:r>
      <w:r w:rsidR="006E6EBA">
        <w:rPr>
          <w:rFonts w:ascii="Arial" w:hAnsi="Arial" w:cs="Arial"/>
        </w:rPr>
        <w:t>s</w:t>
      </w:r>
      <w:r w:rsidR="0006521C">
        <w:rPr>
          <w:rFonts w:ascii="Arial" w:hAnsi="Arial" w:cs="Arial"/>
        </w:rPr>
        <w:t xml:space="preserve"> the first border, and a subsequent one (green arrows in panel 6). The strong intensity peak in between those minima is identified as the second border, and its position approximated by a Gaussian function.</w:t>
      </w:r>
      <w:r w:rsidR="00812D47">
        <w:rPr>
          <w:rFonts w:ascii="Arial" w:hAnsi="Arial" w:cs="Arial"/>
        </w:rPr>
        <w:t xml:space="preserve"> </w:t>
      </w:r>
      <w:r w:rsidR="001A2D26">
        <w:rPr>
          <w:rFonts w:ascii="Arial" w:hAnsi="Arial" w:cs="Arial"/>
        </w:rPr>
        <w:t>After WGA profiles from the whole data set have been analyzed, the mean calyx thickness was determined. All WGA profiles (7) as well as profiles of the analyzed proteins of interest (8) were averaged and scaled and aligned according to the mean calyx thickness.</w:t>
      </w:r>
      <w:r w:rsidR="009329D0">
        <w:rPr>
          <w:rFonts w:ascii="Arial" w:hAnsi="Arial" w:cs="Arial"/>
        </w:rPr>
        <w:t xml:space="preserve"> (</w:t>
      </w:r>
      <w:r w:rsidR="009329D0" w:rsidRPr="009329D0">
        <w:rPr>
          <w:rFonts w:ascii="Arial" w:hAnsi="Arial" w:cs="Arial"/>
          <w:b/>
        </w:rPr>
        <w:t>b</w:t>
      </w:r>
      <w:r w:rsidR="009329D0">
        <w:rPr>
          <w:rFonts w:ascii="Arial" w:hAnsi="Arial" w:cs="Arial"/>
        </w:rPr>
        <w:t>) For the analysis of AZ-specific protein distribution, two line profiles in AZ-negative (</w:t>
      </w:r>
      <w:proofErr w:type="gramStart"/>
      <w:r w:rsidR="009329D0">
        <w:rPr>
          <w:rFonts w:ascii="Arial" w:hAnsi="Arial" w:cs="Arial"/>
        </w:rPr>
        <w:t>AZ(</w:t>
      </w:r>
      <w:proofErr w:type="gramEnd"/>
      <w:r w:rsidR="009329D0">
        <w:rPr>
          <w:rFonts w:ascii="Arial" w:hAnsi="Arial" w:cs="Arial"/>
        </w:rPr>
        <w:t xml:space="preserve">-)) and two profiles in AZ-positive (AZ(+)) presynaptic regions were drawn per calyx (using the algorithm described in </w:t>
      </w:r>
      <w:r w:rsidR="009329D0" w:rsidRPr="009329D0">
        <w:rPr>
          <w:rFonts w:ascii="Arial" w:hAnsi="Arial" w:cs="Arial"/>
          <w:b/>
        </w:rPr>
        <w:t>a</w:t>
      </w:r>
      <w:r w:rsidR="009329D0">
        <w:rPr>
          <w:rFonts w:ascii="Arial" w:hAnsi="Arial" w:cs="Arial"/>
        </w:rPr>
        <w:t>). (</w:t>
      </w:r>
      <w:r w:rsidR="009329D0" w:rsidRPr="009329D0">
        <w:rPr>
          <w:rFonts w:ascii="Arial" w:hAnsi="Arial" w:cs="Arial"/>
          <w:b/>
        </w:rPr>
        <w:t>c</w:t>
      </w:r>
      <w:r w:rsidR="009329D0">
        <w:rPr>
          <w:rFonts w:ascii="Arial" w:hAnsi="Arial" w:cs="Arial"/>
        </w:rPr>
        <w:t>) For colocalization analysis, line profiles were truncated to specifically cover only the presynaptic area and converted to area selections (1). Using a custom-written ImageJ plugin</w:t>
      </w:r>
      <w:r w:rsidR="00E50859">
        <w:rPr>
          <w:rFonts w:ascii="Arial" w:hAnsi="Arial" w:cs="Arial"/>
        </w:rPr>
        <w:t>,</w:t>
      </w:r>
      <w:r w:rsidR="009329D0">
        <w:rPr>
          <w:rFonts w:ascii="Arial" w:hAnsi="Arial" w:cs="Arial"/>
        </w:rPr>
        <w:t xml:space="preserve"> all possible combinations of targets </w:t>
      </w:r>
      <w:r w:rsidR="00E50859">
        <w:rPr>
          <w:rFonts w:ascii="Arial" w:hAnsi="Arial" w:cs="Arial"/>
        </w:rPr>
        <w:t xml:space="preserve">underwent Pearson’s colocalization analysis (2). All data were imported to </w:t>
      </w:r>
      <w:proofErr w:type="spellStart"/>
      <w:r w:rsidR="00E50859">
        <w:rPr>
          <w:rFonts w:ascii="Arial" w:hAnsi="Arial" w:cs="Arial"/>
        </w:rPr>
        <w:t>Matlab</w:t>
      </w:r>
      <w:proofErr w:type="spellEnd"/>
      <w:r w:rsidR="00E50859">
        <w:rPr>
          <w:rFonts w:ascii="Arial" w:hAnsi="Arial" w:cs="Arial"/>
        </w:rPr>
        <w:t xml:space="preserve"> to generate colocalization matrices (3), which were imported to Excel where they were averaged and finalized.</w:t>
      </w:r>
      <w:r w:rsidR="00651669">
        <w:rPr>
          <w:rFonts w:ascii="Arial" w:hAnsi="Arial" w:cs="Arial"/>
        </w:rPr>
        <w:t xml:space="preserve"> (</w:t>
      </w:r>
      <w:r w:rsidR="00651669" w:rsidRPr="00651669">
        <w:rPr>
          <w:rFonts w:ascii="Arial" w:hAnsi="Arial" w:cs="Arial"/>
          <w:b/>
        </w:rPr>
        <w:t>a</w:t>
      </w:r>
      <w:r w:rsidR="00651669">
        <w:rPr>
          <w:rFonts w:ascii="Arial" w:hAnsi="Arial" w:cs="Arial"/>
        </w:rPr>
        <w:t>-</w:t>
      </w:r>
      <w:r w:rsidR="00651669" w:rsidRPr="00651669">
        <w:rPr>
          <w:rFonts w:ascii="Arial" w:hAnsi="Arial" w:cs="Arial"/>
          <w:b/>
        </w:rPr>
        <w:t>c</w:t>
      </w:r>
      <w:r w:rsidR="00651669">
        <w:rPr>
          <w:rFonts w:ascii="Arial" w:hAnsi="Arial" w:cs="Arial"/>
        </w:rPr>
        <w:t>) Scale bars correspond to 1 µm.</w:t>
      </w:r>
    </w:p>
    <w:p w14:paraId="63A2E59A" w14:textId="77777777" w:rsidR="00A3326A" w:rsidRDefault="00A3326A">
      <w:pPr>
        <w:rPr>
          <w:rFonts w:ascii="Arial" w:hAnsi="Arial" w:cs="Arial"/>
        </w:rPr>
      </w:pPr>
      <w:r>
        <w:rPr>
          <w:rFonts w:ascii="Arial" w:hAnsi="Arial" w:cs="Arial"/>
        </w:rPr>
        <w:br w:type="page"/>
      </w:r>
    </w:p>
    <w:p w14:paraId="24A627E6" w14:textId="2FFB6225" w:rsidR="00651669" w:rsidRDefault="0058512D" w:rsidP="00420E19">
      <w:pPr>
        <w:jc w:val="both"/>
        <w:rPr>
          <w:rFonts w:ascii="Arial" w:hAnsi="Arial" w:cs="Arial"/>
          <w:b/>
        </w:rPr>
      </w:pPr>
      <w:r>
        <w:rPr>
          <w:rFonts w:ascii="Arial" w:hAnsi="Arial" w:cs="Arial"/>
          <w:b/>
          <w:noProof/>
        </w:rPr>
        <w:lastRenderedPageBreak/>
        <w:drawing>
          <wp:inline distT="0" distB="0" distL="0" distR="0" wp14:anchorId="59F0FF94" wp14:editId="6C4E0DF4">
            <wp:extent cx="5972810" cy="5334000"/>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upplementary_Figure_8.ti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72810" cy="5334000"/>
                    </a:xfrm>
                    <a:prstGeom prst="rect">
                      <a:avLst/>
                    </a:prstGeom>
                  </pic:spPr>
                </pic:pic>
              </a:graphicData>
            </a:graphic>
          </wp:inline>
        </w:drawing>
      </w:r>
    </w:p>
    <w:p w14:paraId="474F7B69" w14:textId="4EE0C24E" w:rsidR="00E12E7E" w:rsidRDefault="00A3326A" w:rsidP="00420E19">
      <w:pPr>
        <w:jc w:val="both"/>
        <w:rPr>
          <w:rFonts w:ascii="Arial" w:hAnsi="Arial" w:cs="Arial"/>
        </w:rPr>
      </w:pPr>
      <w:r>
        <w:rPr>
          <w:rFonts w:ascii="Arial" w:hAnsi="Arial" w:cs="Arial"/>
          <w:b/>
        </w:rPr>
        <w:t>Supplementary Figure 8</w:t>
      </w:r>
      <w:r w:rsidRPr="00C91877">
        <w:rPr>
          <w:rFonts w:ascii="Arial" w:hAnsi="Arial" w:cs="Arial"/>
          <w:b/>
        </w:rPr>
        <w:t xml:space="preserve"> |</w:t>
      </w:r>
      <w:r w:rsidRPr="00E70958">
        <w:rPr>
          <w:rFonts w:ascii="Arial" w:hAnsi="Arial" w:cs="Arial"/>
          <w:b/>
        </w:rPr>
        <w:t xml:space="preserve"> </w:t>
      </w:r>
      <w:r>
        <w:rPr>
          <w:rFonts w:ascii="Arial" w:hAnsi="Arial" w:cs="Arial"/>
          <w:b/>
        </w:rPr>
        <w:t>Averaged line profiles of global and active zone-specific protein distributions</w:t>
      </w:r>
      <w:r w:rsidR="00542800">
        <w:rPr>
          <w:rFonts w:ascii="Arial" w:hAnsi="Arial" w:cs="Arial"/>
          <w:b/>
        </w:rPr>
        <w:t>.</w:t>
      </w:r>
      <w:r w:rsidR="00542800">
        <w:rPr>
          <w:rFonts w:ascii="Arial" w:hAnsi="Arial" w:cs="Arial"/>
        </w:rPr>
        <w:t xml:space="preserve"> (</w:t>
      </w:r>
      <w:r w:rsidR="00542800" w:rsidRPr="00542800">
        <w:rPr>
          <w:rFonts w:ascii="Arial" w:hAnsi="Arial" w:cs="Arial"/>
          <w:b/>
        </w:rPr>
        <w:t>a</w:t>
      </w:r>
      <w:r w:rsidR="00542800">
        <w:rPr>
          <w:rFonts w:ascii="Arial" w:hAnsi="Arial" w:cs="Arial"/>
        </w:rPr>
        <w:t>) All analyzed tubulin (Tub) family members show a similar distribution. (</w:t>
      </w:r>
      <w:r w:rsidR="00542800" w:rsidRPr="00F76E42">
        <w:rPr>
          <w:rFonts w:ascii="Arial" w:hAnsi="Arial" w:cs="Arial"/>
          <w:b/>
        </w:rPr>
        <w:t>b</w:t>
      </w:r>
      <w:r w:rsidR="00542800">
        <w:rPr>
          <w:rFonts w:ascii="Arial" w:hAnsi="Arial" w:cs="Arial"/>
        </w:rPr>
        <w:t xml:space="preserve">) </w:t>
      </w:r>
      <w:r w:rsidR="007F7B8F">
        <w:rPr>
          <w:rFonts w:ascii="Arial" w:hAnsi="Arial" w:cs="Arial"/>
        </w:rPr>
        <w:t>Labels against polymerized actin</w:t>
      </w:r>
      <w:r w:rsidR="00F76E42">
        <w:rPr>
          <w:rFonts w:ascii="Arial" w:hAnsi="Arial" w:cs="Arial"/>
        </w:rPr>
        <w:t xml:space="preserve"> (Act)</w:t>
      </w:r>
      <w:r w:rsidR="007F7B8F">
        <w:rPr>
          <w:rFonts w:ascii="Arial" w:hAnsi="Arial" w:cs="Arial"/>
        </w:rPr>
        <w:t xml:space="preserve"> or against </w:t>
      </w:r>
      <w:r w:rsidR="007F7B8F">
        <w:rPr>
          <w:rFonts w:ascii="Arial" w:hAnsi="Arial" w:cs="Arial"/>
        </w:rPr>
        <w:sym w:font="Symbol" w:char="F061"/>
      </w:r>
      <w:r w:rsidR="00B60CE5">
        <w:rPr>
          <w:rFonts w:ascii="Arial" w:hAnsi="Arial" w:cs="Arial"/>
        </w:rPr>
        <w:t>-</w:t>
      </w:r>
      <w:r w:rsidR="007F7B8F">
        <w:rPr>
          <w:rFonts w:ascii="Arial" w:hAnsi="Arial" w:cs="Arial"/>
        </w:rPr>
        <w:t xml:space="preserve"> and β</w:t>
      </w:r>
      <w:r w:rsidR="00B60CE5">
        <w:rPr>
          <w:rFonts w:ascii="Arial" w:hAnsi="Arial" w:cs="Arial"/>
        </w:rPr>
        <w:t>-</w:t>
      </w:r>
      <w:r w:rsidR="002E7F23">
        <w:rPr>
          <w:rFonts w:ascii="Arial" w:hAnsi="Arial" w:cs="Arial"/>
        </w:rPr>
        <w:t xml:space="preserve">actin </w:t>
      </w:r>
      <w:r w:rsidR="007F7B8F">
        <w:rPr>
          <w:rFonts w:ascii="Arial" w:hAnsi="Arial" w:cs="Arial"/>
        </w:rPr>
        <w:t xml:space="preserve">isoforms </w:t>
      </w:r>
      <w:r w:rsidR="007F2994">
        <w:rPr>
          <w:rFonts w:ascii="Arial" w:hAnsi="Arial" w:cs="Arial"/>
        </w:rPr>
        <w:t>show</w:t>
      </w:r>
      <w:r w:rsidR="002E7F23">
        <w:rPr>
          <w:rFonts w:ascii="Arial" w:hAnsi="Arial" w:cs="Arial"/>
        </w:rPr>
        <w:t xml:space="preserve"> simil</w:t>
      </w:r>
      <w:r w:rsidR="00C93B82">
        <w:rPr>
          <w:rFonts w:ascii="Arial" w:hAnsi="Arial" w:cs="Arial"/>
        </w:rPr>
        <w:t>ar profiles. Interestingly, βIII-</w:t>
      </w:r>
      <w:proofErr w:type="spellStart"/>
      <w:r w:rsidR="00C93B82">
        <w:rPr>
          <w:rFonts w:ascii="Arial" w:hAnsi="Arial" w:cs="Arial"/>
        </w:rPr>
        <w:t>spectrin</w:t>
      </w:r>
      <w:proofErr w:type="spellEnd"/>
      <w:r w:rsidR="00C93B82">
        <w:rPr>
          <w:rFonts w:ascii="Arial" w:hAnsi="Arial" w:cs="Arial"/>
        </w:rPr>
        <w:t xml:space="preserve"> distribution resembles that of actin.</w:t>
      </w:r>
      <w:r w:rsidR="00F76E42">
        <w:rPr>
          <w:rFonts w:ascii="Arial" w:hAnsi="Arial" w:cs="Arial"/>
        </w:rPr>
        <w:t xml:space="preserve"> (</w:t>
      </w:r>
      <w:r w:rsidR="00F76E42" w:rsidRPr="00F76E42">
        <w:rPr>
          <w:rFonts w:ascii="Arial" w:hAnsi="Arial" w:cs="Arial"/>
          <w:b/>
        </w:rPr>
        <w:t>c</w:t>
      </w:r>
      <w:r w:rsidR="00F76E42">
        <w:rPr>
          <w:rFonts w:ascii="Arial" w:hAnsi="Arial" w:cs="Arial"/>
        </w:rPr>
        <w:t xml:space="preserve">) Motor protein </w:t>
      </w:r>
      <w:r w:rsidR="00B60CE5">
        <w:rPr>
          <w:rFonts w:ascii="Arial" w:hAnsi="Arial" w:cs="Arial"/>
        </w:rPr>
        <w:t>m</w:t>
      </w:r>
      <w:r w:rsidR="00F76E42">
        <w:rPr>
          <w:rFonts w:ascii="Arial" w:hAnsi="Arial" w:cs="Arial"/>
        </w:rPr>
        <w:t xml:space="preserve">yosin </w:t>
      </w:r>
      <w:proofErr w:type="spellStart"/>
      <w:r w:rsidR="00F76E42">
        <w:rPr>
          <w:rFonts w:ascii="Arial" w:hAnsi="Arial" w:cs="Arial"/>
        </w:rPr>
        <w:t>Va</w:t>
      </w:r>
      <w:proofErr w:type="spellEnd"/>
      <w:r w:rsidR="00F76E42">
        <w:rPr>
          <w:rFonts w:ascii="Arial" w:hAnsi="Arial" w:cs="Arial"/>
        </w:rPr>
        <w:t xml:space="preserve"> is distributed throughout the </w:t>
      </w:r>
      <w:proofErr w:type="spellStart"/>
      <w:r w:rsidR="00F76E42">
        <w:rPr>
          <w:rFonts w:ascii="Arial" w:hAnsi="Arial" w:cs="Arial"/>
        </w:rPr>
        <w:t>presynapse</w:t>
      </w:r>
      <w:proofErr w:type="spellEnd"/>
      <w:r w:rsidR="00F76E42">
        <w:rPr>
          <w:rFonts w:ascii="Arial" w:hAnsi="Arial" w:cs="Arial"/>
        </w:rPr>
        <w:t xml:space="preserve"> in line with the distribution of its cargo reflected by synaptic vesicle markers </w:t>
      </w:r>
      <w:proofErr w:type="spellStart"/>
      <w:r w:rsidR="00F76E42">
        <w:rPr>
          <w:rFonts w:ascii="Arial" w:hAnsi="Arial" w:cs="Arial"/>
        </w:rPr>
        <w:t>VGlut</w:t>
      </w:r>
      <w:proofErr w:type="spellEnd"/>
      <w:r w:rsidR="00F76E42">
        <w:rPr>
          <w:rFonts w:ascii="Arial" w:hAnsi="Arial" w:cs="Arial"/>
        </w:rPr>
        <w:t xml:space="preserve"> and synaptophysin (</w:t>
      </w:r>
      <w:proofErr w:type="spellStart"/>
      <w:r w:rsidR="00F76E42">
        <w:rPr>
          <w:rFonts w:ascii="Arial" w:hAnsi="Arial" w:cs="Arial"/>
        </w:rPr>
        <w:t>Syp</w:t>
      </w:r>
      <w:proofErr w:type="spellEnd"/>
      <w:r w:rsidR="00F76E42">
        <w:rPr>
          <w:rFonts w:ascii="Arial" w:hAnsi="Arial" w:cs="Arial"/>
        </w:rPr>
        <w:t>). (</w:t>
      </w:r>
      <w:r w:rsidR="00F76E42" w:rsidRPr="00F76E42">
        <w:rPr>
          <w:rFonts w:ascii="Arial" w:hAnsi="Arial" w:cs="Arial"/>
          <w:b/>
        </w:rPr>
        <w:t>d</w:t>
      </w:r>
      <w:r w:rsidR="00F76E42">
        <w:rPr>
          <w:rFonts w:ascii="Arial" w:hAnsi="Arial" w:cs="Arial"/>
        </w:rPr>
        <w:t>) Different markers reflecting the overall geometry of the calyx of Held. (</w:t>
      </w:r>
      <w:r w:rsidR="00F76E42" w:rsidRPr="00F76E42">
        <w:rPr>
          <w:rFonts w:ascii="Arial" w:hAnsi="Arial" w:cs="Arial"/>
          <w:b/>
        </w:rPr>
        <w:t>e</w:t>
      </w:r>
      <w:r w:rsidR="00F76E42">
        <w:rPr>
          <w:rFonts w:ascii="Arial" w:hAnsi="Arial" w:cs="Arial"/>
        </w:rPr>
        <w:t>-</w:t>
      </w:r>
      <w:r w:rsidR="00E12E7E">
        <w:rPr>
          <w:rFonts w:ascii="Arial" w:hAnsi="Arial" w:cs="Arial"/>
          <w:b/>
        </w:rPr>
        <w:t>o</w:t>
      </w:r>
      <w:r w:rsidR="00F76E42">
        <w:rPr>
          <w:rFonts w:ascii="Arial" w:hAnsi="Arial" w:cs="Arial"/>
        </w:rPr>
        <w:t xml:space="preserve">) Distribution of proteins in active zone (AZ) positive versus AZ-negative calyx </w:t>
      </w:r>
      <w:r w:rsidR="00E12E7E">
        <w:rPr>
          <w:rFonts w:ascii="Arial" w:hAnsi="Arial" w:cs="Arial"/>
        </w:rPr>
        <w:t>regions.</w:t>
      </w:r>
      <w:r w:rsidR="00F76E42">
        <w:rPr>
          <w:rFonts w:ascii="Arial" w:hAnsi="Arial" w:cs="Arial"/>
        </w:rPr>
        <w:t xml:space="preserve"> </w:t>
      </w:r>
    </w:p>
    <w:p w14:paraId="2D152C29" w14:textId="77777777" w:rsidR="00E12E7E" w:rsidRDefault="00E12E7E">
      <w:pPr>
        <w:rPr>
          <w:rFonts w:ascii="Arial" w:hAnsi="Arial" w:cs="Arial"/>
        </w:rPr>
      </w:pPr>
      <w:r>
        <w:rPr>
          <w:rFonts w:ascii="Arial" w:hAnsi="Arial" w:cs="Arial"/>
        </w:rPr>
        <w:br w:type="page"/>
      </w:r>
    </w:p>
    <w:p w14:paraId="1A436411" w14:textId="6C56B690" w:rsidR="00651669" w:rsidRDefault="00A7286B" w:rsidP="00420E19">
      <w:pPr>
        <w:jc w:val="both"/>
        <w:rPr>
          <w:rFonts w:ascii="Arial" w:hAnsi="Arial" w:cs="Arial"/>
          <w:b/>
        </w:rPr>
      </w:pPr>
      <w:r>
        <w:rPr>
          <w:rFonts w:ascii="Arial" w:hAnsi="Arial" w:cs="Arial"/>
          <w:b/>
          <w:noProof/>
        </w:rPr>
        <w:lastRenderedPageBreak/>
        <w:drawing>
          <wp:inline distT="0" distB="0" distL="0" distR="0" wp14:anchorId="2330034E" wp14:editId="46185F4E">
            <wp:extent cx="5972810" cy="2212975"/>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upplementary_Figure_9.t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72810" cy="2212975"/>
                    </a:xfrm>
                    <a:prstGeom prst="rect">
                      <a:avLst/>
                    </a:prstGeom>
                  </pic:spPr>
                </pic:pic>
              </a:graphicData>
            </a:graphic>
          </wp:inline>
        </w:drawing>
      </w:r>
    </w:p>
    <w:p w14:paraId="53DB4D5F" w14:textId="7847B718" w:rsidR="00C97497" w:rsidRDefault="00E12E7E" w:rsidP="00420E19">
      <w:pPr>
        <w:jc w:val="both"/>
        <w:rPr>
          <w:rFonts w:ascii="Arial" w:hAnsi="Arial" w:cs="Arial"/>
        </w:rPr>
      </w:pPr>
      <w:r>
        <w:rPr>
          <w:rFonts w:ascii="Arial" w:hAnsi="Arial" w:cs="Arial"/>
          <w:b/>
        </w:rPr>
        <w:t>Supplementary Figure 9</w:t>
      </w:r>
      <w:r w:rsidRPr="00C91877">
        <w:rPr>
          <w:rFonts w:ascii="Arial" w:hAnsi="Arial" w:cs="Arial"/>
          <w:b/>
        </w:rPr>
        <w:t xml:space="preserve"> |</w:t>
      </w:r>
      <w:r w:rsidRPr="00E70958">
        <w:rPr>
          <w:rFonts w:ascii="Arial" w:hAnsi="Arial" w:cs="Arial"/>
          <w:b/>
        </w:rPr>
        <w:t xml:space="preserve"> </w:t>
      </w:r>
      <w:r>
        <w:rPr>
          <w:rFonts w:ascii="Arial" w:hAnsi="Arial" w:cs="Arial"/>
          <w:b/>
        </w:rPr>
        <w:t>Colocalization matrix.</w:t>
      </w:r>
      <w:r>
        <w:rPr>
          <w:rFonts w:ascii="Arial" w:hAnsi="Arial" w:cs="Arial"/>
        </w:rPr>
        <w:t xml:space="preserve"> Pearson’s r values for the colocalization matrix shown in </w:t>
      </w:r>
      <w:r w:rsidRPr="00B60CE5">
        <w:rPr>
          <w:rFonts w:ascii="Arial" w:hAnsi="Arial" w:cs="Arial"/>
          <w:b/>
        </w:rPr>
        <w:t>Figure 3m</w:t>
      </w:r>
      <w:r>
        <w:rPr>
          <w:rFonts w:ascii="Arial" w:hAnsi="Arial" w:cs="Arial"/>
        </w:rPr>
        <w:t>.</w:t>
      </w:r>
    </w:p>
    <w:p w14:paraId="7247FB7E" w14:textId="77777777" w:rsidR="00C97497" w:rsidRDefault="00C97497">
      <w:pPr>
        <w:rPr>
          <w:rFonts w:ascii="Arial" w:hAnsi="Arial" w:cs="Arial"/>
        </w:rPr>
      </w:pPr>
      <w:r>
        <w:rPr>
          <w:rFonts w:ascii="Arial" w:hAnsi="Arial" w:cs="Arial"/>
        </w:rPr>
        <w:br w:type="page"/>
      </w:r>
    </w:p>
    <w:p w14:paraId="1676593F" w14:textId="77777777" w:rsidR="000B31FB" w:rsidRDefault="00C97497" w:rsidP="00C97497">
      <w:pPr>
        <w:jc w:val="both"/>
        <w:rPr>
          <w:rFonts w:ascii="Arial" w:hAnsi="Arial" w:cs="Arial"/>
          <w:b/>
        </w:rPr>
      </w:pPr>
      <w:r w:rsidRPr="00B60CE5">
        <w:rPr>
          <w:rFonts w:ascii="Arial" w:hAnsi="Arial" w:cs="Arial"/>
          <w:b/>
        </w:rPr>
        <w:lastRenderedPageBreak/>
        <w:t>Supplementary Note 1</w:t>
      </w:r>
      <w:r w:rsidR="00DF00FD">
        <w:rPr>
          <w:rFonts w:ascii="Arial" w:hAnsi="Arial" w:cs="Arial"/>
          <w:b/>
        </w:rPr>
        <w:t xml:space="preserve"> </w:t>
      </w:r>
    </w:p>
    <w:p w14:paraId="66ACB71B" w14:textId="09D24037" w:rsidR="000B31FB" w:rsidRPr="000B31FB" w:rsidRDefault="000B31FB" w:rsidP="000B31FB">
      <w:pPr>
        <w:jc w:val="both"/>
        <w:rPr>
          <w:rFonts w:ascii="Arial" w:hAnsi="Arial" w:cs="Arial"/>
          <w:i/>
        </w:rPr>
      </w:pPr>
      <w:r w:rsidRPr="000B31FB">
        <w:rPr>
          <w:rFonts w:ascii="Arial" w:hAnsi="Arial" w:cs="Arial"/>
          <w:i/>
        </w:rPr>
        <w:t xml:space="preserve">Extended information </w:t>
      </w:r>
      <w:r w:rsidR="008D17DE">
        <w:rPr>
          <w:rFonts w:ascii="Arial" w:hAnsi="Arial" w:cs="Arial"/>
          <w:i/>
        </w:rPr>
        <w:t>relating to</w:t>
      </w:r>
      <w:r w:rsidRPr="000B31FB">
        <w:rPr>
          <w:rFonts w:ascii="Arial" w:hAnsi="Arial" w:cs="Arial"/>
          <w:i/>
        </w:rPr>
        <w:t xml:space="preserve"> </w:t>
      </w:r>
      <w:r w:rsidR="008D17DE">
        <w:rPr>
          <w:rFonts w:ascii="Arial" w:hAnsi="Arial" w:cs="Arial"/>
          <w:i/>
        </w:rPr>
        <w:t>c</w:t>
      </w:r>
      <w:r>
        <w:rPr>
          <w:rFonts w:ascii="Arial" w:hAnsi="Arial" w:cs="Arial"/>
          <w:i/>
        </w:rPr>
        <w:t xml:space="preserve">ontrol experiments </w:t>
      </w:r>
      <w:r w:rsidR="008D17DE">
        <w:rPr>
          <w:rFonts w:ascii="Arial" w:hAnsi="Arial" w:cs="Arial"/>
          <w:i/>
        </w:rPr>
        <w:t>assessing</w:t>
      </w:r>
      <w:r>
        <w:rPr>
          <w:rFonts w:ascii="Arial" w:hAnsi="Arial" w:cs="Arial"/>
          <w:i/>
        </w:rPr>
        <w:t xml:space="preserve"> signal removal </w:t>
      </w:r>
      <w:r w:rsidR="008D17DE">
        <w:rPr>
          <w:rFonts w:ascii="Arial" w:hAnsi="Arial" w:cs="Arial"/>
          <w:i/>
        </w:rPr>
        <w:t xml:space="preserve">after each staining round </w:t>
      </w:r>
      <w:r w:rsidRPr="000B31FB">
        <w:rPr>
          <w:rFonts w:ascii="Arial" w:hAnsi="Arial" w:cs="Arial"/>
          <w:i/>
        </w:rPr>
        <w:t>(</w:t>
      </w:r>
      <w:r w:rsidRPr="00E12020">
        <w:rPr>
          <w:rFonts w:ascii="Arial" w:hAnsi="Arial" w:cs="Arial"/>
          <w:b/>
          <w:i/>
        </w:rPr>
        <w:t xml:space="preserve">Supplementary </w:t>
      </w:r>
      <w:r w:rsidRPr="000B31FB">
        <w:rPr>
          <w:rFonts w:ascii="Arial" w:hAnsi="Arial" w:cs="Arial"/>
          <w:b/>
          <w:i/>
        </w:rPr>
        <w:t>Fig</w:t>
      </w:r>
      <w:r>
        <w:rPr>
          <w:rFonts w:ascii="Arial" w:hAnsi="Arial" w:cs="Arial"/>
          <w:b/>
          <w:i/>
        </w:rPr>
        <w:t>.</w:t>
      </w:r>
      <w:r w:rsidRPr="000B31FB">
        <w:rPr>
          <w:rFonts w:ascii="Arial" w:hAnsi="Arial" w:cs="Arial"/>
          <w:b/>
          <w:i/>
        </w:rPr>
        <w:t xml:space="preserve"> 3a</w:t>
      </w:r>
      <w:r w:rsidRPr="000B31FB">
        <w:rPr>
          <w:rFonts w:ascii="Arial" w:hAnsi="Arial" w:cs="Arial"/>
          <w:i/>
        </w:rPr>
        <w:t>)</w:t>
      </w:r>
    </w:p>
    <w:p w14:paraId="17C526DF" w14:textId="61F636D9" w:rsidR="00C97497" w:rsidRPr="00B60CE5" w:rsidRDefault="00C97497" w:rsidP="00C97497">
      <w:pPr>
        <w:jc w:val="both"/>
        <w:rPr>
          <w:rFonts w:ascii="Arial" w:hAnsi="Arial" w:cs="Arial"/>
        </w:rPr>
      </w:pPr>
      <w:r w:rsidRPr="00B60CE5">
        <w:rPr>
          <w:rFonts w:ascii="Arial" w:hAnsi="Arial" w:cs="Arial"/>
        </w:rPr>
        <w:t>We thoroughly assessed the performance of re-staining, bleaching, and elution with the following workflow</w:t>
      </w:r>
      <w:r w:rsidR="008D17DE">
        <w:rPr>
          <w:rFonts w:ascii="Arial" w:hAnsi="Arial" w:cs="Arial"/>
        </w:rPr>
        <w:t>,</w:t>
      </w:r>
      <w:r w:rsidRPr="00B60CE5">
        <w:rPr>
          <w:rFonts w:ascii="Arial" w:hAnsi="Arial" w:cs="Arial"/>
        </w:rPr>
        <w:t xml:space="preserve"> using Tom20 staining as a test case. For each control condition (</w:t>
      </w:r>
      <w:r w:rsidR="005E7DA3" w:rsidRPr="005E7DA3">
        <w:rPr>
          <w:rFonts w:ascii="Arial" w:hAnsi="Arial" w:cs="Arial"/>
          <w:b/>
        </w:rPr>
        <w:t xml:space="preserve">Supplementary </w:t>
      </w:r>
      <w:r w:rsidRPr="005E7DA3">
        <w:rPr>
          <w:rFonts w:ascii="Arial" w:hAnsi="Arial" w:cs="Arial"/>
          <w:b/>
        </w:rPr>
        <w:t>Fig. 3a</w:t>
      </w:r>
      <w:r w:rsidRPr="00B60CE5">
        <w:rPr>
          <w:rFonts w:ascii="Arial" w:hAnsi="Arial" w:cs="Arial"/>
        </w:rPr>
        <w:t xml:space="preserve">), three </w:t>
      </w:r>
      <w:proofErr w:type="spellStart"/>
      <w:r w:rsidRPr="00B60CE5">
        <w:rPr>
          <w:rFonts w:ascii="Arial" w:hAnsi="Arial" w:cs="Arial"/>
          <w:i/>
        </w:rPr>
        <w:t>d</w:t>
      </w:r>
      <w:r w:rsidRPr="00B60CE5">
        <w:rPr>
          <w:rFonts w:ascii="Arial" w:hAnsi="Arial" w:cs="Arial"/>
        </w:rPr>
        <w:t>STORM</w:t>
      </w:r>
      <w:proofErr w:type="spellEnd"/>
      <w:r w:rsidRPr="00B60CE5">
        <w:rPr>
          <w:rFonts w:ascii="Arial" w:hAnsi="Arial" w:cs="Arial"/>
        </w:rPr>
        <w:t xml:space="preserve"> imaging experiments (with three acquisitions per experiment and three ROIs per acquisition) were conducted, from which we quantified the fluorescence intensity by determining the number of single-molecule localizations. In between single imaging experiments, we eventually integrated an additional step, i.e. photobleaching the sample, elution of antibodies, or re-stai</w:t>
      </w:r>
      <w:r w:rsidR="005E7DA3">
        <w:rPr>
          <w:rFonts w:ascii="Arial" w:hAnsi="Arial" w:cs="Arial"/>
        </w:rPr>
        <w:t>ning with a secondary antibody.</w:t>
      </w:r>
    </w:p>
    <w:p w14:paraId="0170FE2D" w14:textId="004DAEC2" w:rsidR="00C97497" w:rsidRPr="00B60CE5" w:rsidRDefault="00C97497" w:rsidP="00C97497">
      <w:pPr>
        <w:jc w:val="both"/>
        <w:rPr>
          <w:rFonts w:ascii="Arial" w:hAnsi="Arial" w:cs="Arial"/>
        </w:rPr>
      </w:pPr>
      <w:r w:rsidRPr="00B60CE5">
        <w:rPr>
          <w:rFonts w:ascii="Arial" w:hAnsi="Arial" w:cs="Arial"/>
        </w:rPr>
        <w:t xml:space="preserve">First, we determined the fluorescence intensity in three consecutive </w:t>
      </w:r>
      <w:proofErr w:type="spellStart"/>
      <w:r w:rsidRPr="00DF00FD">
        <w:rPr>
          <w:rFonts w:ascii="Arial" w:hAnsi="Arial" w:cs="Arial"/>
          <w:i/>
        </w:rPr>
        <w:t>d</w:t>
      </w:r>
      <w:r w:rsidRPr="00B60CE5">
        <w:rPr>
          <w:rFonts w:ascii="Arial" w:hAnsi="Arial" w:cs="Arial"/>
        </w:rPr>
        <w:t>STORM</w:t>
      </w:r>
      <w:proofErr w:type="spellEnd"/>
      <w:r w:rsidRPr="00B60CE5">
        <w:rPr>
          <w:rFonts w:ascii="Arial" w:hAnsi="Arial" w:cs="Arial"/>
        </w:rPr>
        <w:t xml:space="preserve"> experiments performed with identical imaging conditions (first data set in </w:t>
      </w:r>
      <w:r w:rsidR="005E7DA3" w:rsidRPr="005E7DA3">
        <w:rPr>
          <w:rFonts w:ascii="Arial" w:hAnsi="Arial" w:cs="Arial"/>
          <w:b/>
        </w:rPr>
        <w:t>Supplementary Fig. 3a</w:t>
      </w:r>
      <w:r w:rsidRPr="00B60CE5">
        <w:rPr>
          <w:rFonts w:ascii="Arial" w:hAnsi="Arial" w:cs="Arial"/>
        </w:rPr>
        <w:t>). We quantified the fluorescence intensity per image by determining the number of localizations, and we normalized the numbers obtained for the second and third experiment to the first one. Under our experimental conditions, we find the expected decrease in fluorescence intensity caused by</w:t>
      </w:r>
      <w:r w:rsidR="009D4961" w:rsidRPr="00B60CE5" w:rsidDel="009D4961">
        <w:rPr>
          <w:rFonts w:ascii="Arial" w:hAnsi="Arial" w:cs="Arial"/>
        </w:rPr>
        <w:t xml:space="preserve"> </w:t>
      </w:r>
      <w:r w:rsidRPr="00B60CE5">
        <w:rPr>
          <w:rFonts w:ascii="Arial" w:hAnsi="Arial" w:cs="Arial"/>
        </w:rPr>
        <w:t>photobleaching of some of the fluorophore labels</w:t>
      </w:r>
      <w:r w:rsidR="001E05DB" w:rsidRPr="00B60CE5">
        <w:rPr>
          <w:rFonts w:ascii="Arial" w:hAnsi="Arial" w:cs="Arial"/>
        </w:rPr>
        <w:t xml:space="preserve"> (see </w:t>
      </w:r>
      <w:r w:rsidR="005E7DA3" w:rsidRPr="005E7DA3">
        <w:rPr>
          <w:rFonts w:ascii="Arial" w:hAnsi="Arial" w:cs="Arial"/>
          <w:b/>
        </w:rPr>
        <w:t xml:space="preserve">Supplementary Fig. </w:t>
      </w:r>
      <w:r w:rsidR="005E7DA3">
        <w:rPr>
          <w:rFonts w:ascii="Arial" w:hAnsi="Arial" w:cs="Arial"/>
          <w:b/>
        </w:rPr>
        <w:t>3b</w:t>
      </w:r>
      <w:r w:rsidR="005E7DA3" w:rsidRPr="00DF00FD">
        <w:rPr>
          <w:rFonts w:ascii="Arial" w:hAnsi="Arial" w:cs="Arial"/>
        </w:rPr>
        <w:t xml:space="preserve"> </w:t>
      </w:r>
      <w:r w:rsidR="001E05DB" w:rsidRPr="00DF00FD">
        <w:rPr>
          <w:rFonts w:ascii="Arial" w:hAnsi="Arial" w:cs="Arial"/>
        </w:rPr>
        <w:t>for graphical illustration</w:t>
      </w:r>
      <w:r w:rsidR="001E05DB" w:rsidRPr="00B60CE5">
        <w:rPr>
          <w:rFonts w:ascii="Arial" w:hAnsi="Arial" w:cs="Arial"/>
        </w:rPr>
        <w:t>)</w:t>
      </w:r>
      <w:r w:rsidRPr="00B60CE5">
        <w:rPr>
          <w:rFonts w:ascii="Arial" w:hAnsi="Arial" w:cs="Arial"/>
        </w:rPr>
        <w:t xml:space="preserve">. </w:t>
      </w:r>
    </w:p>
    <w:p w14:paraId="66D3AA8F" w14:textId="77777777" w:rsidR="00C97497" w:rsidRPr="00B60CE5" w:rsidRDefault="00C97497" w:rsidP="00C97497">
      <w:pPr>
        <w:jc w:val="both"/>
        <w:rPr>
          <w:rFonts w:ascii="Arial" w:hAnsi="Arial" w:cs="Arial"/>
        </w:rPr>
      </w:pPr>
      <w:r w:rsidRPr="00B60CE5">
        <w:rPr>
          <w:rFonts w:ascii="Arial" w:hAnsi="Arial" w:cs="Arial"/>
        </w:rPr>
        <w:t xml:space="preserve">Second, we performed an experiment with three consecutive </w:t>
      </w:r>
      <w:proofErr w:type="spellStart"/>
      <w:r w:rsidRPr="00B60CE5">
        <w:rPr>
          <w:rFonts w:ascii="Arial" w:hAnsi="Arial" w:cs="Arial"/>
          <w:i/>
        </w:rPr>
        <w:t>d</w:t>
      </w:r>
      <w:r w:rsidRPr="00B60CE5">
        <w:rPr>
          <w:rFonts w:ascii="Arial" w:hAnsi="Arial" w:cs="Arial"/>
        </w:rPr>
        <w:t>STORM</w:t>
      </w:r>
      <w:proofErr w:type="spellEnd"/>
      <w:r w:rsidRPr="00B60CE5">
        <w:rPr>
          <w:rFonts w:ascii="Arial" w:hAnsi="Arial" w:cs="Arial"/>
        </w:rPr>
        <w:t xml:space="preserve"> acquisitions, but labeled again with the same fluorophore-labeled secondary antibody prior to the third imaging round (second data set). We find similar fluorescence intensities as in the first data set, despite re-labeling with the secondary antibody. This result tells us that the secondary antibody labeling reached saturation. </w:t>
      </w:r>
    </w:p>
    <w:p w14:paraId="61432237" w14:textId="1FB8CE7C" w:rsidR="00C97497" w:rsidRPr="00DF00FD" w:rsidRDefault="00C97497" w:rsidP="00C97497">
      <w:pPr>
        <w:jc w:val="both"/>
        <w:rPr>
          <w:rFonts w:ascii="Arial" w:hAnsi="Arial" w:cs="Arial"/>
          <w:lang w:val="de-DE"/>
        </w:rPr>
      </w:pPr>
      <w:r w:rsidRPr="00B60CE5">
        <w:rPr>
          <w:rFonts w:ascii="Arial" w:hAnsi="Arial" w:cs="Arial"/>
        </w:rPr>
        <w:t xml:space="preserve">Third, we recorded three </w:t>
      </w:r>
      <w:proofErr w:type="spellStart"/>
      <w:r w:rsidRPr="00B60CE5">
        <w:rPr>
          <w:rFonts w:ascii="Arial" w:hAnsi="Arial" w:cs="Arial"/>
          <w:i/>
        </w:rPr>
        <w:t>d</w:t>
      </w:r>
      <w:r w:rsidRPr="00B60CE5">
        <w:rPr>
          <w:rFonts w:ascii="Arial" w:hAnsi="Arial" w:cs="Arial"/>
        </w:rPr>
        <w:t>STORM</w:t>
      </w:r>
      <w:proofErr w:type="spellEnd"/>
      <w:r w:rsidRPr="00B60CE5">
        <w:rPr>
          <w:rFonts w:ascii="Arial" w:hAnsi="Arial" w:cs="Arial"/>
        </w:rPr>
        <w:t xml:space="preserve"> data sets, yet now photobleached the remaining fluorescence signal after the first acquisition by applying high irradiation intensities</w:t>
      </w:r>
      <w:r w:rsidR="00DF00FD">
        <w:rPr>
          <w:rFonts w:ascii="Arial" w:hAnsi="Arial" w:cs="Arial"/>
        </w:rPr>
        <w:t xml:space="preserve"> (see </w:t>
      </w:r>
      <w:r w:rsidR="00DF00FD" w:rsidRPr="00DF00FD">
        <w:rPr>
          <w:rFonts w:ascii="Arial" w:hAnsi="Arial" w:cs="Arial"/>
          <w:b/>
        </w:rPr>
        <w:t>Online Methods</w:t>
      </w:r>
      <w:r w:rsidR="00DF00FD">
        <w:rPr>
          <w:rFonts w:ascii="Arial" w:hAnsi="Arial" w:cs="Arial"/>
        </w:rPr>
        <w:t>)</w:t>
      </w:r>
      <w:r w:rsidRPr="00B60CE5">
        <w:rPr>
          <w:rFonts w:ascii="Arial" w:hAnsi="Arial" w:cs="Arial"/>
        </w:rPr>
        <w:t>. The second imaging round showed us that bleaching was efficient since the fluorescence intensity dropped to background level. Prior to the third experiment, we relabeled the sample again with the same fluorophore-labeled secondary antibody. We found a recovery of the fluorescence intensity, which we explain by photo-induced unbinding of the secondary antibody through high-intensity illumination of the sample during the photobleaching step. We find similar ratios of recovery (about 45%) as reported in the literature</w:t>
      </w:r>
      <w:r w:rsidR="00DF00FD">
        <w:rPr>
          <w:rFonts w:ascii="Arial" w:hAnsi="Arial" w:cs="Arial"/>
        </w:rPr>
        <w:fldChar w:fldCharType="begin" w:fldLock="1"/>
      </w:r>
      <w:r w:rsidR="00351FE9">
        <w:rPr>
          <w:rFonts w:ascii="Arial" w:hAnsi="Arial" w:cs="Arial"/>
        </w:rPr>
        <w:instrText>ADDIN CSL_CITATION {"citationItems":[{"id":"ITEM-1","itemData":{"DOI":"10.1021/jp8060152","ISSN":"1520-6106","abstract":"Confocal and two-photon fluorescence microscopy techniques using genetically encoded fluorescent probes are widely used in cell biology. Beyond the common problems of photobleaching and phototoxicity, we present evidence that photounbinding also has the potential to compromise such methods, especially in quantitative studies. We show that laser intensities within excitation regimes typical for imaging approaches such as as fluorescence recovery after photobleaching (FRAP), photolysis, or fluorescence correlation spectroscopy (FCS) experiments can cause the dissociation of antibodies from their ligands. Indeed, both one- and two-photon excitation of a fluorescent anti-GFP antibody caused its dissociation from immobilized GFP in vitro. Importantly, with two-photon excitation, the laser intensity threshold for photobleaching was the same as for photounbinding. By contrast, with single-photon excitation, we found a range of laser intensities where photobleaching can be separated from photounbinding. This photounbinding effect was visualized and measured by rebinding a second fluorescent anti-GFP (Green Fluorescent Protein) antibody, indicating that the GFP remained functional for reassociation following the photoinduced dissociation. Finally, we show that this unbinding effect occurs only when at least one binding partner carries a fluorescent label. Our results show that this photounbinding effect can readily remain masked or be misinterpreted as photobleaching, which can compromise the quantitative interpretation of binding studies made using fluorescence microscopy.","author":[{"dropping-particle":"","family":"Heinze","given":"Katrin G.","non-dropping-particle":"","parse-names":false,"suffix":""},{"dropping-particle":"","family":"Costantino","given":"Santiago","non-dropping-particle":"","parse-names":false,"suffix":""},{"dropping-particle":"","family":"Koninck","given":"Paul","non-dropping-particle":"De","parse-names":false,"suffix":""},{"dropping-particle":"","family":"Wiseman","given":"Paul W.","non-dropping-particle":"","parse-names":false,"suffix":""}],"container-title":"The Journal of Physical Chemistry B","id":"ITEM-1","issue":"15","issued":{"date-parts":[["2009","4","16"]]},"page":"5225-5233","title":"Beyond Photobleaching, Laser Illumination Unbinds Fluorescent Proteins","type":"article-journal","volume":"113"},"uris":["http://www.mendeley.com/documents/?uuid=4f8ab9d8-7aa8-44da-a2f2-b0f9ae70e9c9"]}],"mendeley":{"formattedCitation":"&lt;sup&gt;6&lt;/sup&gt;","plainTextFormattedCitation":"6","previouslyFormattedCitation":"&lt;sup&gt;6&lt;/sup&gt;"},"properties":{"noteIndex":0},"schema":"https://github.com/citation-style-language/schema/raw/master/csl-citation.json"}</w:instrText>
      </w:r>
      <w:r w:rsidR="00DF00FD">
        <w:rPr>
          <w:rFonts w:ascii="Arial" w:hAnsi="Arial" w:cs="Arial"/>
        </w:rPr>
        <w:fldChar w:fldCharType="separate"/>
      </w:r>
      <w:r w:rsidR="00347130" w:rsidRPr="00347130">
        <w:rPr>
          <w:rFonts w:ascii="Arial" w:hAnsi="Arial" w:cs="Arial"/>
          <w:noProof/>
          <w:vertAlign w:val="superscript"/>
          <w:lang w:val="de-DE"/>
        </w:rPr>
        <w:t>6</w:t>
      </w:r>
      <w:r w:rsidR="00DF00FD">
        <w:rPr>
          <w:rFonts w:ascii="Arial" w:hAnsi="Arial" w:cs="Arial"/>
        </w:rPr>
        <w:fldChar w:fldCharType="end"/>
      </w:r>
      <w:r w:rsidR="00DF00FD">
        <w:rPr>
          <w:rFonts w:ascii="Arial" w:hAnsi="Arial" w:cs="Arial"/>
        </w:rPr>
        <w:t>.</w:t>
      </w:r>
    </w:p>
    <w:p w14:paraId="67847D5B" w14:textId="6DFDE4D6" w:rsidR="00C97497" w:rsidRPr="00B60CE5" w:rsidRDefault="00C97497" w:rsidP="00C97497">
      <w:pPr>
        <w:jc w:val="both"/>
        <w:rPr>
          <w:rFonts w:ascii="Arial" w:hAnsi="Arial" w:cs="Arial"/>
        </w:rPr>
      </w:pPr>
      <w:r w:rsidRPr="00B60CE5">
        <w:rPr>
          <w:rFonts w:ascii="Arial" w:hAnsi="Arial" w:cs="Arial"/>
        </w:rPr>
        <w:t>Fourth, we explored the efficiency of elution</w:t>
      </w:r>
      <w:r w:rsidR="00B7410B">
        <w:rPr>
          <w:rFonts w:ascii="Arial" w:hAnsi="Arial" w:cs="Arial"/>
        </w:rPr>
        <w:t xml:space="preserve"> (see </w:t>
      </w:r>
      <w:r w:rsidR="00B7410B" w:rsidRPr="00DF00FD">
        <w:rPr>
          <w:rFonts w:ascii="Arial" w:hAnsi="Arial" w:cs="Arial"/>
          <w:b/>
        </w:rPr>
        <w:t>Online Methods</w:t>
      </w:r>
      <w:r w:rsidR="00B7410B">
        <w:rPr>
          <w:rFonts w:ascii="Arial" w:hAnsi="Arial" w:cs="Arial"/>
        </w:rPr>
        <w:t>)</w:t>
      </w:r>
      <w:r w:rsidRPr="00B60CE5">
        <w:rPr>
          <w:rFonts w:ascii="Arial" w:hAnsi="Arial" w:cs="Arial"/>
        </w:rPr>
        <w:t xml:space="preserve">. After the first </w:t>
      </w:r>
      <w:r w:rsidR="008D3D53" w:rsidRPr="00DF00FD">
        <w:rPr>
          <w:rFonts w:ascii="Arial" w:hAnsi="Arial" w:cs="Arial"/>
        </w:rPr>
        <w:t>imaging</w:t>
      </w:r>
      <w:r w:rsidR="008D3D53" w:rsidRPr="00B60CE5">
        <w:rPr>
          <w:rFonts w:ascii="Arial" w:hAnsi="Arial" w:cs="Arial"/>
        </w:rPr>
        <w:t xml:space="preserve"> round</w:t>
      </w:r>
      <w:r w:rsidRPr="00B60CE5">
        <w:rPr>
          <w:rFonts w:ascii="Arial" w:hAnsi="Arial" w:cs="Arial"/>
        </w:rPr>
        <w:t>, we eluted the antibodies, and we observed a decrease in fluorescence intensity. A third imaging round shows a decreased intensity as observed in condition one and two.</w:t>
      </w:r>
    </w:p>
    <w:p w14:paraId="60CA030B" w14:textId="4B3E9462" w:rsidR="00C97497" w:rsidRPr="00B60CE5" w:rsidRDefault="00C97497" w:rsidP="00C97497">
      <w:pPr>
        <w:jc w:val="both"/>
        <w:rPr>
          <w:rFonts w:ascii="Arial" w:hAnsi="Arial" w:cs="Arial"/>
        </w:rPr>
      </w:pPr>
      <w:r w:rsidRPr="00B60CE5">
        <w:rPr>
          <w:rFonts w:ascii="Arial" w:hAnsi="Arial" w:cs="Arial"/>
        </w:rPr>
        <w:t xml:space="preserve">Fifth, we explored the efficiency of both photobleaching and elution after the first imaging round. </w:t>
      </w:r>
      <w:r w:rsidR="00DF00FD">
        <w:rPr>
          <w:rFonts w:ascii="Arial" w:hAnsi="Arial" w:cs="Arial"/>
        </w:rPr>
        <w:t xml:space="preserve">After the initial staining, we first exposed the sample to the elution buffer followed by </w:t>
      </w:r>
      <w:r w:rsidR="00B7410B">
        <w:rPr>
          <w:rFonts w:ascii="Arial" w:hAnsi="Arial" w:cs="Arial"/>
        </w:rPr>
        <w:t xml:space="preserve">a </w:t>
      </w:r>
      <w:r w:rsidR="00DF00FD">
        <w:rPr>
          <w:rFonts w:ascii="Arial" w:hAnsi="Arial" w:cs="Arial"/>
        </w:rPr>
        <w:t>photobleaching</w:t>
      </w:r>
      <w:r w:rsidR="00B7410B">
        <w:rPr>
          <w:rFonts w:ascii="Arial" w:hAnsi="Arial" w:cs="Arial"/>
        </w:rPr>
        <w:t xml:space="preserve"> step</w:t>
      </w:r>
      <w:r w:rsidR="00DF00FD">
        <w:rPr>
          <w:rFonts w:ascii="Arial" w:hAnsi="Arial" w:cs="Arial"/>
        </w:rPr>
        <w:t xml:space="preserve">. </w:t>
      </w:r>
      <w:r w:rsidRPr="00B60CE5">
        <w:rPr>
          <w:rFonts w:ascii="Arial" w:hAnsi="Arial" w:cs="Arial"/>
        </w:rPr>
        <w:t xml:space="preserve">We found the fluorescence intensity to drop to background level. Re-staining with the same secondary antibody recovers fluorescence signal (to </w:t>
      </w:r>
      <w:r w:rsidR="00DF00FD">
        <w:rPr>
          <w:rFonts w:ascii="Arial" w:hAnsi="Arial" w:cs="Arial"/>
        </w:rPr>
        <w:t>~</w:t>
      </w:r>
      <w:r w:rsidRPr="00B60CE5">
        <w:rPr>
          <w:rFonts w:ascii="Arial" w:hAnsi="Arial" w:cs="Arial"/>
        </w:rPr>
        <w:t>7.5%), which we attribute to photo-unbinding of the secondary antibody</w:t>
      </w:r>
      <w:r w:rsidR="00DF00FD">
        <w:rPr>
          <w:rFonts w:ascii="Arial" w:hAnsi="Arial" w:cs="Arial"/>
        </w:rPr>
        <w:fldChar w:fldCharType="begin" w:fldLock="1"/>
      </w:r>
      <w:r w:rsidR="00351FE9">
        <w:rPr>
          <w:rFonts w:ascii="Arial" w:hAnsi="Arial" w:cs="Arial"/>
        </w:rPr>
        <w:instrText>ADDIN CSL_CITATION {"citationItems":[{"id":"ITEM-1","itemData":{"DOI":"10.1021/jp8060152","ISSN":"1520-6106","abstract":"Confocal and two-photon fluorescence microscopy techniques using genetically encoded fluorescent probes are widely used in cell biology. Beyond the common problems of photobleaching and phototoxicity, we present evidence that photounbinding also has the potential to compromise such methods, especially in quantitative studies. We show that laser intensities within excitation regimes typical for imaging approaches such as as fluorescence recovery after photobleaching (FRAP), photolysis, or fluorescence correlation spectroscopy (FCS) experiments can cause the dissociation of antibodies from their ligands. Indeed, both one- and two-photon excitation of a fluorescent anti-GFP antibody caused its dissociation from immobilized GFP in vitro. Importantly, with two-photon excitation, the laser intensity threshold for photobleaching was the same as for photounbinding. By contrast, with single-photon excitation, we found a range of laser intensities where photobleaching can be separated from photounbinding. This photounbinding effect was visualized and measured by rebinding a second fluorescent anti-GFP (Green Fluorescent Protein) antibody, indicating that the GFP remained functional for reassociation following the photoinduced dissociation. Finally, we show that this unbinding effect occurs only when at least one binding partner carries a fluorescent label. Our results show that this photounbinding effect can readily remain masked or be misinterpreted as photobleaching, which can compromise the quantitative interpretation of binding studies made using fluorescence microscopy.","author":[{"dropping-particle":"","family":"Heinze","given":"Katrin G.","non-dropping-particle":"","parse-names":false,"suffix":""},{"dropping-particle":"","family":"Costantino","given":"Santiago","non-dropping-particle":"","parse-names":false,"suffix":""},{"dropping-particle":"","family":"Koninck","given":"Paul","non-dropping-particle":"De","parse-names":false,"suffix":""},{"dropping-particle":"","family":"Wiseman","given":"Paul W.","non-dropping-particle":"","parse-names":false,"suffix":""}],"container-title":"The Journal of Physical Chemistry B","id":"ITEM-1","issue":"15","issued":{"date-parts":[["2009","4","16"]]},"page":"5225-5233","title":"Beyond Photobleaching, Laser Illumination Unbinds Fluorescent Proteins","type":"article-journal","volume":"113"},"uris":["http://www.mendeley.com/documents/?uuid=4f8ab9d8-7aa8-44da-a2f2-b0f9ae70e9c9"]}],"mendeley":{"formattedCitation":"&lt;sup&gt;6&lt;/sup&gt;","plainTextFormattedCitation":"6","previouslyFormattedCitation":"&lt;sup&gt;6&lt;/sup&gt;"},"properties":{"noteIndex":0},"schema":"https://github.com/citation-style-language/schema/raw/master/csl-citation.json"}</w:instrText>
      </w:r>
      <w:r w:rsidR="00DF00FD">
        <w:rPr>
          <w:rFonts w:ascii="Arial" w:hAnsi="Arial" w:cs="Arial"/>
        </w:rPr>
        <w:fldChar w:fldCharType="separate"/>
      </w:r>
      <w:r w:rsidR="00347130" w:rsidRPr="00347130">
        <w:rPr>
          <w:rFonts w:ascii="Arial" w:hAnsi="Arial" w:cs="Arial"/>
          <w:noProof/>
          <w:vertAlign w:val="superscript"/>
          <w:lang w:val="de-DE"/>
        </w:rPr>
        <w:t>6</w:t>
      </w:r>
      <w:r w:rsidR="00DF00FD">
        <w:rPr>
          <w:rFonts w:ascii="Arial" w:hAnsi="Arial" w:cs="Arial"/>
        </w:rPr>
        <w:fldChar w:fldCharType="end"/>
      </w:r>
      <w:r w:rsidRPr="00B60CE5">
        <w:rPr>
          <w:rFonts w:ascii="Arial" w:hAnsi="Arial" w:cs="Arial"/>
        </w:rPr>
        <w:t xml:space="preserve">. </w:t>
      </w:r>
    </w:p>
    <w:p w14:paraId="40E3A7EB" w14:textId="22FAD039" w:rsidR="00C97497" w:rsidRPr="00B60CE5" w:rsidRDefault="00C97497" w:rsidP="00C97497">
      <w:pPr>
        <w:jc w:val="both"/>
        <w:rPr>
          <w:rFonts w:ascii="Arial" w:hAnsi="Arial" w:cs="Arial"/>
        </w:rPr>
      </w:pPr>
      <w:r w:rsidRPr="00B60CE5">
        <w:rPr>
          <w:rFonts w:ascii="Arial" w:hAnsi="Arial" w:cs="Arial"/>
        </w:rPr>
        <w:t xml:space="preserve">Sixth, we show that the combination of photobleaching and elution is highly efficient, if another primary antibody (other than Tom20; in this case Fibrillarin) competing for the same secondary antibody is introduced before the last acquisition round. This would </w:t>
      </w:r>
      <w:r w:rsidR="00ED15DE" w:rsidRPr="00B60CE5">
        <w:rPr>
          <w:rFonts w:ascii="Arial" w:hAnsi="Arial" w:cs="Arial"/>
        </w:rPr>
        <w:t xml:space="preserve">represent </w:t>
      </w:r>
      <w:r w:rsidRPr="00B60CE5">
        <w:rPr>
          <w:rFonts w:ascii="Arial" w:hAnsi="Arial" w:cs="Arial"/>
        </w:rPr>
        <w:t>t</w:t>
      </w:r>
      <w:r w:rsidR="00DF00FD">
        <w:rPr>
          <w:rFonts w:ascii="Arial" w:hAnsi="Arial" w:cs="Arial"/>
        </w:rPr>
        <w:t>h</w:t>
      </w:r>
      <w:r w:rsidRPr="00B60CE5">
        <w:rPr>
          <w:rFonts w:ascii="Arial" w:hAnsi="Arial" w:cs="Arial"/>
        </w:rPr>
        <w:t xml:space="preserve">e </w:t>
      </w:r>
      <w:r w:rsidR="00ED15DE" w:rsidRPr="00B60CE5">
        <w:rPr>
          <w:rFonts w:ascii="Arial" w:hAnsi="Arial" w:cs="Arial"/>
        </w:rPr>
        <w:t xml:space="preserve">optimal </w:t>
      </w:r>
      <w:r w:rsidRPr="00B60CE5">
        <w:rPr>
          <w:rFonts w:ascii="Arial" w:hAnsi="Arial" w:cs="Arial"/>
        </w:rPr>
        <w:t xml:space="preserve">workflow of a multiplex experiment. </w:t>
      </w:r>
    </w:p>
    <w:p w14:paraId="3B897BC1" w14:textId="291339D5" w:rsidR="000B31FB" w:rsidRDefault="00C97497" w:rsidP="00651669">
      <w:pPr>
        <w:jc w:val="both"/>
        <w:rPr>
          <w:rFonts w:ascii="Arial" w:hAnsi="Arial" w:cs="Arial"/>
        </w:rPr>
      </w:pPr>
      <w:r w:rsidRPr="00B60CE5">
        <w:rPr>
          <w:rFonts w:ascii="Arial" w:hAnsi="Arial" w:cs="Arial"/>
        </w:rPr>
        <w:lastRenderedPageBreak/>
        <w:t>In summary, for optimal performance of our approach, we recommend to design a re-labeling experiment such that (</w:t>
      </w:r>
      <w:proofErr w:type="spellStart"/>
      <w:r w:rsidRPr="00B60CE5">
        <w:rPr>
          <w:rFonts w:ascii="Arial" w:hAnsi="Arial" w:cs="Arial"/>
        </w:rPr>
        <w:t>i</w:t>
      </w:r>
      <w:proofErr w:type="spellEnd"/>
      <w:r w:rsidRPr="00B60CE5">
        <w:rPr>
          <w:rFonts w:ascii="Arial" w:hAnsi="Arial" w:cs="Arial"/>
        </w:rPr>
        <w:t>) both elution and photobleaching steps are integrated in the workflow, and that (ii) the labeling sequence is designed such that the species of secondary antibodi</w:t>
      </w:r>
      <w:r w:rsidR="00651669">
        <w:rPr>
          <w:rFonts w:ascii="Arial" w:hAnsi="Arial" w:cs="Arial"/>
        </w:rPr>
        <w:t>es changes every imaging round.</w:t>
      </w:r>
    </w:p>
    <w:p w14:paraId="619E7592" w14:textId="77777777" w:rsidR="00B976BE" w:rsidRDefault="00B976BE" w:rsidP="00651669">
      <w:pPr>
        <w:jc w:val="both"/>
        <w:rPr>
          <w:rFonts w:ascii="Arial" w:hAnsi="Arial" w:cs="Arial"/>
        </w:rPr>
      </w:pPr>
    </w:p>
    <w:p w14:paraId="0AF15836" w14:textId="77777777" w:rsidR="008B318A" w:rsidRDefault="008B318A" w:rsidP="008B318A">
      <w:pPr>
        <w:jc w:val="both"/>
        <w:rPr>
          <w:rFonts w:ascii="Arial" w:hAnsi="Arial" w:cs="Arial"/>
          <w:b/>
        </w:rPr>
      </w:pPr>
      <w:r w:rsidRPr="00B60CE5">
        <w:rPr>
          <w:rFonts w:ascii="Arial" w:hAnsi="Arial" w:cs="Arial"/>
          <w:b/>
        </w:rPr>
        <w:t xml:space="preserve">Supplementary Note </w:t>
      </w:r>
      <w:r>
        <w:rPr>
          <w:rFonts w:ascii="Arial" w:hAnsi="Arial" w:cs="Arial"/>
          <w:b/>
        </w:rPr>
        <w:t xml:space="preserve">2 </w:t>
      </w:r>
    </w:p>
    <w:p w14:paraId="67D1CE2E" w14:textId="32F57673" w:rsidR="008B318A" w:rsidRPr="00E12020" w:rsidRDefault="008B318A" w:rsidP="008B318A">
      <w:pPr>
        <w:jc w:val="both"/>
        <w:rPr>
          <w:rFonts w:ascii="Arial" w:hAnsi="Arial" w:cs="Arial"/>
          <w:i/>
        </w:rPr>
      </w:pPr>
      <w:r>
        <w:rPr>
          <w:rFonts w:ascii="Arial" w:hAnsi="Arial" w:cs="Arial"/>
          <w:i/>
        </w:rPr>
        <w:t>Supplementary discussion of registration precision between different staining rounds for cells or tissue</w:t>
      </w:r>
      <w:r w:rsidR="00784C83">
        <w:rPr>
          <w:rFonts w:ascii="Arial" w:hAnsi="Arial" w:cs="Arial"/>
          <w:i/>
        </w:rPr>
        <w:t>s</w:t>
      </w:r>
    </w:p>
    <w:p w14:paraId="76DFAE3F" w14:textId="053DDC1E" w:rsidR="008B318A" w:rsidRDefault="008B318A" w:rsidP="008B318A">
      <w:pPr>
        <w:jc w:val="both"/>
        <w:rPr>
          <w:rFonts w:ascii="Arial" w:hAnsi="Arial" w:cs="Arial"/>
        </w:rPr>
      </w:pPr>
      <w:r>
        <w:rPr>
          <w:rFonts w:ascii="Arial" w:hAnsi="Arial" w:cs="Arial"/>
        </w:rPr>
        <w:t>The serial re-staining approach used here requires a high</w:t>
      </w:r>
      <w:r w:rsidR="00784C83">
        <w:rPr>
          <w:rFonts w:ascii="Arial" w:hAnsi="Arial" w:cs="Arial"/>
        </w:rPr>
        <w:t>-</w:t>
      </w:r>
      <w:r>
        <w:rPr>
          <w:rFonts w:ascii="Arial" w:hAnsi="Arial" w:cs="Arial"/>
        </w:rPr>
        <w:t xml:space="preserve">fidelity registration of images from each staining round to reliably derive conclusions on the positioning of each protein with regard to all other proteins investigated. We achieved this by imaging fiducial beads positioned between the sample and the coverslip for every staining round. Hence, assuming an invariant position of each bead, the registration procedure should work with similar precision for </w:t>
      </w:r>
      <w:r w:rsidR="00784C83">
        <w:rPr>
          <w:rFonts w:ascii="Arial" w:hAnsi="Arial" w:cs="Arial"/>
        </w:rPr>
        <w:t xml:space="preserve">images </w:t>
      </w:r>
      <w:r>
        <w:rPr>
          <w:rFonts w:ascii="Arial" w:hAnsi="Arial" w:cs="Arial"/>
        </w:rPr>
        <w:t xml:space="preserve">acquired </w:t>
      </w:r>
      <w:r w:rsidR="00784C83">
        <w:rPr>
          <w:rFonts w:ascii="Arial" w:hAnsi="Arial" w:cs="Arial"/>
        </w:rPr>
        <w:t>in any staining round</w:t>
      </w:r>
      <w:r>
        <w:rPr>
          <w:rFonts w:ascii="Arial" w:hAnsi="Arial" w:cs="Arial"/>
        </w:rPr>
        <w:t>. Protein positions determined from the first staining round should be equally comparable to those of the second or 10</w:t>
      </w:r>
      <w:r w:rsidRPr="00DC6E8B">
        <w:rPr>
          <w:rFonts w:ascii="Arial" w:hAnsi="Arial" w:cs="Arial"/>
          <w:vertAlign w:val="superscript"/>
        </w:rPr>
        <w:t>th</w:t>
      </w:r>
      <w:r>
        <w:rPr>
          <w:rFonts w:ascii="Arial" w:hAnsi="Arial" w:cs="Arial"/>
        </w:rPr>
        <w:t xml:space="preserve"> staining round. However, if the position of the fiducial beads varies to a small extent during the long duration of a typical multiplexed imaging experiment, deviations will occur</w:t>
      </w:r>
      <w:r w:rsidR="00784C83">
        <w:rPr>
          <w:rFonts w:ascii="Arial" w:hAnsi="Arial" w:cs="Arial"/>
        </w:rPr>
        <w:t>,</w:t>
      </w:r>
      <w:r>
        <w:rPr>
          <w:rFonts w:ascii="Arial" w:hAnsi="Arial" w:cs="Arial"/>
        </w:rPr>
        <w:t xml:space="preserve"> in particular for protein positions </w:t>
      </w:r>
      <w:r w:rsidR="00784C83">
        <w:rPr>
          <w:rFonts w:ascii="Arial" w:hAnsi="Arial" w:cs="Arial"/>
        </w:rPr>
        <w:t>determined</w:t>
      </w:r>
      <w:r>
        <w:rPr>
          <w:rFonts w:ascii="Arial" w:hAnsi="Arial" w:cs="Arial"/>
        </w:rPr>
        <w:t xml:space="preserve"> from imaging rounds far apart, but not much affecting neighboring staining rounds. This relationship is quite evident in </w:t>
      </w:r>
      <w:r w:rsidRPr="00DC6E8B">
        <w:rPr>
          <w:rFonts w:ascii="Arial" w:hAnsi="Arial" w:cs="Arial"/>
          <w:b/>
        </w:rPr>
        <w:t>Fig</w:t>
      </w:r>
      <w:r>
        <w:rPr>
          <w:rFonts w:ascii="Arial" w:hAnsi="Arial" w:cs="Arial"/>
          <w:b/>
        </w:rPr>
        <w:t>ures</w:t>
      </w:r>
      <w:r w:rsidRPr="00DC6E8B">
        <w:rPr>
          <w:rFonts w:ascii="Arial" w:hAnsi="Arial" w:cs="Arial"/>
          <w:b/>
        </w:rPr>
        <w:t xml:space="preserve"> 2b</w:t>
      </w:r>
      <w:r>
        <w:rPr>
          <w:rFonts w:ascii="Arial" w:hAnsi="Arial" w:cs="Arial"/>
        </w:rPr>
        <w:t xml:space="preserve"> and</w:t>
      </w:r>
      <w:r w:rsidRPr="00DC6E8B">
        <w:rPr>
          <w:rFonts w:ascii="Arial" w:hAnsi="Arial" w:cs="Arial"/>
          <w:b/>
        </w:rPr>
        <w:t xml:space="preserve"> 3d.</w:t>
      </w:r>
      <w:r>
        <w:rPr>
          <w:rFonts w:ascii="Arial" w:hAnsi="Arial" w:cs="Arial"/>
        </w:rPr>
        <w:t xml:space="preserve"> Noticeably, the registration precision was overall better for super-resolution images acquired in tissue (</w:t>
      </w:r>
      <w:r w:rsidRPr="00D06799">
        <w:rPr>
          <w:rFonts w:ascii="Arial" w:hAnsi="Arial" w:cs="Arial"/>
          <w:b/>
        </w:rPr>
        <w:t>Fig. 3d</w:t>
      </w:r>
      <w:r>
        <w:rPr>
          <w:rFonts w:ascii="Arial" w:hAnsi="Arial" w:cs="Arial"/>
        </w:rPr>
        <w:t>) compared to cells (</w:t>
      </w:r>
      <w:r w:rsidRPr="00466512">
        <w:rPr>
          <w:rFonts w:ascii="Arial" w:hAnsi="Arial" w:cs="Arial"/>
          <w:b/>
        </w:rPr>
        <w:t>Fig. 2b</w:t>
      </w:r>
      <w:r>
        <w:rPr>
          <w:rFonts w:ascii="Arial" w:hAnsi="Arial" w:cs="Arial"/>
        </w:rPr>
        <w:t>). We attribute this to a differential stability of the fiducials in these two imaging situations as detailed in the following</w:t>
      </w:r>
      <w:r w:rsidRPr="00D06799">
        <w:rPr>
          <w:rFonts w:ascii="Arial" w:hAnsi="Arial" w:cs="Arial"/>
        </w:rPr>
        <w:t>.</w:t>
      </w:r>
      <w:r>
        <w:rPr>
          <w:rFonts w:ascii="Arial" w:hAnsi="Arial" w:cs="Arial"/>
        </w:rPr>
        <w:t xml:space="preserve"> In contrast to the flat 400 nm sections, cultured </w:t>
      </w:r>
      <w:r w:rsidRPr="00E12020">
        <w:rPr>
          <w:rFonts w:ascii="Arial" w:hAnsi="Arial" w:cs="Arial"/>
        </w:rPr>
        <w:t xml:space="preserve">U2OS cells have a </w:t>
      </w:r>
      <w:r>
        <w:rPr>
          <w:rFonts w:ascii="Arial" w:hAnsi="Arial" w:cs="Arial"/>
        </w:rPr>
        <w:t xml:space="preserve">substantial thickness of </w:t>
      </w:r>
      <w:r w:rsidR="00784C83">
        <w:rPr>
          <w:rFonts w:ascii="Arial" w:hAnsi="Arial" w:cs="Arial"/>
        </w:rPr>
        <w:t>several micrometers</w:t>
      </w:r>
      <w:r>
        <w:rPr>
          <w:rFonts w:ascii="Arial" w:hAnsi="Arial" w:cs="Arial"/>
        </w:rPr>
        <w:t xml:space="preserve">. Due to their thickness and other mechanical properties, cells may not homogeneously adhere to the glass surface, resulting in a slight partial detachment with </w:t>
      </w:r>
      <w:r w:rsidR="00784C83">
        <w:rPr>
          <w:rFonts w:ascii="Arial" w:hAnsi="Arial" w:cs="Arial"/>
        </w:rPr>
        <w:t xml:space="preserve">each additional </w:t>
      </w:r>
      <w:r>
        <w:rPr>
          <w:rFonts w:ascii="Arial" w:hAnsi="Arial" w:cs="Arial"/>
        </w:rPr>
        <w:t xml:space="preserve">staining round. This could in turn loosen fiducial beads stuck underneath the cells. </w:t>
      </w:r>
      <w:r w:rsidR="00784C83">
        <w:rPr>
          <w:rFonts w:ascii="Arial" w:hAnsi="Arial" w:cs="Arial"/>
        </w:rPr>
        <w:t>Slight changes in</w:t>
      </w:r>
      <w:r>
        <w:rPr>
          <w:rFonts w:ascii="Arial" w:hAnsi="Arial" w:cs="Arial"/>
        </w:rPr>
        <w:t xml:space="preserve"> cell</w:t>
      </w:r>
      <w:r w:rsidR="00784C83">
        <w:rPr>
          <w:rFonts w:ascii="Arial" w:hAnsi="Arial" w:cs="Arial"/>
        </w:rPr>
        <w:t xml:space="preserve"> volume</w:t>
      </w:r>
      <w:r>
        <w:rPr>
          <w:rFonts w:ascii="Arial" w:hAnsi="Arial" w:cs="Arial"/>
        </w:rPr>
        <w:t xml:space="preserve"> with increasing staining and elution rounds may cause a similar effect. Therefore, to re-establish a focal plane in late imaging rounds comparable to that from the initial round, the focus would have to be placed more and more deeply into the sample, resulting in less focused fiducial beads, and thus, less precise fitting and a higher registration error. In the much more homogeneous tissue sections, these effects will impact registration precision much less, consistent with the experimental data (</w:t>
      </w:r>
      <w:r w:rsidRPr="00005796">
        <w:rPr>
          <w:rFonts w:ascii="Arial" w:hAnsi="Arial" w:cs="Arial"/>
          <w:b/>
        </w:rPr>
        <w:t>Figs. 2b</w:t>
      </w:r>
      <w:r>
        <w:rPr>
          <w:rFonts w:ascii="Arial" w:hAnsi="Arial" w:cs="Arial"/>
        </w:rPr>
        <w:t xml:space="preserve"> and</w:t>
      </w:r>
      <w:r w:rsidRPr="00005796">
        <w:rPr>
          <w:rFonts w:ascii="Arial" w:hAnsi="Arial" w:cs="Arial"/>
          <w:b/>
        </w:rPr>
        <w:t xml:space="preserve"> 3d</w:t>
      </w:r>
      <w:r>
        <w:rPr>
          <w:rFonts w:ascii="Arial" w:hAnsi="Arial" w:cs="Arial"/>
        </w:rPr>
        <w:t xml:space="preserve">). Hence, we have focused our quantitative analyses on neuronal tissue samples to minimize these complications. Moreover, for the analysis of protein relationships we performed five multiplex experiments </w:t>
      </w:r>
      <w:r w:rsidR="00D71B0E">
        <w:rPr>
          <w:rFonts w:ascii="Arial" w:hAnsi="Arial" w:cs="Arial"/>
        </w:rPr>
        <w:t xml:space="preserve">with </w:t>
      </w:r>
      <w:r>
        <w:rPr>
          <w:rFonts w:ascii="Arial" w:hAnsi="Arial" w:cs="Arial"/>
        </w:rPr>
        <w:t xml:space="preserve">target proteins imaged in a different order. Thereby, we balanced out possible effects arising from misalignment in late </w:t>
      </w:r>
      <w:bookmarkStart w:id="1" w:name="_GoBack"/>
      <w:bookmarkEnd w:id="1"/>
      <w:r>
        <w:rPr>
          <w:rFonts w:ascii="Arial" w:hAnsi="Arial" w:cs="Arial"/>
        </w:rPr>
        <w:t xml:space="preserve">compared to early imaging rounds. Future work may include the use of fiducials covalently fixed to the cover slip using </w:t>
      </w:r>
      <w:proofErr w:type="spellStart"/>
      <w:r>
        <w:rPr>
          <w:rFonts w:ascii="Arial" w:hAnsi="Arial" w:cs="Arial"/>
        </w:rPr>
        <w:t>nano</w:t>
      </w:r>
      <w:proofErr w:type="spellEnd"/>
      <w:r>
        <w:rPr>
          <w:rFonts w:ascii="Arial" w:hAnsi="Arial" w:cs="Arial"/>
        </w:rPr>
        <w:t xml:space="preserve">-engineering procedures. </w:t>
      </w:r>
    </w:p>
    <w:p w14:paraId="7E2CAA88" w14:textId="77777777" w:rsidR="008B318A" w:rsidRDefault="008B318A" w:rsidP="008B318A"/>
    <w:p w14:paraId="20397DAD" w14:textId="77777777" w:rsidR="000B31FB" w:rsidRPr="008B318A" w:rsidRDefault="000B31FB">
      <w:pPr>
        <w:rPr>
          <w:rFonts w:ascii="Arial" w:hAnsi="Arial" w:cs="Arial"/>
        </w:rPr>
      </w:pPr>
      <w:r w:rsidRPr="008B318A">
        <w:rPr>
          <w:rFonts w:ascii="Arial" w:hAnsi="Arial" w:cs="Arial"/>
        </w:rPr>
        <w:br w:type="page"/>
      </w:r>
    </w:p>
    <w:p w14:paraId="2B9A4D76" w14:textId="1B071DDA" w:rsidR="00B7410B" w:rsidRPr="008B318A" w:rsidRDefault="00B7410B" w:rsidP="00420E19">
      <w:pPr>
        <w:jc w:val="both"/>
        <w:rPr>
          <w:rFonts w:ascii="Arial" w:hAnsi="Arial" w:cs="Arial"/>
          <w:b/>
          <w:lang w:val="de-DE"/>
        </w:rPr>
      </w:pPr>
      <w:r w:rsidRPr="008B318A">
        <w:rPr>
          <w:rFonts w:ascii="Arial" w:hAnsi="Arial" w:cs="Arial"/>
          <w:b/>
          <w:lang w:val="de-DE"/>
        </w:rPr>
        <w:lastRenderedPageBreak/>
        <w:t>References</w:t>
      </w:r>
    </w:p>
    <w:p w14:paraId="789479B1" w14:textId="377300F7" w:rsidR="004E1D6B" w:rsidRPr="004E1D6B" w:rsidRDefault="00347130" w:rsidP="004E1D6B">
      <w:pPr>
        <w:widowControl w:val="0"/>
        <w:autoSpaceDE w:val="0"/>
        <w:autoSpaceDN w:val="0"/>
        <w:adjustRightInd w:val="0"/>
        <w:spacing w:line="240" w:lineRule="auto"/>
        <w:ind w:left="640" w:hanging="640"/>
        <w:rPr>
          <w:rFonts w:ascii="Arial" w:hAnsi="Arial" w:cs="Arial"/>
          <w:noProof/>
          <w:szCs w:val="24"/>
        </w:rPr>
      </w:pPr>
      <w:r>
        <w:rPr>
          <w:rFonts w:ascii="Arial" w:hAnsi="Arial" w:cs="Arial"/>
        </w:rPr>
        <w:fldChar w:fldCharType="begin" w:fldLock="1"/>
      </w:r>
      <w:r w:rsidRPr="008B318A">
        <w:rPr>
          <w:rFonts w:ascii="Arial" w:hAnsi="Arial" w:cs="Arial"/>
          <w:lang w:val="de-DE"/>
        </w:rPr>
        <w:instrText xml:space="preserve">ADDIN Mendeley Bibliography CSL_BIBLIOGRAPHY </w:instrText>
      </w:r>
      <w:r>
        <w:rPr>
          <w:rFonts w:ascii="Arial" w:hAnsi="Arial" w:cs="Arial"/>
        </w:rPr>
        <w:fldChar w:fldCharType="separate"/>
      </w:r>
      <w:r w:rsidR="004E1D6B" w:rsidRPr="008B318A">
        <w:rPr>
          <w:rFonts w:ascii="Arial" w:hAnsi="Arial" w:cs="Arial"/>
          <w:noProof/>
          <w:szCs w:val="24"/>
          <w:lang w:val="de-DE"/>
        </w:rPr>
        <w:t>1.</w:t>
      </w:r>
      <w:r w:rsidR="004E1D6B" w:rsidRPr="008B318A">
        <w:rPr>
          <w:rFonts w:ascii="Arial" w:hAnsi="Arial" w:cs="Arial"/>
          <w:noProof/>
          <w:szCs w:val="24"/>
          <w:lang w:val="de-DE"/>
        </w:rPr>
        <w:tab/>
        <w:t xml:space="preserve">Edelstein, A. D. </w:t>
      </w:r>
      <w:r w:rsidR="004E1D6B" w:rsidRPr="008B318A">
        <w:rPr>
          <w:rFonts w:ascii="Arial" w:hAnsi="Arial" w:cs="Arial"/>
          <w:i/>
          <w:iCs/>
          <w:noProof/>
          <w:szCs w:val="24"/>
          <w:lang w:val="de-DE"/>
        </w:rPr>
        <w:t>et al.</w:t>
      </w:r>
      <w:r w:rsidR="004E1D6B" w:rsidRPr="008B318A">
        <w:rPr>
          <w:rFonts w:ascii="Arial" w:hAnsi="Arial" w:cs="Arial"/>
          <w:noProof/>
          <w:szCs w:val="24"/>
          <w:lang w:val="de-DE"/>
        </w:rPr>
        <w:t xml:space="preserve"> </w:t>
      </w:r>
      <w:r w:rsidR="004E1D6B" w:rsidRPr="004E1D6B">
        <w:rPr>
          <w:rFonts w:ascii="Arial" w:hAnsi="Arial" w:cs="Arial"/>
          <w:noProof/>
          <w:szCs w:val="24"/>
        </w:rPr>
        <w:t xml:space="preserve">Advanced methods of microscope control using μManager software. </w:t>
      </w:r>
      <w:r w:rsidR="004E1D6B" w:rsidRPr="004E1D6B">
        <w:rPr>
          <w:rFonts w:ascii="Arial" w:hAnsi="Arial" w:cs="Arial"/>
          <w:i/>
          <w:iCs/>
          <w:noProof/>
          <w:szCs w:val="24"/>
        </w:rPr>
        <w:t>J. Biol. Methods</w:t>
      </w:r>
      <w:r w:rsidR="004E1D6B" w:rsidRPr="004E1D6B">
        <w:rPr>
          <w:rFonts w:ascii="Arial" w:hAnsi="Arial" w:cs="Arial"/>
          <w:noProof/>
          <w:szCs w:val="24"/>
        </w:rPr>
        <w:t xml:space="preserve"> </w:t>
      </w:r>
      <w:r w:rsidR="004E1D6B" w:rsidRPr="004E1D6B">
        <w:rPr>
          <w:rFonts w:ascii="Arial" w:hAnsi="Arial" w:cs="Arial"/>
          <w:b/>
          <w:bCs/>
          <w:noProof/>
          <w:szCs w:val="24"/>
        </w:rPr>
        <w:t>1</w:t>
      </w:r>
      <w:r w:rsidR="004E1D6B" w:rsidRPr="004E1D6B">
        <w:rPr>
          <w:rFonts w:ascii="Arial" w:hAnsi="Arial" w:cs="Arial"/>
          <w:noProof/>
          <w:szCs w:val="24"/>
        </w:rPr>
        <w:t>, 10 (2014).</w:t>
      </w:r>
    </w:p>
    <w:p w14:paraId="730D6D1D" w14:textId="77777777" w:rsidR="004E1D6B" w:rsidRPr="004E1D6B" w:rsidRDefault="004E1D6B" w:rsidP="004E1D6B">
      <w:pPr>
        <w:widowControl w:val="0"/>
        <w:autoSpaceDE w:val="0"/>
        <w:autoSpaceDN w:val="0"/>
        <w:adjustRightInd w:val="0"/>
        <w:spacing w:line="240" w:lineRule="auto"/>
        <w:ind w:left="640" w:hanging="640"/>
        <w:rPr>
          <w:rFonts w:ascii="Arial" w:hAnsi="Arial" w:cs="Arial"/>
          <w:noProof/>
          <w:szCs w:val="24"/>
        </w:rPr>
      </w:pPr>
      <w:r w:rsidRPr="004E1D6B">
        <w:rPr>
          <w:rFonts w:ascii="Arial" w:hAnsi="Arial" w:cs="Arial"/>
          <w:noProof/>
          <w:szCs w:val="24"/>
        </w:rPr>
        <w:t>2.</w:t>
      </w:r>
      <w:r w:rsidRPr="004E1D6B">
        <w:rPr>
          <w:rFonts w:ascii="Arial" w:hAnsi="Arial" w:cs="Arial"/>
          <w:noProof/>
          <w:szCs w:val="24"/>
        </w:rPr>
        <w:tab/>
        <w:t xml:space="preserve">Endesfelder, U., Malkusch, S., Fricke, F. &amp; Heilemann, M. A simple method to estimate the average localization precision of a single-molecule localization microscopy experiment. </w:t>
      </w:r>
      <w:r w:rsidRPr="004E1D6B">
        <w:rPr>
          <w:rFonts w:ascii="Arial" w:hAnsi="Arial" w:cs="Arial"/>
          <w:i/>
          <w:iCs/>
          <w:noProof/>
          <w:szCs w:val="24"/>
        </w:rPr>
        <w:t>Histochem. Cell Biol.</w:t>
      </w:r>
      <w:r w:rsidRPr="004E1D6B">
        <w:rPr>
          <w:rFonts w:ascii="Arial" w:hAnsi="Arial" w:cs="Arial"/>
          <w:noProof/>
          <w:szCs w:val="24"/>
        </w:rPr>
        <w:t xml:space="preserve"> </w:t>
      </w:r>
      <w:r w:rsidRPr="004E1D6B">
        <w:rPr>
          <w:rFonts w:ascii="Arial" w:hAnsi="Arial" w:cs="Arial"/>
          <w:b/>
          <w:bCs/>
          <w:noProof/>
          <w:szCs w:val="24"/>
        </w:rPr>
        <w:t>141</w:t>
      </w:r>
      <w:r w:rsidRPr="004E1D6B">
        <w:rPr>
          <w:rFonts w:ascii="Arial" w:hAnsi="Arial" w:cs="Arial"/>
          <w:noProof/>
          <w:szCs w:val="24"/>
        </w:rPr>
        <w:t>, 629–638 (2014).</w:t>
      </w:r>
    </w:p>
    <w:p w14:paraId="651FEE70" w14:textId="77777777" w:rsidR="004E1D6B" w:rsidRPr="004E1D6B" w:rsidRDefault="004E1D6B" w:rsidP="004E1D6B">
      <w:pPr>
        <w:widowControl w:val="0"/>
        <w:autoSpaceDE w:val="0"/>
        <w:autoSpaceDN w:val="0"/>
        <w:adjustRightInd w:val="0"/>
        <w:spacing w:line="240" w:lineRule="auto"/>
        <w:ind w:left="640" w:hanging="640"/>
        <w:rPr>
          <w:rFonts w:ascii="Arial" w:hAnsi="Arial" w:cs="Arial"/>
          <w:noProof/>
          <w:szCs w:val="24"/>
        </w:rPr>
      </w:pPr>
      <w:r w:rsidRPr="004E1D6B">
        <w:rPr>
          <w:rFonts w:ascii="Arial" w:hAnsi="Arial" w:cs="Arial"/>
          <w:noProof/>
          <w:szCs w:val="24"/>
        </w:rPr>
        <w:t>3.</w:t>
      </w:r>
      <w:r w:rsidRPr="004E1D6B">
        <w:rPr>
          <w:rFonts w:ascii="Arial" w:hAnsi="Arial" w:cs="Arial"/>
          <w:noProof/>
          <w:szCs w:val="24"/>
        </w:rPr>
        <w:tab/>
        <w:t xml:space="preserve">Malkusch, S. &amp; Heilemann, M. Extracting quantitative information from single-molecule super-resolution imaging data with LAMA – LocAlization Microscopy Analyzer. </w:t>
      </w:r>
      <w:r w:rsidRPr="004E1D6B">
        <w:rPr>
          <w:rFonts w:ascii="Arial" w:hAnsi="Arial" w:cs="Arial"/>
          <w:i/>
          <w:iCs/>
          <w:noProof/>
          <w:szCs w:val="24"/>
        </w:rPr>
        <w:t>Sci. Rep.</w:t>
      </w:r>
      <w:r w:rsidRPr="004E1D6B">
        <w:rPr>
          <w:rFonts w:ascii="Arial" w:hAnsi="Arial" w:cs="Arial"/>
          <w:noProof/>
          <w:szCs w:val="24"/>
        </w:rPr>
        <w:t xml:space="preserve"> </w:t>
      </w:r>
      <w:r w:rsidRPr="004E1D6B">
        <w:rPr>
          <w:rFonts w:ascii="Arial" w:hAnsi="Arial" w:cs="Arial"/>
          <w:b/>
          <w:bCs/>
          <w:noProof/>
          <w:szCs w:val="24"/>
        </w:rPr>
        <w:t>6</w:t>
      </w:r>
      <w:r w:rsidRPr="004E1D6B">
        <w:rPr>
          <w:rFonts w:ascii="Arial" w:hAnsi="Arial" w:cs="Arial"/>
          <w:noProof/>
          <w:szCs w:val="24"/>
        </w:rPr>
        <w:t>, 34486 (2016).</w:t>
      </w:r>
    </w:p>
    <w:p w14:paraId="150B371A" w14:textId="77777777" w:rsidR="004E1D6B" w:rsidRPr="004E1D6B" w:rsidRDefault="004E1D6B" w:rsidP="004E1D6B">
      <w:pPr>
        <w:widowControl w:val="0"/>
        <w:autoSpaceDE w:val="0"/>
        <w:autoSpaceDN w:val="0"/>
        <w:adjustRightInd w:val="0"/>
        <w:spacing w:line="240" w:lineRule="auto"/>
        <w:ind w:left="640" w:hanging="640"/>
        <w:rPr>
          <w:rFonts w:ascii="Arial" w:hAnsi="Arial" w:cs="Arial"/>
          <w:noProof/>
          <w:szCs w:val="24"/>
        </w:rPr>
      </w:pPr>
      <w:r w:rsidRPr="004E1D6B">
        <w:rPr>
          <w:rFonts w:ascii="Arial" w:hAnsi="Arial" w:cs="Arial"/>
          <w:noProof/>
          <w:szCs w:val="24"/>
        </w:rPr>
        <w:t>4.</w:t>
      </w:r>
      <w:r w:rsidRPr="004E1D6B">
        <w:rPr>
          <w:rFonts w:ascii="Arial" w:hAnsi="Arial" w:cs="Arial"/>
          <w:noProof/>
          <w:szCs w:val="24"/>
        </w:rPr>
        <w:tab/>
        <w:t xml:space="preserve">Beheiry, M. El &amp; Dahan, M. ViSP: representing single-particle localizations in three dimensions. </w:t>
      </w:r>
      <w:r w:rsidRPr="004E1D6B">
        <w:rPr>
          <w:rFonts w:ascii="Arial" w:hAnsi="Arial" w:cs="Arial"/>
          <w:i/>
          <w:iCs/>
          <w:noProof/>
          <w:szCs w:val="24"/>
        </w:rPr>
        <w:t>Nat. Methods</w:t>
      </w:r>
      <w:r w:rsidRPr="004E1D6B">
        <w:rPr>
          <w:rFonts w:ascii="Arial" w:hAnsi="Arial" w:cs="Arial"/>
          <w:noProof/>
          <w:szCs w:val="24"/>
        </w:rPr>
        <w:t xml:space="preserve"> </w:t>
      </w:r>
      <w:r w:rsidRPr="004E1D6B">
        <w:rPr>
          <w:rFonts w:ascii="Arial" w:hAnsi="Arial" w:cs="Arial"/>
          <w:b/>
          <w:bCs/>
          <w:noProof/>
          <w:szCs w:val="24"/>
        </w:rPr>
        <w:t>10</w:t>
      </w:r>
      <w:r w:rsidRPr="004E1D6B">
        <w:rPr>
          <w:rFonts w:ascii="Arial" w:hAnsi="Arial" w:cs="Arial"/>
          <w:noProof/>
          <w:szCs w:val="24"/>
        </w:rPr>
        <w:t>, 689–690 (2013).</w:t>
      </w:r>
    </w:p>
    <w:p w14:paraId="6A4D8FF3" w14:textId="77777777" w:rsidR="004E1D6B" w:rsidRPr="004E1D6B" w:rsidRDefault="004E1D6B" w:rsidP="004E1D6B">
      <w:pPr>
        <w:widowControl w:val="0"/>
        <w:autoSpaceDE w:val="0"/>
        <w:autoSpaceDN w:val="0"/>
        <w:adjustRightInd w:val="0"/>
        <w:spacing w:line="240" w:lineRule="auto"/>
        <w:ind w:left="640" w:hanging="640"/>
        <w:rPr>
          <w:rFonts w:ascii="Arial" w:hAnsi="Arial" w:cs="Arial"/>
          <w:noProof/>
          <w:szCs w:val="24"/>
        </w:rPr>
      </w:pPr>
      <w:r w:rsidRPr="004E1D6B">
        <w:rPr>
          <w:rFonts w:ascii="Arial" w:hAnsi="Arial" w:cs="Arial"/>
          <w:noProof/>
          <w:szCs w:val="24"/>
        </w:rPr>
        <w:t>5.</w:t>
      </w:r>
      <w:r w:rsidRPr="004E1D6B">
        <w:rPr>
          <w:rFonts w:ascii="Arial" w:hAnsi="Arial" w:cs="Arial"/>
          <w:noProof/>
          <w:szCs w:val="24"/>
        </w:rPr>
        <w:tab/>
        <w:t xml:space="preserve">Schindelin, J. </w:t>
      </w:r>
      <w:r w:rsidRPr="004E1D6B">
        <w:rPr>
          <w:rFonts w:ascii="Arial" w:hAnsi="Arial" w:cs="Arial"/>
          <w:i/>
          <w:iCs/>
          <w:noProof/>
          <w:szCs w:val="24"/>
        </w:rPr>
        <w:t>et al.</w:t>
      </w:r>
      <w:r w:rsidRPr="004E1D6B">
        <w:rPr>
          <w:rFonts w:ascii="Arial" w:hAnsi="Arial" w:cs="Arial"/>
          <w:noProof/>
          <w:szCs w:val="24"/>
        </w:rPr>
        <w:t xml:space="preserve"> Fiji: an open-source platform for biological-image analysis. </w:t>
      </w:r>
      <w:r w:rsidRPr="004E1D6B">
        <w:rPr>
          <w:rFonts w:ascii="Arial" w:hAnsi="Arial" w:cs="Arial"/>
          <w:i/>
          <w:iCs/>
          <w:noProof/>
          <w:szCs w:val="24"/>
        </w:rPr>
        <w:t>Nat. Methods</w:t>
      </w:r>
      <w:r w:rsidRPr="004E1D6B">
        <w:rPr>
          <w:rFonts w:ascii="Arial" w:hAnsi="Arial" w:cs="Arial"/>
          <w:noProof/>
          <w:szCs w:val="24"/>
        </w:rPr>
        <w:t xml:space="preserve"> </w:t>
      </w:r>
      <w:r w:rsidRPr="004E1D6B">
        <w:rPr>
          <w:rFonts w:ascii="Arial" w:hAnsi="Arial" w:cs="Arial"/>
          <w:b/>
          <w:bCs/>
          <w:noProof/>
          <w:szCs w:val="24"/>
        </w:rPr>
        <w:t>9</w:t>
      </w:r>
      <w:r w:rsidRPr="004E1D6B">
        <w:rPr>
          <w:rFonts w:ascii="Arial" w:hAnsi="Arial" w:cs="Arial"/>
          <w:noProof/>
          <w:szCs w:val="24"/>
        </w:rPr>
        <w:t>, 676–682 (2012).</w:t>
      </w:r>
    </w:p>
    <w:p w14:paraId="3C983D43" w14:textId="77777777" w:rsidR="004E1D6B" w:rsidRPr="004E1D6B" w:rsidRDefault="004E1D6B" w:rsidP="004E1D6B">
      <w:pPr>
        <w:widowControl w:val="0"/>
        <w:autoSpaceDE w:val="0"/>
        <w:autoSpaceDN w:val="0"/>
        <w:adjustRightInd w:val="0"/>
        <w:spacing w:line="240" w:lineRule="auto"/>
        <w:ind w:left="640" w:hanging="640"/>
        <w:rPr>
          <w:rFonts w:ascii="Arial" w:hAnsi="Arial" w:cs="Arial"/>
          <w:noProof/>
        </w:rPr>
      </w:pPr>
      <w:r w:rsidRPr="004E1D6B">
        <w:rPr>
          <w:rFonts w:ascii="Arial" w:hAnsi="Arial" w:cs="Arial"/>
          <w:noProof/>
          <w:szCs w:val="24"/>
        </w:rPr>
        <w:t>6.</w:t>
      </w:r>
      <w:r w:rsidRPr="004E1D6B">
        <w:rPr>
          <w:rFonts w:ascii="Arial" w:hAnsi="Arial" w:cs="Arial"/>
          <w:noProof/>
          <w:szCs w:val="24"/>
        </w:rPr>
        <w:tab/>
        <w:t xml:space="preserve">Heinze, K. G., Costantino, S., De Koninck, P. &amp; Wiseman, P. W. Beyond Photobleaching, Laser Illumination Unbinds Fluorescent Proteins. </w:t>
      </w:r>
      <w:r w:rsidRPr="004E1D6B">
        <w:rPr>
          <w:rFonts w:ascii="Arial" w:hAnsi="Arial" w:cs="Arial"/>
          <w:i/>
          <w:iCs/>
          <w:noProof/>
          <w:szCs w:val="24"/>
        </w:rPr>
        <w:t>J. Phys. Chem. B</w:t>
      </w:r>
      <w:r w:rsidRPr="004E1D6B">
        <w:rPr>
          <w:rFonts w:ascii="Arial" w:hAnsi="Arial" w:cs="Arial"/>
          <w:noProof/>
          <w:szCs w:val="24"/>
        </w:rPr>
        <w:t xml:space="preserve"> </w:t>
      </w:r>
      <w:r w:rsidRPr="004E1D6B">
        <w:rPr>
          <w:rFonts w:ascii="Arial" w:hAnsi="Arial" w:cs="Arial"/>
          <w:b/>
          <w:bCs/>
          <w:noProof/>
          <w:szCs w:val="24"/>
        </w:rPr>
        <w:t>113</w:t>
      </w:r>
      <w:r w:rsidRPr="004E1D6B">
        <w:rPr>
          <w:rFonts w:ascii="Arial" w:hAnsi="Arial" w:cs="Arial"/>
          <w:noProof/>
          <w:szCs w:val="24"/>
        </w:rPr>
        <w:t>, 5225–5233 (2009).</w:t>
      </w:r>
    </w:p>
    <w:p w14:paraId="7B10F082" w14:textId="55471C83" w:rsidR="00B7410B" w:rsidRPr="00542800" w:rsidRDefault="00347130" w:rsidP="00420E19">
      <w:pPr>
        <w:jc w:val="both"/>
        <w:rPr>
          <w:rFonts w:ascii="Arial" w:hAnsi="Arial" w:cs="Arial"/>
        </w:rPr>
      </w:pPr>
      <w:r>
        <w:rPr>
          <w:rFonts w:ascii="Arial" w:hAnsi="Arial" w:cs="Arial"/>
        </w:rPr>
        <w:fldChar w:fldCharType="end"/>
      </w:r>
    </w:p>
    <w:sectPr w:rsidR="00B7410B" w:rsidRPr="00542800">
      <w:footerReference w:type="default" r:id="rId16"/>
      <w:pgSz w:w="12240" w:h="15840"/>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F66652" w14:textId="77777777" w:rsidR="00792A96" w:rsidRDefault="00792A96" w:rsidP="00D74F0C">
      <w:pPr>
        <w:spacing w:after="0" w:line="240" w:lineRule="auto"/>
      </w:pPr>
      <w:r>
        <w:separator/>
      </w:r>
    </w:p>
  </w:endnote>
  <w:endnote w:type="continuationSeparator" w:id="0">
    <w:p w14:paraId="351709D3" w14:textId="77777777" w:rsidR="00792A96" w:rsidRDefault="00792A96" w:rsidP="00D74F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ACFF" w:usb2="00000009" w:usb3="00000000" w:csb0="000001FF" w:csb1="00000000"/>
  </w:font>
  <w:font w:name="Times New Roman">
    <w:panose1 w:val="02020603050405020304"/>
    <w:charset w:val="00"/>
    <w:family w:val="roman"/>
    <w:pitch w:val="variable"/>
    <w:sig w:usb0="00002A87" w:usb1="80000000" w:usb2="00000008" w:usb3="00000000" w:csb0="000001FF" w:csb1="00000000"/>
  </w:font>
  <w:font w:name="Arial">
    <w:panose1 w:val="020B0604020202020204"/>
    <w:charset w:val="00"/>
    <w:family w:val="swiss"/>
    <w:pitch w:val="variable"/>
    <w:sig w:usb0="E0002AFF" w:usb1="C0007843" w:usb2="00000009" w:usb3="00000000" w:csb0="000001FF" w:csb1="00000000"/>
  </w:font>
  <w:font w:name="Segoe UI">
    <w:altName w:val="Calibri"/>
    <w:panose1 w:val="020B0604020202020204"/>
    <w:charset w:val="00"/>
    <w:family w:val="swiss"/>
    <w:pitch w:val="variable"/>
    <w:sig w:usb0="E10022FF" w:usb1="C000E47F" w:usb2="00000029" w:usb3="00000000" w:csb0="000001DF" w:csb1="00000000"/>
  </w:font>
  <w:font w:name="Symbol">
    <w:panose1 w:val="05050102010706020507"/>
    <w:charset w:val="02"/>
    <w:family w:val="decorative"/>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80834709"/>
      <w:docPartObj>
        <w:docPartGallery w:val="Page Numbers (Bottom of Page)"/>
        <w:docPartUnique/>
      </w:docPartObj>
    </w:sdtPr>
    <w:sdtEndPr/>
    <w:sdtContent>
      <w:p w14:paraId="7E736C6A" w14:textId="517F9E96" w:rsidR="00D74F0C" w:rsidRDefault="00D74F0C">
        <w:pPr>
          <w:pStyle w:val="Footer"/>
          <w:jc w:val="right"/>
        </w:pPr>
        <w:r>
          <w:fldChar w:fldCharType="begin"/>
        </w:r>
        <w:r>
          <w:instrText>PAGE   \* MERGEFORMAT</w:instrText>
        </w:r>
        <w:r>
          <w:fldChar w:fldCharType="separate"/>
        </w:r>
        <w:r w:rsidR="008B318A" w:rsidRPr="008B318A">
          <w:rPr>
            <w:noProof/>
            <w:lang w:val="de-DE"/>
          </w:rPr>
          <w:t>17</w:t>
        </w:r>
        <w:r>
          <w:fldChar w:fldCharType="end"/>
        </w:r>
      </w:p>
    </w:sdtContent>
  </w:sdt>
  <w:p w14:paraId="31C05ED5" w14:textId="77777777" w:rsidR="00D74F0C" w:rsidRDefault="00D74F0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BA3710" w14:textId="77777777" w:rsidR="00792A96" w:rsidRDefault="00792A96" w:rsidP="00D74F0C">
      <w:pPr>
        <w:spacing w:after="0" w:line="240" w:lineRule="auto"/>
      </w:pPr>
      <w:r>
        <w:separator/>
      </w:r>
    </w:p>
  </w:footnote>
  <w:footnote w:type="continuationSeparator" w:id="0">
    <w:p w14:paraId="0779B2AE" w14:textId="77777777" w:rsidR="00792A96" w:rsidRDefault="00792A96" w:rsidP="00D74F0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1"/>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1563"/>
    <w:rsid w:val="000077C5"/>
    <w:rsid w:val="00015913"/>
    <w:rsid w:val="00016E0E"/>
    <w:rsid w:val="00056458"/>
    <w:rsid w:val="0006521C"/>
    <w:rsid w:val="00067515"/>
    <w:rsid w:val="00090E22"/>
    <w:rsid w:val="000B31FB"/>
    <w:rsid w:val="0012566D"/>
    <w:rsid w:val="001342BC"/>
    <w:rsid w:val="00172B32"/>
    <w:rsid w:val="00175ED9"/>
    <w:rsid w:val="001A2D26"/>
    <w:rsid w:val="001A7D51"/>
    <w:rsid w:val="001B0BB5"/>
    <w:rsid w:val="001B0EA5"/>
    <w:rsid w:val="001D24FB"/>
    <w:rsid w:val="001E05DB"/>
    <w:rsid w:val="001F0969"/>
    <w:rsid w:val="002076BC"/>
    <w:rsid w:val="0021384C"/>
    <w:rsid w:val="002B3A72"/>
    <w:rsid w:val="002B5D92"/>
    <w:rsid w:val="002D3D94"/>
    <w:rsid w:val="002E7F23"/>
    <w:rsid w:val="00307351"/>
    <w:rsid w:val="00347130"/>
    <w:rsid w:val="00351FE9"/>
    <w:rsid w:val="00363515"/>
    <w:rsid w:val="00373F8A"/>
    <w:rsid w:val="003B3F1E"/>
    <w:rsid w:val="003B4A19"/>
    <w:rsid w:val="003C760D"/>
    <w:rsid w:val="00403994"/>
    <w:rsid w:val="00417B84"/>
    <w:rsid w:val="00420E19"/>
    <w:rsid w:val="00452315"/>
    <w:rsid w:val="00466512"/>
    <w:rsid w:val="0048574C"/>
    <w:rsid w:val="004A6DAC"/>
    <w:rsid w:val="004B08DA"/>
    <w:rsid w:val="004B49BF"/>
    <w:rsid w:val="004E1D6B"/>
    <w:rsid w:val="004E4DC2"/>
    <w:rsid w:val="00513A0E"/>
    <w:rsid w:val="00517173"/>
    <w:rsid w:val="00542800"/>
    <w:rsid w:val="00554B29"/>
    <w:rsid w:val="00581563"/>
    <w:rsid w:val="0058512D"/>
    <w:rsid w:val="005D6B3F"/>
    <w:rsid w:val="005E7DA3"/>
    <w:rsid w:val="006040FE"/>
    <w:rsid w:val="0063572C"/>
    <w:rsid w:val="00651669"/>
    <w:rsid w:val="00677CD1"/>
    <w:rsid w:val="006847A0"/>
    <w:rsid w:val="00697142"/>
    <w:rsid w:val="006B4C3F"/>
    <w:rsid w:val="006E6487"/>
    <w:rsid w:val="006E6EBA"/>
    <w:rsid w:val="007248E3"/>
    <w:rsid w:val="00740A31"/>
    <w:rsid w:val="00766D8F"/>
    <w:rsid w:val="00784C83"/>
    <w:rsid w:val="00792A96"/>
    <w:rsid w:val="007B17F2"/>
    <w:rsid w:val="007F26B9"/>
    <w:rsid w:val="007F2994"/>
    <w:rsid w:val="007F7B8F"/>
    <w:rsid w:val="00810986"/>
    <w:rsid w:val="00812D47"/>
    <w:rsid w:val="0081382D"/>
    <w:rsid w:val="00813929"/>
    <w:rsid w:val="00831C54"/>
    <w:rsid w:val="0086631B"/>
    <w:rsid w:val="00891BF6"/>
    <w:rsid w:val="008B318A"/>
    <w:rsid w:val="008D17DE"/>
    <w:rsid w:val="008D3D53"/>
    <w:rsid w:val="008E01F1"/>
    <w:rsid w:val="00910024"/>
    <w:rsid w:val="00911318"/>
    <w:rsid w:val="00920590"/>
    <w:rsid w:val="00932813"/>
    <w:rsid w:val="009329D0"/>
    <w:rsid w:val="00981F9A"/>
    <w:rsid w:val="00992ACE"/>
    <w:rsid w:val="009B77BE"/>
    <w:rsid w:val="009D4961"/>
    <w:rsid w:val="009D6C73"/>
    <w:rsid w:val="00A3326A"/>
    <w:rsid w:val="00A33797"/>
    <w:rsid w:val="00A7286B"/>
    <w:rsid w:val="00A84DA2"/>
    <w:rsid w:val="00AA3641"/>
    <w:rsid w:val="00AC0303"/>
    <w:rsid w:val="00AE6321"/>
    <w:rsid w:val="00B0013E"/>
    <w:rsid w:val="00B160CC"/>
    <w:rsid w:val="00B60CE5"/>
    <w:rsid w:val="00B7410B"/>
    <w:rsid w:val="00B858CD"/>
    <w:rsid w:val="00B926AF"/>
    <w:rsid w:val="00B949D3"/>
    <w:rsid w:val="00B976BE"/>
    <w:rsid w:val="00BC231F"/>
    <w:rsid w:val="00BF58D0"/>
    <w:rsid w:val="00C008A5"/>
    <w:rsid w:val="00C45C1B"/>
    <w:rsid w:val="00C5442D"/>
    <w:rsid w:val="00C645DC"/>
    <w:rsid w:val="00C93B82"/>
    <w:rsid w:val="00C97497"/>
    <w:rsid w:val="00CC7D75"/>
    <w:rsid w:val="00CE3941"/>
    <w:rsid w:val="00CF14D4"/>
    <w:rsid w:val="00D06799"/>
    <w:rsid w:val="00D47C94"/>
    <w:rsid w:val="00D71B0E"/>
    <w:rsid w:val="00D74F0C"/>
    <w:rsid w:val="00DA089A"/>
    <w:rsid w:val="00DC1197"/>
    <w:rsid w:val="00DF00FD"/>
    <w:rsid w:val="00E06E9C"/>
    <w:rsid w:val="00E12E7E"/>
    <w:rsid w:val="00E50859"/>
    <w:rsid w:val="00E70958"/>
    <w:rsid w:val="00ED15DE"/>
    <w:rsid w:val="00F5749C"/>
    <w:rsid w:val="00F76E42"/>
    <w:rsid w:val="00FA3313"/>
    <w:rsid w:val="00FB5381"/>
    <w:rsid w:val="00FF2205"/>
    <w:rsid w:val="00FF37A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863FC6"/>
  <w15:chartTrackingRefBased/>
  <w15:docId w15:val="{45EAE299-A7D4-4C7C-B249-A705770DDE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81563"/>
  </w:style>
  <w:style w:type="paragraph" w:styleId="Heading1">
    <w:name w:val="heading 1"/>
    <w:basedOn w:val="Normal"/>
    <w:next w:val="Normal"/>
    <w:link w:val="Heading1Char"/>
    <w:uiPriority w:val="9"/>
    <w:qFormat/>
    <w:rsid w:val="00581563"/>
    <w:pPr>
      <w:keepNext/>
      <w:keepLines/>
      <w:spacing w:before="240" w:after="0"/>
      <w:outlineLvl w:val="0"/>
    </w:pPr>
    <w:rPr>
      <w:rFonts w:ascii="Arial" w:eastAsiaTheme="majorEastAsia" w:hAnsi="Arial" w:cstheme="majorBidi"/>
      <w:b/>
      <w:sz w:val="24"/>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81563"/>
    <w:rPr>
      <w:rFonts w:ascii="Arial" w:eastAsiaTheme="majorEastAsia" w:hAnsi="Arial" w:cstheme="majorBidi"/>
      <w:b/>
      <w:sz w:val="24"/>
      <w:szCs w:val="32"/>
    </w:rPr>
  </w:style>
  <w:style w:type="character" w:styleId="CommentReference">
    <w:name w:val="annotation reference"/>
    <w:basedOn w:val="DefaultParagraphFont"/>
    <w:uiPriority w:val="99"/>
    <w:semiHidden/>
    <w:unhideWhenUsed/>
    <w:rsid w:val="00373F8A"/>
    <w:rPr>
      <w:sz w:val="16"/>
      <w:szCs w:val="16"/>
    </w:rPr>
  </w:style>
  <w:style w:type="paragraph" w:styleId="CommentText">
    <w:name w:val="annotation text"/>
    <w:basedOn w:val="Normal"/>
    <w:link w:val="CommentTextChar"/>
    <w:uiPriority w:val="99"/>
    <w:semiHidden/>
    <w:unhideWhenUsed/>
    <w:rsid w:val="00373F8A"/>
    <w:pPr>
      <w:spacing w:line="240" w:lineRule="auto"/>
    </w:pPr>
    <w:rPr>
      <w:sz w:val="20"/>
      <w:szCs w:val="20"/>
    </w:rPr>
  </w:style>
  <w:style w:type="character" w:customStyle="1" w:styleId="CommentTextChar">
    <w:name w:val="Comment Text Char"/>
    <w:basedOn w:val="DefaultParagraphFont"/>
    <w:link w:val="CommentText"/>
    <w:uiPriority w:val="99"/>
    <w:semiHidden/>
    <w:rsid w:val="00373F8A"/>
    <w:rPr>
      <w:sz w:val="20"/>
      <w:szCs w:val="20"/>
    </w:rPr>
  </w:style>
  <w:style w:type="paragraph" w:styleId="CommentSubject">
    <w:name w:val="annotation subject"/>
    <w:basedOn w:val="CommentText"/>
    <w:next w:val="CommentText"/>
    <w:link w:val="CommentSubjectChar"/>
    <w:uiPriority w:val="99"/>
    <w:semiHidden/>
    <w:unhideWhenUsed/>
    <w:rsid w:val="00373F8A"/>
    <w:rPr>
      <w:b/>
      <w:bCs/>
    </w:rPr>
  </w:style>
  <w:style w:type="character" w:customStyle="1" w:styleId="CommentSubjectChar">
    <w:name w:val="Comment Subject Char"/>
    <w:basedOn w:val="CommentTextChar"/>
    <w:link w:val="CommentSubject"/>
    <w:uiPriority w:val="99"/>
    <w:semiHidden/>
    <w:rsid w:val="00373F8A"/>
    <w:rPr>
      <w:b/>
      <w:bCs/>
      <w:sz w:val="20"/>
      <w:szCs w:val="20"/>
    </w:rPr>
  </w:style>
  <w:style w:type="paragraph" w:styleId="BalloonText">
    <w:name w:val="Balloon Text"/>
    <w:basedOn w:val="Normal"/>
    <w:link w:val="BalloonTextChar"/>
    <w:uiPriority w:val="99"/>
    <w:semiHidden/>
    <w:unhideWhenUsed/>
    <w:rsid w:val="00373F8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73F8A"/>
    <w:rPr>
      <w:rFonts w:ascii="Segoe UI" w:hAnsi="Segoe UI" w:cs="Segoe UI"/>
      <w:sz w:val="18"/>
      <w:szCs w:val="18"/>
    </w:rPr>
  </w:style>
  <w:style w:type="paragraph" w:styleId="Revision">
    <w:name w:val="Revision"/>
    <w:hidden/>
    <w:uiPriority w:val="99"/>
    <w:semiHidden/>
    <w:rsid w:val="006E6EBA"/>
    <w:pPr>
      <w:spacing w:after="0" w:line="240" w:lineRule="auto"/>
    </w:pPr>
  </w:style>
  <w:style w:type="paragraph" w:styleId="Header">
    <w:name w:val="header"/>
    <w:basedOn w:val="Normal"/>
    <w:link w:val="HeaderChar"/>
    <w:uiPriority w:val="99"/>
    <w:unhideWhenUsed/>
    <w:rsid w:val="00D74F0C"/>
    <w:pPr>
      <w:tabs>
        <w:tab w:val="center" w:pos="4703"/>
        <w:tab w:val="right" w:pos="9406"/>
      </w:tabs>
      <w:spacing w:after="0" w:line="240" w:lineRule="auto"/>
    </w:pPr>
  </w:style>
  <w:style w:type="character" w:customStyle="1" w:styleId="HeaderChar">
    <w:name w:val="Header Char"/>
    <w:basedOn w:val="DefaultParagraphFont"/>
    <w:link w:val="Header"/>
    <w:uiPriority w:val="99"/>
    <w:rsid w:val="00D74F0C"/>
  </w:style>
  <w:style w:type="paragraph" w:styleId="Footer">
    <w:name w:val="footer"/>
    <w:basedOn w:val="Normal"/>
    <w:link w:val="FooterChar"/>
    <w:uiPriority w:val="99"/>
    <w:unhideWhenUsed/>
    <w:rsid w:val="00D74F0C"/>
    <w:pPr>
      <w:tabs>
        <w:tab w:val="center" w:pos="4703"/>
        <w:tab w:val="right" w:pos="9406"/>
      </w:tabs>
      <w:spacing w:after="0" w:line="240" w:lineRule="auto"/>
    </w:pPr>
  </w:style>
  <w:style w:type="character" w:customStyle="1" w:styleId="FooterChar">
    <w:name w:val="Footer Char"/>
    <w:basedOn w:val="DefaultParagraphFont"/>
    <w:link w:val="Footer"/>
    <w:uiPriority w:val="99"/>
    <w:rsid w:val="00D74F0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2653141">
      <w:bodyDiv w:val="1"/>
      <w:marLeft w:val="0"/>
      <w:marRight w:val="0"/>
      <w:marTop w:val="0"/>
      <w:marBottom w:val="0"/>
      <w:divBdr>
        <w:top w:val="none" w:sz="0" w:space="0" w:color="auto"/>
        <w:left w:val="none" w:sz="0" w:space="0" w:color="auto"/>
        <w:bottom w:val="none" w:sz="0" w:space="0" w:color="auto"/>
        <w:right w:val="none" w:sz="0" w:space="0" w:color="auto"/>
      </w:divBdr>
    </w:div>
    <w:div w:id="184639050">
      <w:bodyDiv w:val="1"/>
      <w:marLeft w:val="0"/>
      <w:marRight w:val="0"/>
      <w:marTop w:val="0"/>
      <w:marBottom w:val="0"/>
      <w:divBdr>
        <w:top w:val="none" w:sz="0" w:space="0" w:color="auto"/>
        <w:left w:val="none" w:sz="0" w:space="0" w:color="auto"/>
        <w:bottom w:val="none" w:sz="0" w:space="0" w:color="auto"/>
        <w:right w:val="none" w:sz="0" w:space="0" w:color="auto"/>
      </w:divBdr>
    </w:div>
    <w:div w:id="774713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tif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image" Target="media/image6.tif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image" Target="media/image9.tiff"/><Relationship Id="rId10" Type="http://schemas.openxmlformats.org/officeDocument/2006/relationships/image" Target="media/image4.tif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8.tif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Lariss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F5A1D4-8EE0-E64C-A246-827D8BAFC6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17</Pages>
  <Words>5795</Words>
  <Characters>33034</Characters>
  <Application>Microsoft Office Word</Application>
  <DocSecurity>0</DocSecurity>
  <Lines>275</Lines>
  <Paragraphs>77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38752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maja</dc:creator>
  <cp:keywords/>
  <dc:description/>
  <cp:lastModifiedBy>Thomas Kuner</cp:lastModifiedBy>
  <cp:revision>6</cp:revision>
  <dcterms:created xsi:type="dcterms:W3CDTF">2019-08-09T12:59:00Z</dcterms:created>
  <dcterms:modified xsi:type="dcterms:W3CDTF">2019-08-10T17:05:00Z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http://www.zotero.org/styles/harvard1</vt:lpwstr>
  </property>
  <property fmtid="{D5CDD505-2E9C-101B-9397-08002B2CF9AE}" pid="13" name="Mendeley Recent Style Name 5_1">
    <vt:lpwstr>Harvard reference format 1 (deprecated)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26c110fd-e17c-32ac-b729-eafa6e9f1aee</vt:lpwstr>
  </property>
  <property fmtid="{D5CDD505-2E9C-101B-9397-08002B2CF9AE}" pid="24" name="Mendeley Citation Style_1">
    <vt:lpwstr>http://www.zotero.org/styles/nature</vt:lpwstr>
  </property>
</Properties>
</file>