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0B5E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0" w:name="_rzx3zlawj3lu" w:colFirst="0" w:colLast="0"/>
      <w:bookmarkEnd w:id="0"/>
    </w:p>
    <w:p w14:paraId="72F1EBFD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1" w:name="_7i1jdjt4q88e" w:colFirst="0" w:colLast="0"/>
      <w:bookmarkEnd w:id="1"/>
    </w:p>
    <w:p w14:paraId="45F736C1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2" w:name="_cqzpcmncyae4" w:colFirst="0" w:colLast="0"/>
      <w:bookmarkEnd w:id="2"/>
    </w:p>
    <w:p w14:paraId="37FC6F0B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3" w:name="_vnag8d5xx3q9" w:colFirst="0" w:colLast="0"/>
      <w:bookmarkEnd w:id="3"/>
    </w:p>
    <w:p w14:paraId="6A3CC62C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4" w:name="_mjf4o5kivonp" w:colFirst="0" w:colLast="0"/>
      <w:bookmarkEnd w:id="4"/>
    </w:p>
    <w:p w14:paraId="388B6345" w14:textId="77777777" w:rsidR="00B20313" w:rsidRDefault="00B20313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5" w:name="_qaqe0ppktn02" w:colFirst="0" w:colLast="0"/>
      <w:bookmarkEnd w:id="5"/>
    </w:p>
    <w:p w14:paraId="566C2D60" w14:textId="77777777" w:rsidR="00B20313" w:rsidRDefault="0081638F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bookmarkStart w:id="6" w:name="_hccly9pvp2tg" w:colFirst="0" w:colLast="0"/>
      <w:bookmarkEnd w:id="6"/>
      <w:r>
        <w:rPr>
          <w:rFonts w:ascii="Times New Roman" w:eastAsia="Times New Roman" w:hAnsi="Times New Roman" w:cs="Times New Roman"/>
          <w:b/>
        </w:rPr>
        <w:t>Supplementary Material</w:t>
      </w:r>
    </w:p>
    <w:p w14:paraId="0F159784" w14:textId="77777777" w:rsidR="00B20313" w:rsidRDefault="00B20313"/>
    <w:p w14:paraId="4A625C0C" w14:textId="77777777" w:rsidR="00B20313" w:rsidRDefault="00B20313"/>
    <w:p w14:paraId="3A7221EF" w14:textId="77777777" w:rsidR="00B20313" w:rsidRDefault="0081638F">
      <w:r>
        <w:br w:type="page"/>
      </w:r>
    </w:p>
    <w:p w14:paraId="478CA50A" w14:textId="77777777" w:rsidR="00B20313" w:rsidRDefault="0081638F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14C6886E" wp14:editId="1F6CA65A">
            <wp:extent cx="4719638" cy="273043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273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45AF4" w14:textId="77777777" w:rsidR="00B20313" w:rsidRDefault="00B203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2392E" w14:textId="1AAEFDFB" w:rsidR="0081638F" w:rsidRDefault="0081638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38F">
        <w:rPr>
          <w:rFonts w:ascii="Times New Roman" w:eastAsia="Times New Roman" w:hAnsi="Times New Roman" w:cs="Times New Roman"/>
          <w:b/>
          <w:sz w:val="20"/>
          <w:szCs w:val="20"/>
        </w:rPr>
        <w:t xml:space="preserve">Figure S1. Time-frequency representation for fluent and stuttered trials. 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Beta-band (12 to 30 Hz) time-frequency representation of fluent (left) and stuttered (right) trials across participants (N = 29). The 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>corresponding topographies are shown above each plot for times between 0.2 and 0.5 seconds after the cue and for frequencies between 22 and 27 Hz.</w:t>
      </w:r>
    </w:p>
    <w:p w14:paraId="46524426" w14:textId="77777777" w:rsidR="0081638F" w:rsidRDefault="008163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3E6E44F" w14:textId="77777777" w:rsidR="00B20313" w:rsidRPr="00B96F2E" w:rsidRDefault="0081638F">
      <w:pPr>
        <w:pStyle w:val="Heading4"/>
        <w:jc w:val="both"/>
        <w:rPr>
          <w:rFonts w:ascii="Times New Roman" w:eastAsia="Times New Roman" w:hAnsi="Times New Roman" w:cs="Times New Roman"/>
          <w:b/>
        </w:rPr>
      </w:pPr>
      <w:bookmarkStart w:id="7" w:name="_1cd5yyq1qckk" w:colFirst="0" w:colLast="0"/>
      <w:bookmarkEnd w:id="7"/>
      <w:r w:rsidRPr="00B96F2E">
        <w:rPr>
          <w:rFonts w:ascii="Times New Roman" w:eastAsia="Times New Roman" w:hAnsi="Times New Roman" w:cs="Times New Roman"/>
          <w:b/>
        </w:rPr>
        <w:lastRenderedPageBreak/>
        <w:t>Whole-brain event-related fields exploratory analysis</w:t>
      </w:r>
    </w:p>
    <w:p w14:paraId="7BD1B371" w14:textId="77777777" w:rsidR="00B20313" w:rsidRDefault="00816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addition to the hypothesis-driven analyses in freq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uency space, we explored the differences between stuttered and fluent trials in the raw signal, i.e., in their event related fields (ERFs). MEG signals were digitally low-pass filtered at 30Hz using MNE-python’s default parameters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oched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-2700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relative to the onset of presentation of the go signal (green asterisk; Fig. 1, main body). Epochs were mean-centered, linearly detrended, and equalized in counts as above so that each participant had the same number of 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ochs per trial type (stuttered, fluent). We applied each participant’s previously computed inverse model (see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Power-spectral density in source space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above) to the average across trials of each condition (i.e., its ERF) and each projection was morph</w:t>
      </w:r>
      <w:r>
        <w:rPr>
          <w:rFonts w:ascii="Times New Roman" w:eastAsia="Times New Roman" w:hAnsi="Times New Roman" w:cs="Times New Roman"/>
          <w:sz w:val="24"/>
          <w:szCs w:val="24"/>
        </w:rPr>
        <w:t>ed to a common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fsaverage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space. Finally, we computed the normalized difference between the trial types as (stuttered-fluent)/(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stuttered+fluent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before averaging across subjects. To explore differences between the trial types between the cue presentation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go signal, we performed a series of one-sample cluster-based permutation tests (1000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permutations;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two-tailed) across participants (N = 29) with an initial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-threshold equivalent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0.01 and a subsequent cluster threshold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&lt; </w:t>
      </w:r>
      <w:r>
        <w:rPr>
          <w:rFonts w:ascii="Times New Roman" w:eastAsia="Times New Roman" w:hAnsi="Times New Roman" w:cs="Times New Roman"/>
          <w:sz w:val="24"/>
          <w:szCs w:val="24"/>
        </w:rPr>
        <w:t>0.05 as before.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Specifically, the tests were performed at the whole-brain level (i.e., using all 5124 sources) using a sliding window of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 temporal overlap of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(i.e., sliding forward in increments of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Results are reported for clusters that exceede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&lt; </w:t>
      </w:r>
      <w:r>
        <w:rPr>
          <w:rFonts w:ascii="Times New Roman" w:eastAsia="Times New Roman" w:hAnsi="Times New Roman" w:cs="Times New Roman"/>
          <w:sz w:val="24"/>
          <w:szCs w:val="24"/>
        </w:rPr>
        <w:t>0.05 threshold.</w:t>
      </w:r>
    </w:p>
    <w:p w14:paraId="36DDE2EC" w14:textId="77777777" w:rsidR="00B20313" w:rsidRDefault="00B203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74EB9" w14:textId="77777777" w:rsidR="00B20313" w:rsidRDefault="0081638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significant clusters were identified in the times between the cue and go signal presentation (Fig S2): a cluster in the right superior frontal cortex (stuttered &gt; fluent at 200 - 300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0.041) presenting some overlap wi</w:t>
      </w:r>
      <w:r>
        <w:rPr>
          <w:rFonts w:ascii="Times New Roman" w:eastAsia="Times New Roman" w:hAnsi="Times New Roman" w:cs="Times New Roman"/>
          <w:sz w:val="24"/>
          <w:szCs w:val="24"/>
        </w:rPr>
        <w:t>th the previously identified 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cluster albeit slightly more anterior (Fig S3); two distinct clusters (both stuttered &gt; fluent at 500 - 600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covering much of the left superior frontal gyrus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0.035) and right anterior dorsolateral prefrontal co</w:t>
      </w:r>
      <w:r>
        <w:rPr>
          <w:rFonts w:ascii="Times New Roman" w:eastAsia="Times New Roman" w:hAnsi="Times New Roman" w:cs="Times New Roman"/>
          <w:sz w:val="24"/>
          <w:szCs w:val="24"/>
        </w:rPr>
        <w:t>rtex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0.041); and a cluster (stuttered &gt; fluent at 550 - 650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at the left posterior temporal cortex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0.038).</w:t>
      </w:r>
    </w:p>
    <w:p w14:paraId="25740AFE" w14:textId="77777777" w:rsidR="00B20313" w:rsidRDefault="00B203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66872" w14:textId="77777777" w:rsidR="00B20313" w:rsidRDefault="00B20313">
      <w:pPr>
        <w:shd w:val="clear" w:color="auto" w:fill="FFFFFF"/>
        <w:jc w:val="both"/>
      </w:pPr>
    </w:p>
    <w:p w14:paraId="0F71C3C5" w14:textId="77777777" w:rsidR="00B20313" w:rsidRDefault="00B20313">
      <w:pPr>
        <w:jc w:val="center"/>
      </w:pPr>
    </w:p>
    <w:p w14:paraId="1A7014D7" w14:textId="77777777" w:rsidR="00B20313" w:rsidRDefault="0081638F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26367BA0" wp14:editId="683448F3">
            <wp:extent cx="4414604" cy="3273537"/>
            <wp:effectExtent l="0" t="0" r="5080" b="317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121" cy="328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C3F64" w14:textId="77777777" w:rsidR="00B20313" w:rsidRDefault="00B20313">
      <w:pPr>
        <w:jc w:val="center"/>
      </w:pPr>
    </w:p>
    <w:p w14:paraId="1478BD84" w14:textId="77777777" w:rsidR="00B20313" w:rsidRPr="0081638F" w:rsidRDefault="0081638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638F">
        <w:rPr>
          <w:rFonts w:ascii="Times New Roman" w:eastAsia="Times New Roman" w:hAnsi="Times New Roman" w:cs="Times New Roman"/>
          <w:b/>
          <w:sz w:val="20"/>
          <w:szCs w:val="20"/>
        </w:rPr>
        <w:t>Figure S2. Whole-brain ERF analysis results.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The analysis yielded four distinct clusters with greater activity in stuttered compar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>ed to fluent trials (</w:t>
      </w:r>
      <w:r w:rsidRPr="0081638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&lt; 0.05). Between 200 and 300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after the Cue, there was greater activity for stuttered trials in the right dorsal frontal cortex (red cluster), in a cluster largely overlapping in time and spatial location that identified in the PSD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analysis (see main text, Fig. 3, and Fig S3). This was followed by greater activity for stuttered trials between 500 and 600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in the left superior frontal gyrus (green cluster) and in the right dorsolateral prefrontal cortex (blue cluster). There was al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so greater activity for stuttered trials in the left posterior superior and middle temporal cortex (dark violet cluster) between 550 and 650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ms.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The timeline of events in the experimental trial and the temporal segment corresponding to the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epoched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data (0 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>to 1 second after Cue presentation) are shown below the clusters. The approximate times in which significant differences were found are indicated by horizontal bars with the color of each cluster. RH: Right Hemisphere. LH: Left Hemisphere.</w:t>
      </w:r>
    </w:p>
    <w:p w14:paraId="770B30CA" w14:textId="77777777" w:rsidR="00B20313" w:rsidRDefault="00B203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BAC4C" w14:textId="77777777" w:rsidR="00B20313" w:rsidRDefault="008163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EED9D46" w14:textId="77777777" w:rsidR="00B20313" w:rsidRDefault="0081638F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6B3E0923" wp14:editId="45F16B91">
            <wp:extent cx="2738438" cy="190286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190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77314" w14:textId="77777777" w:rsidR="00B20313" w:rsidRPr="0081638F" w:rsidRDefault="0081638F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1638F">
        <w:rPr>
          <w:rFonts w:ascii="Times New Roman" w:eastAsia="Times New Roman" w:hAnsi="Times New Roman" w:cs="Times New Roman"/>
          <w:b/>
          <w:sz w:val="20"/>
          <w:szCs w:val="20"/>
        </w:rPr>
        <w:t>Figure S3. Location and overlap of right superior frontal clusters.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R-pre-SMA cluster showing greater beta power between 200 and 500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after Cue presentation for stuttered compared to fluent trials (magenta; left). Right superior frontal cluster showing m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ore activity (ERF) between 200 and 300 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also for stuttered compared to fluent trials (red; middle). The overlap between the two clusters indicates a </w:t>
      </w:r>
      <w:proofErr w:type="gramStart"/>
      <w:r w:rsidRPr="0081638F">
        <w:rPr>
          <w:rFonts w:ascii="Times New Roman" w:eastAsia="Times New Roman" w:hAnsi="Times New Roman" w:cs="Times New Roman"/>
          <w:sz w:val="20"/>
          <w:szCs w:val="20"/>
        </w:rPr>
        <w:t>large shared</w:t>
      </w:r>
      <w:proofErr w:type="gramEnd"/>
      <w:r w:rsidRPr="0081638F">
        <w:rPr>
          <w:rFonts w:ascii="Times New Roman" w:eastAsia="Times New Roman" w:hAnsi="Times New Roman" w:cs="Times New Roman"/>
          <w:sz w:val="20"/>
          <w:szCs w:val="20"/>
        </w:rPr>
        <w:t xml:space="preserve"> area (in yellow) and a slightly more anterior location of the ERF cluster. R-</w:t>
      </w:r>
      <w:proofErr w:type="spellStart"/>
      <w:r w:rsidRPr="0081638F">
        <w:rPr>
          <w:rFonts w:ascii="Times New Roman" w:eastAsia="Times New Roman" w:hAnsi="Times New Roman" w:cs="Times New Roman"/>
          <w:sz w:val="20"/>
          <w:szCs w:val="20"/>
        </w:rPr>
        <w:t>preSMA</w:t>
      </w:r>
      <w:proofErr w:type="spellEnd"/>
      <w:r w:rsidRPr="0081638F">
        <w:rPr>
          <w:rFonts w:ascii="Times New Roman" w:eastAsia="Times New Roman" w:hAnsi="Times New Roman" w:cs="Times New Roman"/>
          <w:sz w:val="20"/>
          <w:szCs w:val="20"/>
        </w:rPr>
        <w:t>: Right p</w:t>
      </w:r>
      <w:r w:rsidRPr="0081638F">
        <w:rPr>
          <w:rFonts w:ascii="Times New Roman" w:eastAsia="Times New Roman" w:hAnsi="Times New Roman" w:cs="Times New Roman"/>
          <w:sz w:val="20"/>
          <w:szCs w:val="20"/>
        </w:rPr>
        <w:t>re-Supplementary Motor Area. ERF: Event Related Field.</w:t>
      </w:r>
    </w:p>
    <w:sectPr w:rsidR="00B20313" w:rsidRPr="0081638F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13"/>
    <w:rsid w:val="0081638F"/>
    <w:rsid w:val="00B20313"/>
    <w:rsid w:val="00B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F0AA"/>
  <w15:docId w15:val="{7EE009F9-94F5-4080-80A2-7EB6A4A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682</Words>
  <Characters>3702</Characters>
  <Application>Microsoft Office Word</Application>
  <DocSecurity>0</DocSecurity>
  <Lines>62</Lines>
  <Paragraphs>24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Orpella Garcia</cp:lastModifiedBy>
  <cp:revision>3</cp:revision>
  <dcterms:created xsi:type="dcterms:W3CDTF">2022-07-26T18:53:00Z</dcterms:created>
  <dcterms:modified xsi:type="dcterms:W3CDTF">2022-08-02T14:20:00Z</dcterms:modified>
</cp:coreProperties>
</file>