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1BD7" w14:textId="3CC5B7E4" w:rsidR="00107F14" w:rsidRDefault="00107F14" w:rsidP="005F2348">
      <w:pPr>
        <w:spacing w:line="240" w:lineRule="auto"/>
        <w:jc w:val="both"/>
        <w:rPr>
          <w:rFonts w:ascii="Times New Roman" w:hAnsi="Times New Roman" w:cs="Times New Roman"/>
          <w:b/>
          <w:sz w:val="24"/>
          <w:szCs w:val="24"/>
          <w:lang w:val="en-US"/>
        </w:rPr>
      </w:pPr>
      <w:r w:rsidRPr="005F2348">
        <w:rPr>
          <w:rFonts w:ascii="Times New Roman" w:hAnsi="Times New Roman" w:cs="Times New Roman"/>
          <w:b/>
          <w:sz w:val="24"/>
          <w:szCs w:val="24"/>
          <w:lang w:val="en-US"/>
        </w:rPr>
        <w:t xml:space="preserve">Supplementary table </w:t>
      </w:r>
      <w:r>
        <w:rPr>
          <w:rFonts w:ascii="Times New Roman" w:hAnsi="Times New Roman" w:cs="Times New Roman"/>
          <w:b/>
          <w:sz w:val="24"/>
          <w:szCs w:val="24"/>
          <w:lang w:val="en-US"/>
        </w:rPr>
        <w:t>1</w:t>
      </w:r>
      <w:r w:rsidRPr="005F23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INVERT Study Protocol Synopsis</w:t>
      </w:r>
      <w:r w:rsidRPr="005F2348">
        <w:rPr>
          <w:rFonts w:ascii="Times New Roman" w:hAnsi="Times New Roman" w:cs="Times New Roman"/>
          <w:b/>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048"/>
      </w:tblGrid>
      <w:tr w:rsidR="00107F14" w:rsidRPr="00495C35" w14:paraId="0230321D" w14:textId="77777777" w:rsidTr="00107F14">
        <w:trPr>
          <w:jc w:val="center"/>
        </w:trPr>
        <w:tc>
          <w:tcPr>
            <w:tcW w:w="2660" w:type="dxa"/>
          </w:tcPr>
          <w:p w14:paraId="5BAD6D0E" w14:textId="77777777" w:rsidR="00107F14" w:rsidRPr="00092BB0" w:rsidRDefault="00107F14" w:rsidP="0009317C">
            <w:pPr>
              <w:spacing w:before="120" w:after="120"/>
              <w:rPr>
                <w:rFonts w:ascii="Times New Roman" w:hAnsi="Times New Roman" w:cs="Times New Roman"/>
                <w:b/>
                <w:sz w:val="24"/>
                <w:szCs w:val="24"/>
              </w:rPr>
            </w:pPr>
            <w:r w:rsidRPr="00092BB0">
              <w:rPr>
                <w:rFonts w:ascii="Times New Roman" w:hAnsi="Times New Roman" w:cs="Times New Roman"/>
                <w:b/>
                <w:sz w:val="24"/>
                <w:szCs w:val="24"/>
              </w:rPr>
              <w:t xml:space="preserve">Title </w:t>
            </w:r>
            <w:proofErr w:type="spellStart"/>
            <w:r w:rsidRPr="00092BB0">
              <w:rPr>
                <w:rFonts w:ascii="Times New Roman" w:hAnsi="Times New Roman" w:cs="Times New Roman"/>
                <w:b/>
                <w:sz w:val="24"/>
                <w:szCs w:val="24"/>
              </w:rPr>
              <w:t>of</w:t>
            </w:r>
            <w:proofErr w:type="spellEnd"/>
            <w:r w:rsidRPr="00092BB0">
              <w:rPr>
                <w:rFonts w:ascii="Times New Roman" w:hAnsi="Times New Roman" w:cs="Times New Roman"/>
                <w:b/>
                <w:sz w:val="24"/>
                <w:szCs w:val="24"/>
              </w:rPr>
              <w:t xml:space="preserve"> Study</w:t>
            </w:r>
          </w:p>
        </w:tc>
        <w:tc>
          <w:tcPr>
            <w:tcW w:w="6048" w:type="dxa"/>
          </w:tcPr>
          <w:p w14:paraId="273DA002" w14:textId="007004B1" w:rsidR="00107F14" w:rsidRPr="00092BB0" w:rsidRDefault="00107F14" w:rsidP="00107F14">
            <w:pPr>
              <w:spacing w:before="80" w:after="80"/>
              <w:ind w:left="400" w:right="212"/>
              <w:jc w:val="both"/>
              <w:rPr>
                <w:rFonts w:ascii="Times New Roman" w:hAnsi="Times New Roman" w:cs="Times New Roman"/>
                <w:b/>
                <w:sz w:val="24"/>
                <w:szCs w:val="24"/>
                <w:lang w:val="en-US"/>
              </w:rPr>
            </w:pPr>
            <w:r w:rsidRPr="00092BB0">
              <w:rPr>
                <w:rFonts w:ascii="Times New Roman" w:hAnsi="Times New Roman" w:cs="Times New Roman"/>
                <w:b/>
                <w:sz w:val="24"/>
                <w:szCs w:val="24"/>
                <w:lang w:val="en-US"/>
              </w:rPr>
              <w:t>Phase II study to assess the results</w:t>
            </w:r>
            <w:r>
              <w:rPr>
                <w:rFonts w:ascii="Times New Roman" w:hAnsi="Times New Roman" w:cs="Times New Roman"/>
                <w:b/>
                <w:sz w:val="24"/>
                <w:szCs w:val="24"/>
                <w:lang w:val="en-US"/>
              </w:rPr>
              <w:t xml:space="preserve"> of intensity-</w:t>
            </w:r>
            <w:proofErr w:type="spellStart"/>
            <w:r>
              <w:rPr>
                <w:rFonts w:ascii="Times New Roman" w:hAnsi="Times New Roman" w:cs="Times New Roman"/>
                <w:b/>
                <w:sz w:val="24"/>
                <w:szCs w:val="24"/>
                <w:lang w:val="en-US"/>
              </w:rPr>
              <w:t>mudulated</w:t>
            </w:r>
            <w:proofErr w:type="spellEnd"/>
            <w:r>
              <w:rPr>
                <w:rFonts w:ascii="Times New Roman" w:hAnsi="Times New Roman" w:cs="Times New Roman"/>
                <w:b/>
                <w:sz w:val="24"/>
                <w:szCs w:val="24"/>
                <w:lang w:val="en-US"/>
              </w:rPr>
              <w:t xml:space="preserve"> radiotherapy </w:t>
            </w:r>
            <w:r w:rsidRPr="00092BB0">
              <w:rPr>
                <w:rFonts w:ascii="Times New Roman" w:hAnsi="Times New Roman" w:cs="Times New Roman"/>
                <w:b/>
                <w:sz w:val="24"/>
                <w:szCs w:val="24"/>
                <w:lang w:val="en-US"/>
              </w:rPr>
              <w:t>based neoadjuvant chemoradiotherapy with local dose escalation, followed by radical resection for squamous cell carcinoma of the head and neck (INVERT).</w:t>
            </w:r>
          </w:p>
        </w:tc>
      </w:tr>
      <w:tr w:rsidR="00107F14" w:rsidRPr="00495C35" w14:paraId="28D16838" w14:textId="77777777" w:rsidTr="00107F14">
        <w:trPr>
          <w:jc w:val="center"/>
        </w:trPr>
        <w:tc>
          <w:tcPr>
            <w:tcW w:w="2660" w:type="dxa"/>
          </w:tcPr>
          <w:p w14:paraId="0DFF3DA8" w14:textId="77777777" w:rsidR="00107F14" w:rsidRPr="00092BB0" w:rsidRDefault="00107F14" w:rsidP="0009317C">
            <w:pPr>
              <w:spacing w:before="120" w:after="120"/>
              <w:rPr>
                <w:rFonts w:ascii="Times New Roman" w:hAnsi="Times New Roman" w:cs="Times New Roman"/>
                <w:b/>
                <w:sz w:val="24"/>
                <w:szCs w:val="24"/>
                <w:lang w:val="en-US"/>
              </w:rPr>
            </w:pPr>
            <w:r w:rsidRPr="00092BB0">
              <w:rPr>
                <w:rFonts w:ascii="Times New Roman" w:hAnsi="Times New Roman" w:cs="Times New Roman"/>
                <w:b/>
                <w:sz w:val="24"/>
                <w:szCs w:val="24"/>
                <w:lang w:val="en-US"/>
              </w:rPr>
              <w:t>Study Chairman</w:t>
            </w:r>
          </w:p>
        </w:tc>
        <w:tc>
          <w:tcPr>
            <w:tcW w:w="6048" w:type="dxa"/>
          </w:tcPr>
          <w:p w14:paraId="13ED1593" w14:textId="77777777" w:rsidR="00107F14" w:rsidRPr="00092BB0" w:rsidRDefault="00107F14" w:rsidP="0009317C">
            <w:pPr>
              <w:tabs>
                <w:tab w:val="left" w:pos="3060"/>
              </w:tabs>
              <w:spacing w:after="0" w:line="240" w:lineRule="auto"/>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 </w:t>
            </w:r>
          </w:p>
          <w:p w14:paraId="09617415" w14:textId="77777777" w:rsidR="00107F14" w:rsidRPr="00092BB0" w:rsidRDefault="00107F14" w:rsidP="0009317C">
            <w:pPr>
              <w:tabs>
                <w:tab w:val="left" w:pos="3060"/>
              </w:tabs>
              <w:spacing w:after="0" w:line="240" w:lineRule="auto"/>
              <w:rPr>
                <w:rFonts w:ascii="Times New Roman" w:hAnsi="Times New Roman" w:cs="Times New Roman"/>
                <w:b/>
                <w:sz w:val="24"/>
                <w:szCs w:val="24"/>
                <w:lang w:val="en-US"/>
              </w:rPr>
            </w:pPr>
            <w:r>
              <w:rPr>
                <w:rFonts w:ascii="Times New Roman" w:hAnsi="Times New Roman"/>
                <w:sz w:val="24"/>
                <w:szCs w:val="24"/>
                <w:lang w:val="en-US"/>
              </w:rPr>
              <w:t xml:space="preserve">       </w:t>
            </w:r>
            <w:r w:rsidRPr="00092BB0">
              <w:rPr>
                <w:rFonts w:ascii="Times New Roman" w:hAnsi="Times New Roman" w:cs="Times New Roman"/>
                <w:sz w:val="24"/>
                <w:szCs w:val="24"/>
                <w:lang w:val="en-US"/>
              </w:rPr>
              <w:t xml:space="preserve">Prof. Dr. Dr. Dr. Shahram </w:t>
            </w:r>
            <w:proofErr w:type="spellStart"/>
            <w:r w:rsidRPr="00092BB0">
              <w:rPr>
                <w:rFonts w:ascii="Times New Roman" w:hAnsi="Times New Roman" w:cs="Times New Roman"/>
                <w:sz w:val="24"/>
                <w:szCs w:val="24"/>
                <w:lang w:val="en-US"/>
              </w:rPr>
              <w:t>Ghanaati</w:t>
            </w:r>
            <w:proofErr w:type="spellEnd"/>
          </w:p>
          <w:p w14:paraId="7AAF0EA2" w14:textId="77777777" w:rsidR="00107F14" w:rsidRPr="00092BB0" w:rsidRDefault="00107F14" w:rsidP="0009317C">
            <w:pPr>
              <w:tabs>
                <w:tab w:val="left" w:pos="3060"/>
              </w:tabs>
              <w:spacing w:after="0" w:line="240" w:lineRule="auto"/>
              <w:rPr>
                <w:rFonts w:ascii="Times New Roman" w:hAnsi="Times New Roman" w:cs="Times New Roman"/>
                <w:b/>
                <w:sz w:val="24"/>
                <w:szCs w:val="24"/>
                <w:lang w:val="en-US"/>
              </w:rPr>
            </w:pPr>
          </w:p>
        </w:tc>
      </w:tr>
      <w:tr w:rsidR="00107F14" w:rsidRPr="00495C35" w14:paraId="673A55A0" w14:textId="77777777" w:rsidTr="00107F14">
        <w:trPr>
          <w:jc w:val="center"/>
        </w:trPr>
        <w:tc>
          <w:tcPr>
            <w:tcW w:w="2660" w:type="dxa"/>
          </w:tcPr>
          <w:p w14:paraId="0498007E" w14:textId="77777777" w:rsidR="00107F14" w:rsidRPr="00092BB0" w:rsidRDefault="00107F14" w:rsidP="0009317C">
            <w:pPr>
              <w:spacing w:before="120" w:after="120"/>
              <w:rPr>
                <w:rFonts w:ascii="Times New Roman" w:hAnsi="Times New Roman" w:cs="Times New Roman"/>
                <w:b/>
                <w:sz w:val="24"/>
                <w:szCs w:val="24"/>
                <w:lang w:val="en-US"/>
              </w:rPr>
            </w:pPr>
            <w:r w:rsidRPr="00092BB0">
              <w:rPr>
                <w:rFonts w:ascii="Times New Roman" w:hAnsi="Times New Roman" w:cs="Times New Roman"/>
                <w:b/>
                <w:sz w:val="24"/>
                <w:szCs w:val="24"/>
                <w:lang w:val="en-US"/>
              </w:rPr>
              <w:t>Rationale</w:t>
            </w:r>
          </w:p>
        </w:tc>
        <w:tc>
          <w:tcPr>
            <w:tcW w:w="6048" w:type="dxa"/>
          </w:tcPr>
          <w:p w14:paraId="56579493" w14:textId="77777777" w:rsidR="00107F14" w:rsidRPr="00092BB0" w:rsidRDefault="00107F14" w:rsidP="0009317C">
            <w:pPr>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The benefit of simultaneous </w:t>
            </w:r>
            <w:proofErr w:type="spellStart"/>
            <w:r w:rsidRPr="00092BB0">
              <w:rPr>
                <w:rFonts w:ascii="Times New Roman" w:hAnsi="Times New Roman" w:cs="Times New Roman"/>
                <w:sz w:val="24"/>
                <w:szCs w:val="24"/>
                <w:lang w:val="en-US"/>
              </w:rPr>
              <w:t>radiochemotherapy</w:t>
            </w:r>
            <w:proofErr w:type="spellEnd"/>
            <w:r w:rsidRPr="00092BB0">
              <w:rPr>
                <w:rFonts w:ascii="Times New Roman" w:hAnsi="Times New Roman" w:cs="Times New Roman"/>
                <w:sz w:val="24"/>
                <w:szCs w:val="24"/>
                <w:lang w:val="en-US"/>
              </w:rPr>
              <w:t xml:space="preserve"> in the treatment of locally advanced squamous cell carcinoma of the head and neck has been confirmed by several studies, both in the adjuvant (Bernier et al (EORTC 22931), Cooper et al (RTOG 9501) and definitive situation (Adelstein, JCO, 2003; </w:t>
            </w:r>
            <w:proofErr w:type="spellStart"/>
            <w:r w:rsidRPr="00092BB0">
              <w:rPr>
                <w:rFonts w:ascii="Times New Roman" w:hAnsi="Times New Roman" w:cs="Times New Roman"/>
                <w:sz w:val="24"/>
                <w:szCs w:val="24"/>
                <w:lang w:val="en-US"/>
              </w:rPr>
              <w:t>Brizel</w:t>
            </w:r>
            <w:proofErr w:type="spellEnd"/>
            <w:r w:rsidRPr="00092BB0">
              <w:rPr>
                <w:rFonts w:ascii="Times New Roman" w:hAnsi="Times New Roman" w:cs="Times New Roman"/>
                <w:sz w:val="24"/>
                <w:szCs w:val="24"/>
                <w:lang w:val="en-US"/>
              </w:rPr>
              <w:t xml:space="preserve">, NEJM, 1998, </w:t>
            </w:r>
            <w:proofErr w:type="spellStart"/>
            <w:r w:rsidRPr="00092BB0">
              <w:rPr>
                <w:rFonts w:ascii="Times New Roman" w:hAnsi="Times New Roman" w:cs="Times New Roman"/>
                <w:sz w:val="24"/>
                <w:szCs w:val="24"/>
                <w:lang w:val="en-US"/>
              </w:rPr>
              <w:t>Budach</w:t>
            </w:r>
            <w:proofErr w:type="spellEnd"/>
            <w:r w:rsidRPr="00092BB0">
              <w:rPr>
                <w:rFonts w:ascii="Times New Roman" w:hAnsi="Times New Roman" w:cs="Times New Roman"/>
                <w:sz w:val="24"/>
                <w:szCs w:val="24"/>
                <w:lang w:val="en-US"/>
              </w:rPr>
              <w:t xml:space="preserve">, JCO, 2005). </w:t>
            </w:r>
          </w:p>
          <w:p w14:paraId="78EBAB15" w14:textId="77777777" w:rsidR="00107F14" w:rsidRPr="00092BB0" w:rsidRDefault="00107F14" w:rsidP="0009317C">
            <w:pPr>
              <w:ind w:left="400" w:right="212"/>
              <w:jc w:val="both"/>
              <w:rPr>
                <w:rFonts w:ascii="Times New Roman" w:hAnsi="Times New Roman" w:cs="Times New Roman"/>
                <w:iCs/>
                <w:sz w:val="24"/>
                <w:szCs w:val="24"/>
                <w:lang w:val="en-US"/>
              </w:rPr>
            </w:pPr>
            <w:r w:rsidRPr="00092BB0">
              <w:rPr>
                <w:rFonts w:ascii="Times New Roman" w:hAnsi="Times New Roman" w:cs="Times New Roman"/>
                <w:iCs/>
                <w:sz w:val="24"/>
                <w:szCs w:val="24"/>
                <w:lang w:val="en-US"/>
              </w:rPr>
              <w:t xml:space="preserve">Only one prospective randomized study (Mohr, Int J Oral </w:t>
            </w:r>
            <w:proofErr w:type="spellStart"/>
            <w:r w:rsidRPr="00092BB0">
              <w:rPr>
                <w:rFonts w:ascii="Times New Roman" w:hAnsi="Times New Roman" w:cs="Times New Roman"/>
                <w:iCs/>
                <w:sz w:val="24"/>
                <w:szCs w:val="24"/>
                <w:lang w:val="en-US"/>
              </w:rPr>
              <w:t>Maxillofac</w:t>
            </w:r>
            <w:proofErr w:type="spellEnd"/>
            <w:r w:rsidRPr="00092BB0">
              <w:rPr>
                <w:rFonts w:ascii="Times New Roman" w:hAnsi="Times New Roman" w:cs="Times New Roman"/>
                <w:iCs/>
                <w:sz w:val="24"/>
                <w:szCs w:val="24"/>
                <w:lang w:val="en-US"/>
              </w:rPr>
              <w:t xml:space="preserve"> Surg, 1994) and several smaller studies of limited evidence level exist so far regarding neoadjuvant chemoradiotherapy of head and neck cancer. The study by Mohr et al. showed promising results and survival data were by no means inferior to adjuvant or definitive therapy, although the technique and dosage of radiotherapy are considered outdated by today's standards.</w:t>
            </w:r>
          </w:p>
          <w:p w14:paraId="040F431D" w14:textId="77777777" w:rsidR="00107F14" w:rsidRPr="00092BB0" w:rsidRDefault="00107F14" w:rsidP="0009317C">
            <w:pPr>
              <w:ind w:left="400" w:right="212"/>
              <w:jc w:val="both"/>
              <w:rPr>
                <w:rFonts w:ascii="Times New Roman" w:hAnsi="Times New Roman" w:cs="Times New Roman"/>
                <w:iCs/>
                <w:sz w:val="24"/>
                <w:szCs w:val="24"/>
                <w:lang w:val="en-US"/>
              </w:rPr>
            </w:pPr>
            <w:r w:rsidRPr="00092BB0">
              <w:rPr>
                <w:rFonts w:ascii="Times New Roman" w:hAnsi="Times New Roman" w:cs="Times New Roman"/>
                <w:iCs/>
                <w:sz w:val="24"/>
                <w:szCs w:val="24"/>
                <w:lang w:val="en-US"/>
              </w:rPr>
              <w:t xml:space="preserve">Experience in other tumor entities, such as rectal cancer, showed that better outcomes are possible by this modality (Sauer et al., NEJM, 2004), so that nowadays neoadjuvant therapy is recommended by the guidelines for these tumors. Many reasons could potentially contribute to an improved prognosis in head and neck patients, including improved patient compliance to </w:t>
            </w:r>
            <w:proofErr w:type="spellStart"/>
            <w:r w:rsidRPr="00092BB0">
              <w:rPr>
                <w:rFonts w:ascii="Times New Roman" w:hAnsi="Times New Roman" w:cs="Times New Roman"/>
                <w:iCs/>
                <w:sz w:val="24"/>
                <w:szCs w:val="24"/>
                <w:lang w:val="en-US"/>
              </w:rPr>
              <w:t>radiochemotherapy</w:t>
            </w:r>
            <w:proofErr w:type="spellEnd"/>
            <w:r w:rsidRPr="00092BB0">
              <w:rPr>
                <w:rFonts w:ascii="Times New Roman" w:hAnsi="Times New Roman" w:cs="Times New Roman"/>
                <w:iCs/>
                <w:sz w:val="24"/>
                <w:szCs w:val="24"/>
                <w:lang w:val="en-US"/>
              </w:rPr>
              <w:t xml:space="preserve">, early systemic therapy, as complication-related delays are often expected postoperatively, and better perfusion and oxygenation in the unoperated tissue, which is associated with increased radiosensitivity. </w:t>
            </w:r>
          </w:p>
          <w:p w14:paraId="588E5406" w14:textId="18F3A7F7" w:rsidR="00107F14" w:rsidRPr="00092BB0" w:rsidRDefault="00107F14" w:rsidP="0009317C">
            <w:pPr>
              <w:ind w:left="400" w:right="212"/>
              <w:jc w:val="both"/>
              <w:rPr>
                <w:rFonts w:ascii="Times New Roman" w:hAnsi="Times New Roman" w:cs="Times New Roman"/>
                <w:i/>
                <w:iCs/>
                <w:sz w:val="24"/>
                <w:szCs w:val="24"/>
                <w:lang w:val="en-US"/>
              </w:rPr>
            </w:pPr>
            <w:r w:rsidRPr="00092BB0">
              <w:rPr>
                <w:rFonts w:ascii="Times New Roman" w:hAnsi="Times New Roman" w:cs="Times New Roman"/>
                <w:iCs/>
                <w:sz w:val="24"/>
                <w:szCs w:val="24"/>
                <w:lang w:val="en-US"/>
              </w:rPr>
              <w:t xml:space="preserve">By integrating modern irradiation techniques, such as </w:t>
            </w:r>
            <w:r>
              <w:rPr>
                <w:rFonts w:ascii="Times New Roman" w:hAnsi="Times New Roman" w:cs="Times New Roman"/>
                <w:iCs/>
                <w:sz w:val="24"/>
                <w:szCs w:val="24"/>
                <w:lang w:val="en-US"/>
              </w:rPr>
              <w:t>intensity-modulated radiotherapy (</w:t>
            </w:r>
            <w:r w:rsidRPr="00092BB0">
              <w:rPr>
                <w:rFonts w:ascii="Times New Roman" w:hAnsi="Times New Roman" w:cs="Times New Roman"/>
                <w:iCs/>
                <w:sz w:val="24"/>
                <w:szCs w:val="24"/>
                <w:lang w:val="en-US"/>
              </w:rPr>
              <w:t>IMRT</w:t>
            </w:r>
            <w:r>
              <w:rPr>
                <w:rFonts w:ascii="Times New Roman" w:hAnsi="Times New Roman" w:cs="Times New Roman"/>
                <w:iCs/>
                <w:sz w:val="24"/>
                <w:szCs w:val="24"/>
                <w:lang w:val="en-US"/>
              </w:rPr>
              <w:t>)</w:t>
            </w:r>
            <w:r w:rsidRPr="00092BB0">
              <w:rPr>
                <w:rFonts w:ascii="Times New Roman" w:hAnsi="Times New Roman" w:cs="Times New Roman"/>
                <w:iCs/>
                <w:sz w:val="24"/>
                <w:szCs w:val="24"/>
                <w:lang w:val="en-US"/>
              </w:rPr>
              <w:t xml:space="preserve">, a more precise target volume detection as well as a small volume dose saturation can be achieved with relatively few complications, so that possibly even </w:t>
            </w:r>
            <w:r w:rsidRPr="00092BB0">
              <w:rPr>
                <w:rFonts w:ascii="Times New Roman" w:hAnsi="Times New Roman" w:cs="Times New Roman"/>
                <w:iCs/>
                <w:sz w:val="24"/>
                <w:szCs w:val="24"/>
                <w:lang w:val="en-US"/>
              </w:rPr>
              <w:lastRenderedPageBreak/>
              <w:t xml:space="preserve">better results than in the studies published so far using 3D techniques would be possible. The rate of side effects could be reduced subjectively and objectively by the use of IMRT. Data on this in the definitive and adjuvant situation exist in various publications (e.g. Chao, Int J </w:t>
            </w:r>
            <w:proofErr w:type="spellStart"/>
            <w:r w:rsidRPr="00092BB0">
              <w:rPr>
                <w:rFonts w:ascii="Times New Roman" w:hAnsi="Times New Roman" w:cs="Times New Roman"/>
                <w:iCs/>
                <w:sz w:val="24"/>
                <w:szCs w:val="24"/>
                <w:lang w:val="en-US"/>
              </w:rPr>
              <w:t>Radiat</w:t>
            </w:r>
            <w:proofErr w:type="spellEnd"/>
            <w:r w:rsidRPr="00092BB0">
              <w:rPr>
                <w:rFonts w:ascii="Times New Roman" w:hAnsi="Times New Roman" w:cs="Times New Roman"/>
                <w:iCs/>
                <w:sz w:val="24"/>
                <w:szCs w:val="24"/>
                <w:lang w:val="en-US"/>
              </w:rPr>
              <w:t xml:space="preserve"> Oncol Biol Phys., 2001).</w:t>
            </w:r>
          </w:p>
        </w:tc>
      </w:tr>
      <w:tr w:rsidR="00107F14" w:rsidRPr="00495C35" w14:paraId="32A11759" w14:textId="77777777" w:rsidTr="00107F14">
        <w:trPr>
          <w:jc w:val="center"/>
        </w:trPr>
        <w:tc>
          <w:tcPr>
            <w:tcW w:w="2660" w:type="dxa"/>
          </w:tcPr>
          <w:p w14:paraId="43F3C719"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lang w:val="en-GB"/>
              </w:rPr>
              <w:lastRenderedPageBreak/>
              <w:t>Study Type and Study Design</w:t>
            </w:r>
          </w:p>
        </w:tc>
        <w:tc>
          <w:tcPr>
            <w:tcW w:w="6048" w:type="dxa"/>
          </w:tcPr>
          <w:p w14:paraId="7A29DA1A" w14:textId="77777777" w:rsidR="00107F14" w:rsidRPr="00092BB0" w:rsidRDefault="00107F14" w:rsidP="0009317C">
            <w:pPr>
              <w:spacing w:before="120" w:after="120"/>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Prospective, single-arm, single-center phase II study</w:t>
            </w:r>
          </w:p>
        </w:tc>
      </w:tr>
      <w:tr w:rsidR="00107F14" w:rsidRPr="00092BB0" w14:paraId="06E559F4" w14:textId="77777777" w:rsidTr="00107F14">
        <w:trPr>
          <w:jc w:val="center"/>
        </w:trPr>
        <w:tc>
          <w:tcPr>
            <w:tcW w:w="2660" w:type="dxa"/>
          </w:tcPr>
          <w:p w14:paraId="69098D91"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rPr>
              <w:t xml:space="preserve">Primary </w:t>
            </w:r>
            <w:proofErr w:type="spellStart"/>
            <w:r w:rsidRPr="00092BB0">
              <w:rPr>
                <w:rFonts w:ascii="Times New Roman" w:hAnsi="Times New Roman" w:cs="Times New Roman"/>
                <w:b/>
                <w:sz w:val="24"/>
                <w:szCs w:val="24"/>
              </w:rPr>
              <w:t>Objective</w:t>
            </w:r>
            <w:proofErr w:type="spellEnd"/>
            <w:r w:rsidRPr="00092BB0">
              <w:rPr>
                <w:rFonts w:ascii="Times New Roman" w:hAnsi="Times New Roman" w:cs="Times New Roman"/>
                <w:b/>
                <w:sz w:val="24"/>
                <w:szCs w:val="24"/>
              </w:rPr>
              <w:t xml:space="preserve"> and </w:t>
            </w:r>
            <w:proofErr w:type="spellStart"/>
            <w:r w:rsidRPr="00092BB0">
              <w:rPr>
                <w:rFonts w:ascii="Times New Roman" w:hAnsi="Times New Roman" w:cs="Times New Roman"/>
                <w:b/>
                <w:sz w:val="24"/>
                <w:szCs w:val="24"/>
              </w:rPr>
              <w:t>Endpoint</w:t>
            </w:r>
            <w:proofErr w:type="spellEnd"/>
          </w:p>
        </w:tc>
        <w:tc>
          <w:tcPr>
            <w:tcW w:w="6048" w:type="dxa"/>
          </w:tcPr>
          <w:p w14:paraId="2E88E485" w14:textId="77777777" w:rsidR="00107F14" w:rsidRPr="00092BB0" w:rsidRDefault="00107F14" w:rsidP="0009317C">
            <w:pPr>
              <w:numPr>
                <w:ilvl w:val="0"/>
                <w:numId w:val="1"/>
              </w:numPr>
              <w:spacing w:after="240" w:line="300" w:lineRule="exact"/>
              <w:ind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Documentation and evaluation of the effectiveness and toxicity of </w:t>
            </w:r>
            <w:proofErr w:type="spellStart"/>
            <w:r w:rsidRPr="00092BB0">
              <w:rPr>
                <w:rFonts w:ascii="Times New Roman" w:hAnsi="Times New Roman" w:cs="Times New Roman"/>
                <w:sz w:val="24"/>
                <w:szCs w:val="24"/>
                <w:lang w:val="en-US"/>
              </w:rPr>
              <w:t>radiochemotherapy</w:t>
            </w:r>
            <w:proofErr w:type="spellEnd"/>
            <w:r w:rsidRPr="00092BB0">
              <w:rPr>
                <w:rFonts w:ascii="Times New Roman" w:hAnsi="Times New Roman" w:cs="Times New Roman"/>
                <w:sz w:val="24"/>
                <w:szCs w:val="24"/>
                <w:lang w:val="en-US"/>
              </w:rPr>
              <w:t xml:space="preserve"> followed by standard surgery.</w:t>
            </w:r>
          </w:p>
          <w:p w14:paraId="54B38AEC" w14:textId="77777777" w:rsidR="00107F14" w:rsidRPr="00092BB0" w:rsidRDefault="00107F14" w:rsidP="0009317C">
            <w:pPr>
              <w:numPr>
                <w:ilvl w:val="0"/>
                <w:numId w:val="1"/>
              </w:numPr>
              <w:spacing w:after="240" w:line="300" w:lineRule="exact"/>
              <w:ind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Pathological complete response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w:t>
            </w:r>
          </w:p>
        </w:tc>
      </w:tr>
      <w:tr w:rsidR="00107F14" w:rsidRPr="00495C35" w14:paraId="6EC8DE0B" w14:textId="77777777" w:rsidTr="00107F14">
        <w:trPr>
          <w:jc w:val="center"/>
        </w:trPr>
        <w:tc>
          <w:tcPr>
            <w:tcW w:w="2660" w:type="dxa"/>
          </w:tcPr>
          <w:p w14:paraId="27B88D6E"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lang w:val="en-GB"/>
              </w:rPr>
              <w:t>Secondary Endpoint</w:t>
            </w:r>
          </w:p>
        </w:tc>
        <w:tc>
          <w:tcPr>
            <w:tcW w:w="6048" w:type="dxa"/>
          </w:tcPr>
          <w:p w14:paraId="6E1679BE"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rPr>
            </w:pPr>
            <w:r w:rsidRPr="00092BB0">
              <w:rPr>
                <w:rFonts w:ascii="Times New Roman" w:hAnsi="Times New Roman" w:cs="Times New Roman"/>
                <w:sz w:val="24"/>
                <w:szCs w:val="24"/>
              </w:rPr>
              <w:t xml:space="preserve">Postoperative </w:t>
            </w:r>
            <w:proofErr w:type="spellStart"/>
            <w:r w:rsidRPr="00092BB0">
              <w:rPr>
                <w:rFonts w:ascii="Times New Roman" w:hAnsi="Times New Roman" w:cs="Times New Roman"/>
                <w:sz w:val="24"/>
                <w:szCs w:val="24"/>
              </w:rPr>
              <w:t>complications</w:t>
            </w:r>
            <w:proofErr w:type="spellEnd"/>
          </w:p>
          <w:p w14:paraId="6F49647C"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rPr>
            </w:pPr>
            <w:r w:rsidRPr="00092BB0">
              <w:rPr>
                <w:rFonts w:ascii="Times New Roman" w:hAnsi="Times New Roman" w:cs="Times New Roman"/>
                <w:sz w:val="24"/>
                <w:szCs w:val="24"/>
              </w:rPr>
              <w:t xml:space="preserve">Quality </w:t>
            </w:r>
            <w:proofErr w:type="spellStart"/>
            <w:r w:rsidRPr="00092BB0">
              <w:rPr>
                <w:rFonts w:ascii="Times New Roman" w:hAnsi="Times New Roman" w:cs="Times New Roman"/>
                <w:sz w:val="24"/>
                <w:szCs w:val="24"/>
              </w:rPr>
              <w:t>of</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life</w:t>
            </w:r>
            <w:proofErr w:type="spellEnd"/>
          </w:p>
          <w:p w14:paraId="6DA0C9A1"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2 years Overall and Progression-free survival</w:t>
            </w:r>
          </w:p>
          <w:p w14:paraId="4C640492"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rPr>
              <w:t xml:space="preserve">2 </w:t>
            </w:r>
            <w:proofErr w:type="spellStart"/>
            <w:r w:rsidRPr="00092BB0">
              <w:rPr>
                <w:rFonts w:ascii="Times New Roman" w:hAnsi="Times New Roman" w:cs="Times New Roman"/>
                <w:sz w:val="24"/>
                <w:szCs w:val="24"/>
              </w:rPr>
              <w:t>years</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locoregional</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control</w:t>
            </w:r>
            <w:proofErr w:type="spellEnd"/>
            <w:r w:rsidRPr="00092BB0">
              <w:rPr>
                <w:rFonts w:ascii="Times New Roman" w:hAnsi="Times New Roman" w:cs="Times New Roman"/>
                <w:sz w:val="24"/>
                <w:szCs w:val="24"/>
              </w:rPr>
              <w:t>-rate</w:t>
            </w:r>
          </w:p>
          <w:p w14:paraId="34104236"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Translational research program (i.e. immunohistochemical biomarkers)</w:t>
            </w:r>
          </w:p>
        </w:tc>
      </w:tr>
      <w:tr w:rsidR="00107F14" w:rsidRPr="00495C35" w14:paraId="45F4BEFB" w14:textId="77777777" w:rsidTr="00107F14">
        <w:trPr>
          <w:jc w:val="center"/>
        </w:trPr>
        <w:tc>
          <w:tcPr>
            <w:tcW w:w="2660" w:type="dxa"/>
          </w:tcPr>
          <w:p w14:paraId="2AFB3054" w14:textId="77777777" w:rsidR="00107F14" w:rsidRPr="00092BB0" w:rsidRDefault="00107F14" w:rsidP="0009317C">
            <w:pPr>
              <w:spacing w:before="120" w:after="120"/>
              <w:rPr>
                <w:rFonts w:ascii="Times New Roman" w:hAnsi="Times New Roman" w:cs="Times New Roman"/>
                <w:b/>
                <w:sz w:val="24"/>
                <w:szCs w:val="24"/>
                <w:lang w:val="en-US"/>
              </w:rPr>
            </w:pPr>
            <w:r w:rsidRPr="00092BB0">
              <w:rPr>
                <w:rFonts w:ascii="Times New Roman" w:hAnsi="Times New Roman" w:cs="Times New Roman"/>
                <w:b/>
                <w:sz w:val="24"/>
                <w:szCs w:val="24"/>
                <w:lang w:val="en-GB"/>
              </w:rPr>
              <w:t>Inclusion Criteria</w:t>
            </w:r>
          </w:p>
        </w:tc>
        <w:tc>
          <w:tcPr>
            <w:tcW w:w="6048" w:type="dxa"/>
          </w:tcPr>
          <w:p w14:paraId="0179C263" w14:textId="77777777" w:rsidR="00107F14" w:rsidRPr="00092BB0" w:rsidRDefault="00107F14" w:rsidP="0009317C">
            <w:pPr>
              <w:numPr>
                <w:ilvl w:val="0"/>
                <w:numId w:val="1"/>
              </w:numPr>
              <w:tabs>
                <w:tab w:val="num" w:pos="760"/>
              </w:tabs>
              <w:spacing w:after="240" w:line="300" w:lineRule="exact"/>
              <w:ind w:right="210"/>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  Male and female patients with histologically confirmed diagnosis of squamous cell carcinoma localized in the oral cavity, or oropharynx</w:t>
            </w:r>
          </w:p>
          <w:p w14:paraId="37230876" w14:textId="77777777" w:rsidR="00107F14" w:rsidRPr="00092BB0" w:rsidRDefault="00107F14" w:rsidP="0009317C">
            <w:pPr>
              <w:numPr>
                <w:ilvl w:val="0"/>
                <w:numId w:val="1"/>
              </w:numPr>
              <w:tabs>
                <w:tab w:val="num" w:pos="760"/>
              </w:tabs>
              <w:spacing w:after="240" w:line="300" w:lineRule="exact"/>
              <w:ind w:right="210"/>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 Staging requirements: High-resolution MR imaging is mandatory. MRI-defined inclusion criteria: at least one of the following risk constellations:</w:t>
            </w:r>
          </w:p>
          <w:p w14:paraId="56086F0F" w14:textId="77777777" w:rsidR="00107F14" w:rsidRPr="00092BB0" w:rsidRDefault="00107F14" w:rsidP="0009317C">
            <w:pPr>
              <w:numPr>
                <w:ilvl w:val="0"/>
                <w:numId w:val="1"/>
              </w:numPr>
              <w:tabs>
                <w:tab w:val="clear" w:pos="904"/>
                <w:tab w:val="num" w:pos="760"/>
              </w:tabs>
              <w:spacing w:after="240" w:line="300" w:lineRule="exact"/>
              <w:ind w:left="760" w:right="212"/>
              <w:jc w:val="both"/>
              <w:rPr>
                <w:rFonts w:ascii="Times New Roman" w:hAnsi="Times New Roman" w:cs="Times New Roman"/>
                <w:sz w:val="24"/>
                <w:szCs w:val="24"/>
              </w:rPr>
            </w:pPr>
            <w:r w:rsidRPr="00092BB0">
              <w:rPr>
                <w:rFonts w:ascii="Times New Roman" w:hAnsi="Times New Roman" w:cs="Times New Roman"/>
                <w:sz w:val="24"/>
                <w:szCs w:val="24"/>
                <w:lang w:val="en-US"/>
              </w:rPr>
              <w:t xml:space="preserve"> </w:t>
            </w:r>
            <w:r w:rsidRPr="00092BB0">
              <w:rPr>
                <w:rFonts w:ascii="Times New Roman" w:hAnsi="Times New Roman" w:cs="Times New Roman"/>
                <w:sz w:val="24"/>
                <w:szCs w:val="24"/>
                <w:lang w:val="en-GB"/>
              </w:rPr>
              <w:t>cT3 /cT4</w:t>
            </w:r>
          </w:p>
          <w:p w14:paraId="1C996FBD" w14:textId="77777777" w:rsidR="00107F14" w:rsidRPr="00092BB0" w:rsidRDefault="00107F14" w:rsidP="0009317C">
            <w:pPr>
              <w:numPr>
                <w:ilvl w:val="0"/>
                <w:numId w:val="1"/>
              </w:numPr>
              <w:tabs>
                <w:tab w:val="clear" w:pos="904"/>
                <w:tab w:val="num" w:pos="760"/>
              </w:tabs>
              <w:spacing w:after="240" w:line="300" w:lineRule="exact"/>
              <w:ind w:left="760" w:right="210" w:hanging="357"/>
              <w:jc w:val="both"/>
              <w:rPr>
                <w:rFonts w:ascii="Times New Roman" w:hAnsi="Times New Roman" w:cs="Times New Roman"/>
                <w:sz w:val="24"/>
                <w:szCs w:val="24"/>
              </w:rPr>
            </w:pPr>
            <w:r w:rsidRPr="00092BB0">
              <w:rPr>
                <w:rFonts w:ascii="Times New Roman" w:hAnsi="Times New Roman" w:cs="Times New Roman"/>
                <w:sz w:val="24"/>
                <w:szCs w:val="24"/>
              </w:rPr>
              <w:t xml:space="preserve">cT1/cT2 </w:t>
            </w:r>
            <w:proofErr w:type="spellStart"/>
            <w:r w:rsidRPr="00092BB0">
              <w:rPr>
                <w:rFonts w:ascii="Times New Roman" w:hAnsi="Times New Roman" w:cs="Times New Roman"/>
                <w:sz w:val="24"/>
                <w:szCs w:val="24"/>
              </w:rPr>
              <w:t>with</w:t>
            </w:r>
            <w:proofErr w:type="spellEnd"/>
            <w:r w:rsidRPr="00092BB0">
              <w:rPr>
                <w:rFonts w:ascii="Times New Roman" w:hAnsi="Times New Roman" w:cs="Times New Roman"/>
                <w:sz w:val="24"/>
                <w:szCs w:val="24"/>
              </w:rPr>
              <w:t xml:space="preserve"> cN2-3</w:t>
            </w:r>
          </w:p>
          <w:p w14:paraId="45605E9B" w14:textId="6F00055D" w:rsidR="00107F14" w:rsidRPr="00092BB0" w:rsidRDefault="00107F14" w:rsidP="0009317C">
            <w:pPr>
              <w:numPr>
                <w:ilvl w:val="0"/>
                <w:numId w:val="1"/>
              </w:numPr>
              <w:tabs>
                <w:tab w:val="clear" w:pos="9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cM0 according to</w:t>
            </w:r>
            <w:r>
              <w:rPr>
                <w:rFonts w:ascii="Times New Roman" w:hAnsi="Times New Roman" w:cs="Times New Roman"/>
                <w:sz w:val="24"/>
                <w:szCs w:val="24"/>
                <w:lang w:val="en-US"/>
              </w:rPr>
              <w:t xml:space="preserve"> computed tomography</w:t>
            </w:r>
            <w:r w:rsidRPr="00092BB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92BB0">
              <w:rPr>
                <w:rFonts w:ascii="Times New Roman" w:hAnsi="Times New Roman" w:cs="Times New Roman"/>
                <w:sz w:val="24"/>
                <w:szCs w:val="24"/>
                <w:lang w:val="en-US"/>
              </w:rPr>
              <w:t>CT</w:t>
            </w:r>
            <w:r>
              <w:rPr>
                <w:rFonts w:ascii="Times New Roman" w:hAnsi="Times New Roman" w:cs="Times New Roman"/>
                <w:sz w:val="24"/>
                <w:szCs w:val="24"/>
                <w:lang w:val="en-US"/>
              </w:rPr>
              <w:t>) of thorax and a</w:t>
            </w:r>
            <w:r w:rsidRPr="00092BB0">
              <w:rPr>
                <w:rFonts w:ascii="Times New Roman" w:hAnsi="Times New Roman" w:cs="Times New Roman"/>
                <w:sz w:val="24"/>
                <w:szCs w:val="24"/>
                <w:lang w:val="en-US"/>
              </w:rPr>
              <w:t>bdomen</w:t>
            </w:r>
          </w:p>
          <w:p w14:paraId="1D1A3BF3" w14:textId="77777777" w:rsidR="00107F14" w:rsidRPr="00107F14" w:rsidRDefault="00107F14" w:rsidP="0009317C">
            <w:pPr>
              <w:numPr>
                <w:ilvl w:val="0"/>
                <w:numId w:val="1"/>
              </w:numPr>
              <w:tabs>
                <w:tab w:val="clear" w:pos="9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Aged at least 18 years. No upper age limit.</w:t>
            </w:r>
          </w:p>
          <w:p w14:paraId="127A9260" w14:textId="77777777" w:rsidR="00107F14" w:rsidRPr="00092BB0" w:rsidRDefault="00107F14" w:rsidP="0009317C">
            <w:pPr>
              <w:numPr>
                <w:ilvl w:val="0"/>
                <w:numId w:val="1"/>
              </w:numPr>
              <w:tabs>
                <w:tab w:val="clear" w:pos="904"/>
                <w:tab w:val="num" w:pos="760"/>
              </w:tabs>
              <w:spacing w:after="240" w:line="300" w:lineRule="exact"/>
              <w:ind w:left="760" w:right="210" w:hanging="357"/>
              <w:jc w:val="both"/>
              <w:rPr>
                <w:rFonts w:ascii="Times New Roman" w:hAnsi="Times New Roman" w:cs="Times New Roman"/>
                <w:sz w:val="24"/>
                <w:szCs w:val="24"/>
              </w:rPr>
            </w:pPr>
            <w:r w:rsidRPr="00092BB0">
              <w:rPr>
                <w:rFonts w:ascii="Times New Roman" w:hAnsi="Times New Roman" w:cs="Times New Roman"/>
                <w:sz w:val="24"/>
                <w:szCs w:val="24"/>
              </w:rPr>
              <w:t>WHO/ECOG Performance Status ≤2</w:t>
            </w:r>
          </w:p>
          <w:p w14:paraId="034E3017" w14:textId="77777777" w:rsidR="00107F14" w:rsidRPr="00092BB0" w:rsidRDefault="00107F14" w:rsidP="0009317C">
            <w:pPr>
              <w:numPr>
                <w:ilvl w:val="0"/>
                <w:numId w:val="1"/>
              </w:numPr>
              <w:tabs>
                <w:tab w:val="clear" w:pos="904"/>
                <w:tab w:val="num" w:pos="760"/>
              </w:tabs>
              <w:spacing w:after="120" w:line="240" w:lineRule="auto"/>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Adequate </w:t>
            </w:r>
            <w:proofErr w:type="spellStart"/>
            <w:r w:rsidRPr="00092BB0">
              <w:rPr>
                <w:rFonts w:ascii="Times New Roman" w:hAnsi="Times New Roman" w:cs="Times New Roman"/>
                <w:sz w:val="24"/>
                <w:szCs w:val="24"/>
                <w:lang w:val="en-US"/>
              </w:rPr>
              <w:t>haematological</w:t>
            </w:r>
            <w:proofErr w:type="spellEnd"/>
            <w:r w:rsidRPr="00092BB0">
              <w:rPr>
                <w:rFonts w:ascii="Times New Roman" w:hAnsi="Times New Roman" w:cs="Times New Roman"/>
                <w:sz w:val="24"/>
                <w:szCs w:val="24"/>
                <w:lang w:val="en-US"/>
              </w:rPr>
              <w:t>, hepatic, renal and metabolic function parameters:</w:t>
            </w:r>
          </w:p>
          <w:p w14:paraId="69979335" w14:textId="77777777" w:rsidR="00107F14" w:rsidRPr="00092BB0" w:rsidRDefault="00107F14" w:rsidP="0009317C">
            <w:pPr>
              <w:numPr>
                <w:ilvl w:val="0"/>
                <w:numId w:val="1"/>
              </w:numPr>
              <w:tabs>
                <w:tab w:val="clear" w:pos="904"/>
                <w:tab w:val="num" w:pos="760"/>
              </w:tabs>
              <w:spacing w:after="120" w:line="240" w:lineRule="auto"/>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Leukocytes ≥ 3.000/mm^3, ANC ≥ 1.500/mm^3, </w:t>
            </w:r>
            <w:r w:rsidRPr="00092BB0">
              <w:rPr>
                <w:rFonts w:ascii="Times New Roman" w:hAnsi="Times New Roman" w:cs="Times New Roman"/>
                <w:sz w:val="24"/>
                <w:szCs w:val="24"/>
                <w:lang w:val="en-US"/>
              </w:rPr>
              <w:lastRenderedPageBreak/>
              <w:t>platelets ≥ 100.000/mm^3, Hb &gt; 9 g/dl</w:t>
            </w:r>
          </w:p>
          <w:p w14:paraId="76F74294" w14:textId="77777777" w:rsidR="00107F14" w:rsidRPr="00092BB0" w:rsidRDefault="00107F14" w:rsidP="0009317C">
            <w:pPr>
              <w:numPr>
                <w:ilvl w:val="0"/>
                <w:numId w:val="1"/>
              </w:numPr>
              <w:tabs>
                <w:tab w:val="clear" w:pos="904"/>
                <w:tab w:val="num" w:pos="760"/>
              </w:tabs>
              <w:spacing w:after="120" w:line="240" w:lineRule="auto"/>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Serum creatinine ≤ 1.5 x upper limit of normal</w:t>
            </w:r>
          </w:p>
          <w:p w14:paraId="06C20EF2" w14:textId="77777777" w:rsidR="00107F14" w:rsidRPr="00092BB0" w:rsidRDefault="00107F14" w:rsidP="0009317C">
            <w:pPr>
              <w:numPr>
                <w:ilvl w:val="0"/>
                <w:numId w:val="1"/>
              </w:numPr>
              <w:tabs>
                <w:tab w:val="clear" w:pos="904"/>
                <w:tab w:val="num" w:pos="760"/>
              </w:tabs>
              <w:spacing w:after="120" w:line="240" w:lineRule="auto"/>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Bilirubin ≤ 2.0 mg/dl, SGOT-SGPT, and AP ≤ 3 x upper</w:t>
            </w:r>
            <w:r w:rsidRPr="00092BB0">
              <w:rPr>
                <w:rFonts w:ascii="Times New Roman" w:hAnsi="Times New Roman" w:cs="Times New Roman"/>
                <w:sz w:val="24"/>
                <w:szCs w:val="24"/>
                <w:lang w:val="en-US"/>
              </w:rPr>
              <w:br/>
              <w:t>limit of normal</w:t>
            </w:r>
          </w:p>
          <w:p w14:paraId="5DC41209" w14:textId="77777777" w:rsidR="00107F14" w:rsidRPr="00092BB0" w:rsidRDefault="00107F14" w:rsidP="0009317C">
            <w:pPr>
              <w:numPr>
                <w:ilvl w:val="0"/>
                <w:numId w:val="1"/>
              </w:numPr>
              <w:tabs>
                <w:tab w:val="clear" w:pos="904"/>
                <w:tab w:val="num" w:pos="760"/>
              </w:tabs>
              <w:spacing w:after="120" w:line="240" w:lineRule="auto"/>
              <w:ind w:left="76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Informed consent of the patient</w:t>
            </w:r>
          </w:p>
        </w:tc>
      </w:tr>
      <w:tr w:rsidR="00107F14" w:rsidRPr="00495C35" w14:paraId="557E2093" w14:textId="77777777" w:rsidTr="00107F14">
        <w:trPr>
          <w:jc w:val="center"/>
        </w:trPr>
        <w:tc>
          <w:tcPr>
            <w:tcW w:w="2660" w:type="dxa"/>
          </w:tcPr>
          <w:p w14:paraId="594F899C"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lang w:val="en-GB"/>
              </w:rPr>
              <w:lastRenderedPageBreak/>
              <w:t>Exclusion Criteria</w:t>
            </w:r>
          </w:p>
        </w:tc>
        <w:tc>
          <w:tcPr>
            <w:tcW w:w="6048" w:type="dxa"/>
          </w:tcPr>
          <w:p w14:paraId="5B5F0B20" w14:textId="56253E5F"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Distant metastases (to be excluded by CT scan of the thorax</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and abdomen)</w:t>
            </w:r>
            <w:r w:rsidRPr="00092BB0">
              <w:rPr>
                <w:rFonts w:ascii="Times New Roman" w:hAnsi="Times New Roman" w:cs="Times New Roman"/>
                <w:sz w:val="24"/>
                <w:szCs w:val="24"/>
                <w:lang w:val="en-GB"/>
              </w:rPr>
              <w:t xml:space="preserve"> </w:t>
            </w:r>
          </w:p>
          <w:p w14:paraId="683AA237"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Prior radiotherapy of the head and neck region</w:t>
            </w:r>
          </w:p>
          <w:p w14:paraId="2C6DFEC9"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Prior major surgeries of the head and neck region</w:t>
            </w:r>
          </w:p>
          <w:p w14:paraId="12D42097"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Subject pregnant or breast feeding, or planning to become pregnant within 6 months after the end of treatment </w:t>
            </w:r>
          </w:p>
          <w:p w14:paraId="6EF303D7"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Subject (male or female) is not willing to use highly effective methods of contraception (per institutional standard) during treatment and for 6 months (male or female) after the end of treatment (adequate: oral contraceptives, intrauterine device or barrier method in conjunction with spermicidal jelly). </w:t>
            </w:r>
          </w:p>
          <w:p w14:paraId="7BE737C7" w14:textId="77777777" w:rsidR="00107F14" w:rsidRPr="00107F14" w:rsidRDefault="00107F14" w:rsidP="0009317C">
            <w:pPr>
              <w:numPr>
                <w:ilvl w:val="0"/>
                <w:numId w:val="2"/>
              </w:numPr>
              <w:tabs>
                <w:tab w:val="clear" w:pos="504"/>
                <w:tab w:val="num" w:pos="760"/>
              </w:tabs>
              <w:spacing w:before="120" w:after="240" w:line="300" w:lineRule="exact"/>
              <w:ind w:left="760" w:right="210" w:hanging="357"/>
              <w:jc w:val="both"/>
              <w:rPr>
                <w:rFonts w:ascii="Times New Roman" w:hAnsi="Times New Roman" w:cs="Times New Roman"/>
                <w:sz w:val="24"/>
                <w:szCs w:val="24"/>
                <w:lang w:val="en-US"/>
              </w:rPr>
            </w:pPr>
            <w:r w:rsidRPr="00107F14">
              <w:rPr>
                <w:rFonts w:ascii="Times New Roman" w:hAnsi="Times New Roman" w:cs="Times New Roman"/>
                <w:sz w:val="24"/>
                <w:szCs w:val="24"/>
                <w:lang w:val="en-US"/>
              </w:rPr>
              <w:t>Previous or current drug or alcohol abuse</w:t>
            </w:r>
          </w:p>
          <w:p w14:paraId="7053C40D" w14:textId="77777777" w:rsidR="00107F14" w:rsidRPr="00092BB0" w:rsidRDefault="00107F14" w:rsidP="0009317C">
            <w:pPr>
              <w:numPr>
                <w:ilvl w:val="0"/>
                <w:numId w:val="2"/>
              </w:numPr>
              <w:tabs>
                <w:tab w:val="clear" w:pos="504"/>
                <w:tab w:val="num" w:pos="760"/>
              </w:tabs>
              <w:spacing w:before="120" w:after="240" w:line="300" w:lineRule="exact"/>
              <w:ind w:left="760" w:right="210" w:hanging="357"/>
              <w:jc w:val="both"/>
              <w:rPr>
                <w:rFonts w:ascii="Times New Roman" w:hAnsi="Times New Roman" w:cs="Times New Roman"/>
                <w:sz w:val="24"/>
                <w:szCs w:val="24"/>
              </w:rPr>
            </w:pPr>
            <w:r w:rsidRPr="00092BB0">
              <w:rPr>
                <w:rFonts w:ascii="Times New Roman" w:hAnsi="Times New Roman" w:cs="Times New Roman"/>
                <w:sz w:val="24"/>
                <w:szCs w:val="24"/>
              </w:rPr>
              <w:t xml:space="preserve">Other </w:t>
            </w:r>
            <w:proofErr w:type="spellStart"/>
            <w:r w:rsidRPr="00092BB0">
              <w:rPr>
                <w:rFonts w:ascii="Times New Roman" w:hAnsi="Times New Roman" w:cs="Times New Roman"/>
                <w:sz w:val="24"/>
                <w:szCs w:val="24"/>
              </w:rPr>
              <w:t>concomitant</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antineoplastic</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therapy</w:t>
            </w:r>
            <w:proofErr w:type="spellEnd"/>
          </w:p>
          <w:p w14:paraId="5895232D" w14:textId="5FDDA3D3" w:rsidR="00107F14" w:rsidRPr="00092BB0" w:rsidRDefault="00107F14" w:rsidP="0009317C">
            <w:pPr>
              <w:numPr>
                <w:ilvl w:val="0"/>
                <w:numId w:val="2"/>
              </w:numPr>
              <w:tabs>
                <w:tab w:val="clear" w:pos="504"/>
                <w:tab w:val="num" w:pos="760"/>
              </w:tabs>
              <w:spacing w:before="120"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Serious concurrent diseases, including neurologic or</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psychiatric disorders (incl. dementia and uncontrolled</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seizures), active, uncontrolled infections, active,</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disseminated coagulation disorder</w:t>
            </w:r>
          </w:p>
          <w:p w14:paraId="6C736A4F" w14:textId="66CA4E1C"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Clinically significant cardiovascular disease in (incl.</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myocardial infarction, unstable angina, symptomatic</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congestive heart failure, serious uncontrolled cardiac</w:t>
            </w:r>
            <w:r>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 xml:space="preserve">arrhythmia) ≤ 6 months before enrollment </w:t>
            </w:r>
          </w:p>
          <w:p w14:paraId="22C2474C"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Prior or concurrent malignancy ≤ 5 years prior to enrolment in study (Exception: non-melanoma skin cancer or cervical carcinoma FIGO stage 0-1), if the patient is continuously disease-free</w:t>
            </w:r>
            <w:r w:rsidRPr="00092BB0">
              <w:rPr>
                <w:rFonts w:ascii="Times New Roman" w:hAnsi="Times New Roman" w:cs="Times New Roman"/>
                <w:sz w:val="24"/>
                <w:szCs w:val="24"/>
                <w:lang w:val="en-GB"/>
              </w:rPr>
              <w:t xml:space="preserve"> </w:t>
            </w:r>
          </w:p>
          <w:p w14:paraId="1235E5FC" w14:textId="77777777" w:rsidR="00107F14" w:rsidRPr="00107F14"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107F14">
              <w:rPr>
                <w:rFonts w:ascii="Times New Roman" w:hAnsi="Times New Roman" w:cs="Times New Roman"/>
                <w:sz w:val="24"/>
                <w:szCs w:val="24"/>
                <w:lang w:val="en-US"/>
              </w:rPr>
              <w:t>Known allergic reactions on study medication</w:t>
            </w:r>
          </w:p>
          <w:p w14:paraId="38C4B0F1"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rPr>
            </w:pPr>
            <w:proofErr w:type="spellStart"/>
            <w:r w:rsidRPr="00092BB0">
              <w:rPr>
                <w:rFonts w:ascii="Times New Roman" w:hAnsi="Times New Roman" w:cs="Times New Roman"/>
                <w:sz w:val="24"/>
                <w:szCs w:val="24"/>
              </w:rPr>
              <w:lastRenderedPageBreak/>
              <w:t>Known</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dihydropyrimidine</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dehydrogenase</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deficiency</w:t>
            </w:r>
            <w:proofErr w:type="spellEnd"/>
          </w:p>
          <w:p w14:paraId="6CC4D076" w14:textId="77777777" w:rsidR="00107F14" w:rsidRPr="00092BB0" w:rsidRDefault="00107F14" w:rsidP="0009317C">
            <w:pPr>
              <w:numPr>
                <w:ilvl w:val="0"/>
                <w:numId w:val="2"/>
              </w:numPr>
              <w:tabs>
                <w:tab w:val="clear" w:pos="504"/>
                <w:tab w:val="num" w:pos="760"/>
              </w:tabs>
              <w:spacing w:after="240" w:line="300" w:lineRule="exact"/>
              <w:ind w:left="760" w:right="210" w:hanging="357"/>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Psychological, familial, sociological or geographical condition potentially hampering compliance with the study protocol and follow-up schedule (these conditions should be discussed with the patient before registration in the trial)</w:t>
            </w:r>
          </w:p>
        </w:tc>
      </w:tr>
      <w:tr w:rsidR="00107F14" w:rsidRPr="00495C35" w14:paraId="17384708" w14:textId="77777777" w:rsidTr="00107F14">
        <w:trPr>
          <w:jc w:val="center"/>
        </w:trPr>
        <w:tc>
          <w:tcPr>
            <w:tcW w:w="2660" w:type="dxa"/>
          </w:tcPr>
          <w:p w14:paraId="62B47BD8" w14:textId="77777777" w:rsidR="00107F14" w:rsidRPr="00092BB0" w:rsidRDefault="00107F14" w:rsidP="0009317C">
            <w:pPr>
              <w:spacing w:before="120" w:after="120"/>
              <w:rPr>
                <w:rFonts w:ascii="Times New Roman" w:hAnsi="Times New Roman" w:cs="Times New Roman"/>
                <w:sz w:val="24"/>
                <w:szCs w:val="24"/>
                <w:lang w:val="en-GB"/>
              </w:rPr>
            </w:pPr>
            <w:r w:rsidRPr="00092BB0">
              <w:rPr>
                <w:rFonts w:ascii="Times New Roman" w:hAnsi="Times New Roman" w:cs="Times New Roman"/>
                <w:b/>
                <w:sz w:val="24"/>
                <w:szCs w:val="24"/>
                <w:lang w:val="en-GB"/>
              </w:rPr>
              <w:lastRenderedPageBreak/>
              <w:t>Treatment</w:t>
            </w:r>
          </w:p>
        </w:tc>
        <w:tc>
          <w:tcPr>
            <w:tcW w:w="6048" w:type="dxa"/>
          </w:tcPr>
          <w:p w14:paraId="41000282" w14:textId="77777777" w:rsidR="00107F14" w:rsidRPr="00092BB0" w:rsidRDefault="00107F14" w:rsidP="0009317C">
            <w:pPr>
              <w:spacing w:before="120"/>
              <w:ind w:left="403" w:right="210"/>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Diagnostics, radiotherapy, chemotherapy and surgery are performed as part of standard care. To facilitate implementation, the essential components of the treatment concept and the expected side effects are summarized in the protocol. The decision on the choice of therapy and its implementation are the responsibilities of the treating physician. </w:t>
            </w:r>
          </w:p>
          <w:p w14:paraId="386D046D" w14:textId="77777777" w:rsidR="00107F14" w:rsidRPr="00092BB0" w:rsidRDefault="00107F14" w:rsidP="0009317C">
            <w:pPr>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Initiation of radiotherapy within approximately 2 weeks after histologic confirmation and tattooing of </w:t>
            </w:r>
            <w:proofErr w:type="spellStart"/>
            <w:r w:rsidRPr="00092BB0">
              <w:rPr>
                <w:rFonts w:ascii="Times New Roman" w:hAnsi="Times New Roman" w:cs="Times New Roman"/>
                <w:sz w:val="24"/>
                <w:szCs w:val="24"/>
                <w:lang w:val="en-US"/>
              </w:rPr>
              <w:t>primarius</w:t>
            </w:r>
            <w:proofErr w:type="spellEnd"/>
            <w:r w:rsidRPr="00092BB0">
              <w:rPr>
                <w:rFonts w:ascii="Times New Roman" w:hAnsi="Times New Roman" w:cs="Times New Roman"/>
                <w:sz w:val="24"/>
                <w:szCs w:val="24"/>
                <w:lang w:val="en-US"/>
              </w:rPr>
              <w:t xml:space="preserve"> borders, quality of life assessment, and staging with diffusion-weighted MRI of the neck, and CT thorax/abdomen. Diffusion-weighted MRI of the neck is further performed after 10 fractions of radiotherapy to assess early responses and prior to surgery.</w:t>
            </w:r>
          </w:p>
          <w:p w14:paraId="494FA336" w14:textId="77777777" w:rsidR="00107F14" w:rsidRPr="00092BB0" w:rsidRDefault="00107F14" w:rsidP="0009317C">
            <w:pPr>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Boost volume definition follows interdisciplinary discussion, and </w:t>
            </w:r>
            <w:proofErr w:type="spellStart"/>
            <w:r w:rsidRPr="00092BB0">
              <w:rPr>
                <w:rFonts w:ascii="Times New Roman" w:hAnsi="Times New Roman" w:cs="Times New Roman"/>
                <w:sz w:val="24"/>
                <w:szCs w:val="24"/>
                <w:lang w:val="en-US"/>
              </w:rPr>
              <w:t>adresses</w:t>
            </w:r>
            <w:proofErr w:type="spellEnd"/>
            <w:r w:rsidRPr="00092BB0">
              <w:rPr>
                <w:rFonts w:ascii="Times New Roman" w:hAnsi="Times New Roman" w:cs="Times New Roman"/>
                <w:sz w:val="24"/>
                <w:szCs w:val="24"/>
                <w:lang w:val="en-US"/>
              </w:rPr>
              <w:t>, according to the surgeon's assessment, the region with the greatest resection difficulty.</w:t>
            </w:r>
          </w:p>
          <w:p w14:paraId="0F3531C0" w14:textId="77777777" w:rsidR="00107F14" w:rsidRPr="00092BB0" w:rsidRDefault="00107F14" w:rsidP="0009317C">
            <w:pPr>
              <w:ind w:left="400" w:right="212"/>
              <w:jc w:val="both"/>
              <w:rPr>
                <w:rFonts w:ascii="Times New Roman" w:hAnsi="Times New Roman" w:cs="Times New Roman"/>
                <w:color w:val="231F20"/>
                <w:sz w:val="24"/>
                <w:szCs w:val="24"/>
                <w:lang w:val="en-US"/>
              </w:rPr>
            </w:pPr>
            <w:r w:rsidRPr="00092BB0">
              <w:rPr>
                <w:rFonts w:ascii="Times New Roman" w:hAnsi="Times New Roman" w:cs="Times New Roman"/>
                <w:sz w:val="24"/>
                <w:szCs w:val="24"/>
                <w:lang w:val="en-US"/>
              </w:rPr>
              <w:t xml:space="preserve">Neoadjuvant </w:t>
            </w:r>
            <w:proofErr w:type="spellStart"/>
            <w:r w:rsidRPr="00092BB0">
              <w:rPr>
                <w:rFonts w:ascii="Times New Roman" w:hAnsi="Times New Roman" w:cs="Times New Roman"/>
                <w:sz w:val="24"/>
                <w:szCs w:val="24"/>
                <w:lang w:val="en-US"/>
              </w:rPr>
              <w:t>radiotherpy</w:t>
            </w:r>
            <w:proofErr w:type="spellEnd"/>
            <w:r w:rsidRPr="00092BB0">
              <w:rPr>
                <w:rFonts w:ascii="Times New Roman" w:hAnsi="Times New Roman" w:cs="Times New Roman"/>
                <w:sz w:val="24"/>
                <w:szCs w:val="24"/>
                <w:lang w:val="en-US"/>
              </w:rPr>
              <w:t xml:space="preserve"> consists of 60.0/54.9/50.1 </w:t>
            </w:r>
            <w:proofErr w:type="spellStart"/>
            <w:r w:rsidRPr="00092BB0">
              <w:rPr>
                <w:rFonts w:ascii="Times New Roman" w:hAnsi="Times New Roman" w:cs="Times New Roman"/>
                <w:sz w:val="24"/>
                <w:szCs w:val="24"/>
                <w:lang w:val="en-US"/>
              </w:rPr>
              <w:t>Gy</w:t>
            </w:r>
            <w:proofErr w:type="spellEnd"/>
            <w:r w:rsidRPr="00092BB0">
              <w:rPr>
                <w:rFonts w:ascii="Times New Roman" w:hAnsi="Times New Roman" w:cs="Times New Roman"/>
                <w:sz w:val="24"/>
                <w:szCs w:val="24"/>
                <w:lang w:val="en-US"/>
              </w:rPr>
              <w:t xml:space="preserve"> in 30 fractions, applied to the primary tumor region, involved/high risk neck levels, and the elective neck levels according to current guidelines, respectively. Intensity-modulated radiotherapy with a simultaneously integrated boost concept is used. </w:t>
            </w:r>
            <w:r w:rsidRPr="00092BB0">
              <w:rPr>
                <w:rFonts w:ascii="Times New Roman" w:hAnsi="Times New Roman" w:cs="Times New Roman"/>
                <w:color w:val="231F20"/>
                <w:sz w:val="24"/>
                <w:szCs w:val="24"/>
                <w:lang w:val="en-US"/>
              </w:rPr>
              <w:t>Two cycles of chemotherapy</w:t>
            </w:r>
            <w:r w:rsidRPr="00092BB0">
              <w:rPr>
                <w:rFonts w:ascii="Times New Roman" w:hAnsi="Times New Roman" w:cs="Times New Roman"/>
                <w:sz w:val="24"/>
                <w:szCs w:val="24"/>
                <w:lang w:val="en-US"/>
              </w:rPr>
              <w:t xml:space="preserve"> </w:t>
            </w:r>
            <w:r w:rsidRPr="00092BB0">
              <w:rPr>
                <w:rFonts w:ascii="Times New Roman" w:hAnsi="Times New Roman" w:cs="Times New Roman"/>
                <w:color w:val="231F20"/>
                <w:sz w:val="24"/>
                <w:szCs w:val="24"/>
                <w:lang w:val="en-US"/>
              </w:rPr>
              <w:t>are applied on days 1–5, and 29–33 of the radiotherapy consisting of 5-fluorouracil (5FU) (600 mg/m² per day) as a continuous 120-h intravenous infusion, and cisplatin (20 mg/m² per day) as short intravenous infusion.</w:t>
            </w:r>
          </w:p>
          <w:p w14:paraId="06C25225" w14:textId="77777777" w:rsidR="00107F14" w:rsidRPr="00092BB0" w:rsidRDefault="00107F14" w:rsidP="0009317C">
            <w:pPr>
              <w:ind w:left="400" w:right="212"/>
              <w:jc w:val="both"/>
              <w:rPr>
                <w:rFonts w:ascii="Times New Roman" w:hAnsi="Times New Roman" w:cs="Times New Roman"/>
                <w:color w:val="231F20"/>
                <w:sz w:val="24"/>
                <w:szCs w:val="24"/>
                <w:lang w:val="en-US"/>
              </w:rPr>
            </w:pPr>
            <w:r w:rsidRPr="00092BB0">
              <w:rPr>
                <w:rFonts w:ascii="Times New Roman" w:hAnsi="Times New Roman" w:cs="Times New Roman"/>
                <w:color w:val="231F20"/>
                <w:sz w:val="24"/>
                <w:szCs w:val="24"/>
                <w:lang w:val="en-US"/>
              </w:rPr>
              <w:t xml:space="preserve">Radical surgery following chemoradiotherapy is performed according to the initial extension of the primary tumor as marked by pre-treatment tattooing. </w:t>
            </w:r>
            <w:r w:rsidRPr="00092BB0">
              <w:rPr>
                <w:rFonts w:ascii="Times New Roman" w:hAnsi="Times New Roman" w:cs="Times New Roman"/>
                <w:color w:val="231F20"/>
                <w:sz w:val="24"/>
                <w:szCs w:val="24"/>
                <w:lang w:val="en-US"/>
              </w:rPr>
              <w:lastRenderedPageBreak/>
              <w:t xml:space="preserve">Elective neck dissection is performed according to pre-treatment staging information. Elective, ipsilateral </w:t>
            </w:r>
            <w:proofErr w:type="spellStart"/>
            <w:r w:rsidRPr="00092BB0">
              <w:rPr>
                <w:rFonts w:ascii="Times New Roman" w:hAnsi="Times New Roman" w:cs="Times New Roman"/>
                <w:color w:val="231F20"/>
                <w:sz w:val="24"/>
                <w:szCs w:val="24"/>
                <w:lang w:val="en-US"/>
              </w:rPr>
              <w:t>supraomohyoid</w:t>
            </w:r>
            <w:proofErr w:type="spellEnd"/>
            <w:r w:rsidRPr="00092BB0">
              <w:rPr>
                <w:rFonts w:ascii="Times New Roman" w:hAnsi="Times New Roman" w:cs="Times New Roman"/>
                <w:color w:val="231F20"/>
                <w:sz w:val="24"/>
                <w:szCs w:val="24"/>
                <w:lang w:val="en-US"/>
              </w:rPr>
              <w:t xml:space="preserve"> neck dissection (SOHND) is conducted for clinically negative neck nodes (cN0), and will be extended to the neck levels I-V for pathologically positive nodes. In these cases and for tumors crossing midline, contra-lateral SOHND is performed and also extended to the neck levels I-V for positive, contra-lateral nodes. </w:t>
            </w:r>
          </w:p>
          <w:p w14:paraId="67D5FC2D" w14:textId="77777777" w:rsidR="00107F14" w:rsidRPr="00092BB0" w:rsidRDefault="00107F14" w:rsidP="0009317C">
            <w:pPr>
              <w:ind w:left="400" w:right="212"/>
              <w:jc w:val="both"/>
              <w:rPr>
                <w:rFonts w:ascii="Times New Roman" w:hAnsi="Times New Roman" w:cs="Times New Roman"/>
                <w:color w:val="231F20"/>
                <w:sz w:val="24"/>
                <w:szCs w:val="24"/>
                <w:lang w:val="en-US"/>
              </w:rPr>
            </w:pPr>
            <w:r w:rsidRPr="00092BB0">
              <w:rPr>
                <w:rFonts w:ascii="Times New Roman" w:hAnsi="Times New Roman" w:cs="Times New Roman"/>
                <w:sz w:val="24"/>
                <w:szCs w:val="24"/>
                <w:lang w:val="en-US"/>
              </w:rPr>
              <w:t>Follow-up consists of clinical controls every 4-8 weeks and MRI/CT neck, and quality of life assessment every 3 months, CT thorax/abdomen every 6 months for the first 2 years.</w:t>
            </w:r>
          </w:p>
        </w:tc>
      </w:tr>
      <w:tr w:rsidR="00107F14" w:rsidRPr="00495C35" w14:paraId="37B91ED3" w14:textId="77777777" w:rsidTr="00107F14">
        <w:trPr>
          <w:jc w:val="center"/>
        </w:trPr>
        <w:tc>
          <w:tcPr>
            <w:tcW w:w="2660" w:type="dxa"/>
          </w:tcPr>
          <w:p w14:paraId="6509BAF9" w14:textId="77777777" w:rsidR="00107F14" w:rsidRPr="00092BB0" w:rsidRDefault="00107F14" w:rsidP="0009317C">
            <w:pPr>
              <w:spacing w:before="120" w:after="120"/>
              <w:rPr>
                <w:rFonts w:ascii="Times New Roman" w:hAnsi="Times New Roman" w:cs="Times New Roman"/>
                <w:sz w:val="24"/>
                <w:szCs w:val="24"/>
                <w:lang w:val="en-GB"/>
              </w:rPr>
            </w:pPr>
            <w:r w:rsidRPr="00092BB0">
              <w:rPr>
                <w:rFonts w:ascii="Times New Roman" w:hAnsi="Times New Roman" w:cs="Times New Roman"/>
                <w:b/>
                <w:sz w:val="24"/>
                <w:szCs w:val="24"/>
                <w:lang w:val="en-GB"/>
              </w:rPr>
              <w:lastRenderedPageBreak/>
              <w:t>Translational Research</w:t>
            </w:r>
          </w:p>
        </w:tc>
        <w:tc>
          <w:tcPr>
            <w:tcW w:w="6048" w:type="dxa"/>
          </w:tcPr>
          <w:p w14:paraId="4156BDB8" w14:textId="77777777" w:rsidR="00107F14" w:rsidRPr="00092BB0" w:rsidRDefault="00107F14" w:rsidP="0009317C">
            <w:pPr>
              <w:tabs>
                <w:tab w:val="left" w:pos="3960"/>
              </w:tabs>
              <w:spacing w:before="120" w:after="120"/>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An extensive translational research program is implemented in order to further refine prognostic and predictive profiling (i.e. immunohistochemical biomarkers).</w:t>
            </w:r>
          </w:p>
        </w:tc>
      </w:tr>
      <w:tr w:rsidR="00107F14" w:rsidRPr="00495C35" w14:paraId="2B5698C2" w14:textId="77777777" w:rsidTr="00107F14">
        <w:trPr>
          <w:jc w:val="center"/>
        </w:trPr>
        <w:tc>
          <w:tcPr>
            <w:tcW w:w="2660" w:type="dxa"/>
          </w:tcPr>
          <w:p w14:paraId="53E05C78"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lang w:val="en-GB"/>
              </w:rPr>
              <w:t>Sample Size and Justification</w:t>
            </w:r>
          </w:p>
        </w:tc>
        <w:tc>
          <w:tcPr>
            <w:tcW w:w="6048" w:type="dxa"/>
          </w:tcPr>
          <w:p w14:paraId="61483CEF" w14:textId="77777777" w:rsidR="00107F14" w:rsidRPr="00092BB0" w:rsidRDefault="00107F14" w:rsidP="0009317C">
            <w:pPr>
              <w:spacing w:before="120" w:after="120"/>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The primary clinical objective of this pilot study is to estimate the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 xml:space="preserve"> rate and to calculate the corresponding 95% confidence interval. In order for the overall statistical length to be less than 40%, data from a total of n=26 patients must be available for analysis (exact Clopper-Pearson calculation). Since the primary endpoint of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 xml:space="preserve"> is achieved after surgery, we expect only a small drop out of at most 5%, resulting in a number of 28 patients to be recruited. </w:t>
            </w:r>
          </w:p>
        </w:tc>
      </w:tr>
      <w:tr w:rsidR="00107F14" w:rsidRPr="0009317C" w14:paraId="7AD992D1" w14:textId="77777777" w:rsidTr="00107F14">
        <w:trPr>
          <w:jc w:val="center"/>
        </w:trPr>
        <w:tc>
          <w:tcPr>
            <w:tcW w:w="2660" w:type="dxa"/>
          </w:tcPr>
          <w:p w14:paraId="342F0E96" w14:textId="77777777" w:rsidR="00107F14" w:rsidRPr="00092BB0" w:rsidRDefault="00107F14" w:rsidP="0009317C">
            <w:pPr>
              <w:spacing w:before="120" w:after="120"/>
              <w:rPr>
                <w:rFonts w:ascii="Times New Roman" w:hAnsi="Times New Roman" w:cs="Times New Roman"/>
                <w:b/>
                <w:sz w:val="24"/>
                <w:szCs w:val="24"/>
                <w:lang w:val="en-GB"/>
              </w:rPr>
            </w:pPr>
            <w:r w:rsidRPr="00092BB0">
              <w:rPr>
                <w:rFonts w:ascii="Times New Roman" w:hAnsi="Times New Roman" w:cs="Times New Roman"/>
                <w:b/>
                <w:sz w:val="24"/>
                <w:szCs w:val="24"/>
                <w:lang w:val="en-GB"/>
              </w:rPr>
              <w:t>Biostatistical Methods</w:t>
            </w:r>
          </w:p>
        </w:tc>
        <w:tc>
          <w:tcPr>
            <w:tcW w:w="6048" w:type="dxa"/>
          </w:tcPr>
          <w:p w14:paraId="0C4F6E9B" w14:textId="77777777" w:rsidR="00107F14" w:rsidRPr="00107F14" w:rsidRDefault="00107F14" w:rsidP="0009317C">
            <w:pPr>
              <w:spacing w:before="120" w:after="120"/>
              <w:ind w:left="400" w:right="212"/>
              <w:jc w:val="both"/>
              <w:rPr>
                <w:rFonts w:ascii="Times New Roman" w:hAnsi="Times New Roman" w:cs="Times New Roman"/>
                <w:sz w:val="24"/>
                <w:szCs w:val="24"/>
                <w:lang w:val="en-US"/>
              </w:rPr>
            </w:pPr>
            <w:r w:rsidRPr="00107F14">
              <w:rPr>
                <w:rFonts w:ascii="Times New Roman" w:hAnsi="Times New Roman" w:cs="Times New Roman"/>
                <w:sz w:val="24"/>
                <w:szCs w:val="24"/>
                <w:lang w:val="en-US"/>
              </w:rPr>
              <w:t>The results collected in the study will provide the data basis for planning further interventional studies.</w:t>
            </w:r>
          </w:p>
          <w:p w14:paraId="5E52E92D" w14:textId="66B30457" w:rsidR="00107F14" w:rsidRPr="00092BB0" w:rsidRDefault="00107F14" w:rsidP="0009317C">
            <w:pPr>
              <w:spacing w:before="120" w:after="120"/>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All primary analyses will follow the ITT principle, i.e. all</w:t>
            </w:r>
            <w:r w:rsidR="0009317C">
              <w:rPr>
                <w:rFonts w:ascii="Times New Roman" w:hAnsi="Times New Roman" w:cs="Times New Roman"/>
                <w:sz w:val="24"/>
                <w:szCs w:val="24"/>
                <w:lang w:val="en-US"/>
              </w:rPr>
              <w:t xml:space="preserve"> </w:t>
            </w:r>
            <w:r w:rsidRPr="00092BB0">
              <w:rPr>
                <w:rFonts w:ascii="Times New Roman" w:hAnsi="Times New Roman" w:cs="Times New Roman"/>
                <w:sz w:val="24"/>
                <w:szCs w:val="24"/>
                <w:lang w:val="en-US"/>
              </w:rPr>
              <w:t xml:space="preserve">randomized patients will be included in the analyses and in the treatment groups they were randomized to. For the primary efficacy outcome, the proportions of patients with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 xml:space="preserve"> will be reported with 95% confidence intervals and the treatment groups will be compared in a logistic regression with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 xml:space="preserve"> as dependent variable and independent variables (i.e. tumor and treatment characteristics) as factors.</w:t>
            </w:r>
          </w:p>
          <w:p w14:paraId="2DC85E62" w14:textId="77777777" w:rsidR="00107F14" w:rsidRPr="00E12E9F" w:rsidRDefault="00107F14" w:rsidP="0009317C">
            <w:pPr>
              <w:spacing w:before="120" w:after="120"/>
              <w:ind w:left="400" w:right="212"/>
              <w:jc w:val="both"/>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The assumed probability for </w:t>
            </w:r>
            <w:proofErr w:type="spellStart"/>
            <w:r w:rsidRPr="00092BB0">
              <w:rPr>
                <w:rFonts w:ascii="Times New Roman" w:hAnsi="Times New Roman" w:cs="Times New Roman"/>
                <w:sz w:val="24"/>
                <w:szCs w:val="24"/>
                <w:lang w:val="en-US"/>
              </w:rPr>
              <w:t>pCR</w:t>
            </w:r>
            <w:proofErr w:type="spellEnd"/>
            <w:r w:rsidRPr="00092BB0">
              <w:rPr>
                <w:rFonts w:ascii="Times New Roman" w:hAnsi="Times New Roman" w:cs="Times New Roman"/>
                <w:sz w:val="24"/>
                <w:szCs w:val="24"/>
                <w:lang w:val="en-US"/>
              </w:rPr>
              <w:t xml:space="preserve"> is at least 33% and the overall length is less than 40% (i.e., 20% down </w:t>
            </w:r>
            <w:r w:rsidRPr="00092BB0">
              <w:rPr>
                <w:rFonts w:ascii="Times New Roman" w:hAnsi="Times New Roman" w:cs="Times New Roman"/>
                <w:sz w:val="24"/>
                <w:szCs w:val="24"/>
                <w:lang w:val="en-US"/>
              </w:rPr>
              <w:lastRenderedPageBreak/>
              <w:t xml:space="preserve">and up). Time-to-event data such as progression-free survival and overall survival are presented as Kaplan-Meyer curves with 95% confidence intervals. </w:t>
            </w:r>
            <w:r w:rsidRPr="00E12E9F">
              <w:rPr>
                <w:rFonts w:ascii="Times New Roman" w:hAnsi="Times New Roman" w:cs="Times New Roman"/>
                <w:sz w:val="24"/>
                <w:szCs w:val="24"/>
                <w:lang w:val="en-US"/>
              </w:rPr>
              <w:t>Drop out will be treated as independent right censoring.</w:t>
            </w:r>
          </w:p>
        </w:tc>
      </w:tr>
      <w:tr w:rsidR="00107F14" w:rsidRPr="00092BB0" w14:paraId="125F3F48" w14:textId="77777777" w:rsidTr="00107F14">
        <w:trPr>
          <w:jc w:val="center"/>
        </w:trPr>
        <w:tc>
          <w:tcPr>
            <w:tcW w:w="2660" w:type="dxa"/>
          </w:tcPr>
          <w:p w14:paraId="07E24521" w14:textId="77777777" w:rsidR="00107F14" w:rsidRPr="00092BB0" w:rsidRDefault="00107F14" w:rsidP="0009317C">
            <w:pPr>
              <w:spacing w:before="120" w:after="120"/>
              <w:rPr>
                <w:rFonts w:ascii="Times New Roman" w:hAnsi="Times New Roman" w:cs="Times New Roman"/>
                <w:sz w:val="24"/>
                <w:szCs w:val="24"/>
                <w:lang w:val="en-GB"/>
              </w:rPr>
            </w:pPr>
            <w:r w:rsidRPr="00092BB0">
              <w:rPr>
                <w:rFonts w:ascii="Times New Roman" w:hAnsi="Times New Roman" w:cs="Times New Roman"/>
                <w:b/>
                <w:sz w:val="24"/>
                <w:szCs w:val="24"/>
                <w:lang w:val="en-GB"/>
              </w:rPr>
              <w:lastRenderedPageBreak/>
              <w:t>Study Duration</w:t>
            </w:r>
          </w:p>
        </w:tc>
        <w:tc>
          <w:tcPr>
            <w:tcW w:w="6048" w:type="dxa"/>
          </w:tcPr>
          <w:p w14:paraId="0E82B75E" w14:textId="77777777" w:rsidR="00107F14" w:rsidRPr="00092BB0" w:rsidRDefault="00107F14" w:rsidP="0009317C">
            <w:pPr>
              <w:tabs>
                <w:tab w:val="left" w:pos="4360"/>
              </w:tabs>
              <w:spacing w:before="120"/>
              <w:ind w:left="403" w:right="210"/>
              <w:rPr>
                <w:rFonts w:ascii="Times New Roman" w:hAnsi="Times New Roman" w:cs="Times New Roman"/>
                <w:sz w:val="24"/>
                <w:szCs w:val="24"/>
                <w:lang w:val="en-US"/>
              </w:rPr>
            </w:pPr>
            <w:r w:rsidRPr="00092BB0">
              <w:rPr>
                <w:rFonts w:ascii="Times New Roman" w:hAnsi="Times New Roman" w:cs="Times New Roman"/>
                <w:sz w:val="24"/>
                <w:szCs w:val="24"/>
                <w:lang w:val="en-US"/>
              </w:rPr>
              <w:t>Start of recruitment:</w:t>
            </w:r>
            <w:r w:rsidRPr="00092BB0">
              <w:rPr>
                <w:rFonts w:ascii="Times New Roman" w:hAnsi="Times New Roman" w:cs="Times New Roman"/>
                <w:sz w:val="24"/>
                <w:szCs w:val="24"/>
                <w:lang w:val="en-US"/>
              </w:rPr>
              <w:tab/>
              <w:t xml:space="preserve"> 05/2013 </w:t>
            </w:r>
          </w:p>
          <w:p w14:paraId="47C1435A" w14:textId="77777777" w:rsidR="00107F14" w:rsidRPr="00092BB0" w:rsidRDefault="00107F14" w:rsidP="0009317C">
            <w:pPr>
              <w:tabs>
                <w:tab w:val="left" w:pos="4360"/>
              </w:tabs>
              <w:spacing w:after="120"/>
              <w:ind w:left="400" w:right="212"/>
              <w:rPr>
                <w:rFonts w:ascii="Times New Roman" w:hAnsi="Times New Roman" w:cs="Times New Roman"/>
                <w:sz w:val="24"/>
                <w:szCs w:val="24"/>
                <w:lang w:val="en-US"/>
              </w:rPr>
            </w:pPr>
            <w:r w:rsidRPr="00092BB0">
              <w:rPr>
                <w:rFonts w:ascii="Times New Roman" w:hAnsi="Times New Roman" w:cs="Times New Roman"/>
                <w:sz w:val="24"/>
                <w:szCs w:val="24"/>
                <w:lang w:val="en-US"/>
              </w:rPr>
              <w:t>Planned termination of recruitment:</w:t>
            </w:r>
            <w:r w:rsidRPr="00092BB0">
              <w:rPr>
                <w:rFonts w:ascii="Times New Roman" w:hAnsi="Times New Roman" w:cs="Times New Roman"/>
                <w:sz w:val="24"/>
                <w:szCs w:val="24"/>
                <w:lang w:val="en-US"/>
              </w:rPr>
              <w:tab/>
              <w:t xml:space="preserve"> 12/2023</w:t>
            </w:r>
          </w:p>
          <w:p w14:paraId="5C41A1FE" w14:textId="77777777" w:rsidR="00107F14" w:rsidRPr="00092BB0" w:rsidRDefault="00107F14" w:rsidP="0009317C">
            <w:pPr>
              <w:tabs>
                <w:tab w:val="left" w:pos="4360"/>
              </w:tabs>
              <w:spacing w:after="120"/>
              <w:ind w:left="400" w:right="212"/>
              <w:rPr>
                <w:rFonts w:ascii="Times New Roman" w:hAnsi="Times New Roman" w:cs="Times New Roman"/>
                <w:sz w:val="24"/>
                <w:szCs w:val="24"/>
                <w:lang w:val="en-US"/>
              </w:rPr>
            </w:pPr>
            <w:r w:rsidRPr="00092BB0">
              <w:rPr>
                <w:rFonts w:ascii="Times New Roman" w:hAnsi="Times New Roman" w:cs="Times New Roman"/>
                <w:sz w:val="24"/>
                <w:szCs w:val="24"/>
                <w:lang w:val="en-US"/>
              </w:rPr>
              <w:t xml:space="preserve">Planned termination of follow-up:                    12/2025            </w:t>
            </w:r>
          </w:p>
          <w:p w14:paraId="5CF0865B" w14:textId="77777777" w:rsidR="00107F14" w:rsidRPr="00092BB0" w:rsidRDefault="00107F14" w:rsidP="0009317C">
            <w:pPr>
              <w:tabs>
                <w:tab w:val="left" w:pos="4360"/>
              </w:tabs>
              <w:spacing w:after="120"/>
              <w:ind w:left="400" w:right="212"/>
              <w:rPr>
                <w:rFonts w:ascii="Times New Roman" w:hAnsi="Times New Roman" w:cs="Times New Roman"/>
                <w:sz w:val="24"/>
                <w:szCs w:val="24"/>
              </w:rPr>
            </w:pPr>
            <w:r w:rsidRPr="00092BB0">
              <w:rPr>
                <w:rFonts w:ascii="Times New Roman" w:hAnsi="Times New Roman" w:cs="Times New Roman"/>
                <w:sz w:val="24"/>
                <w:szCs w:val="24"/>
              </w:rPr>
              <w:t xml:space="preserve">Final </w:t>
            </w:r>
            <w:proofErr w:type="spellStart"/>
            <w:r w:rsidRPr="00092BB0">
              <w:rPr>
                <w:rFonts w:ascii="Times New Roman" w:hAnsi="Times New Roman" w:cs="Times New Roman"/>
                <w:sz w:val="24"/>
                <w:szCs w:val="24"/>
              </w:rPr>
              <w:t>study</w:t>
            </w:r>
            <w:proofErr w:type="spellEnd"/>
            <w:r w:rsidRPr="00092BB0">
              <w:rPr>
                <w:rFonts w:ascii="Times New Roman" w:hAnsi="Times New Roman" w:cs="Times New Roman"/>
                <w:sz w:val="24"/>
                <w:szCs w:val="24"/>
              </w:rPr>
              <w:t xml:space="preserve"> </w:t>
            </w:r>
            <w:proofErr w:type="spellStart"/>
            <w:r w:rsidRPr="00092BB0">
              <w:rPr>
                <w:rFonts w:ascii="Times New Roman" w:hAnsi="Times New Roman" w:cs="Times New Roman"/>
                <w:sz w:val="24"/>
                <w:szCs w:val="24"/>
              </w:rPr>
              <w:t>report</w:t>
            </w:r>
            <w:proofErr w:type="spellEnd"/>
            <w:r w:rsidRPr="00092BB0">
              <w:rPr>
                <w:rFonts w:ascii="Times New Roman" w:hAnsi="Times New Roman" w:cs="Times New Roman"/>
                <w:sz w:val="24"/>
                <w:szCs w:val="24"/>
              </w:rPr>
              <w:t>:</w:t>
            </w:r>
            <w:r w:rsidRPr="00092BB0">
              <w:rPr>
                <w:rFonts w:ascii="Times New Roman" w:hAnsi="Times New Roman" w:cs="Times New Roman"/>
                <w:sz w:val="24"/>
                <w:szCs w:val="24"/>
              </w:rPr>
              <w:tab/>
              <w:t xml:space="preserve"> 06/2026</w:t>
            </w:r>
          </w:p>
        </w:tc>
      </w:tr>
    </w:tbl>
    <w:p w14:paraId="65BDE164" w14:textId="77777777" w:rsidR="00107F14" w:rsidRDefault="00107F14" w:rsidP="005F2348">
      <w:pPr>
        <w:spacing w:line="240" w:lineRule="auto"/>
        <w:jc w:val="both"/>
        <w:rPr>
          <w:rFonts w:ascii="Times New Roman" w:hAnsi="Times New Roman" w:cs="Times New Roman"/>
          <w:b/>
          <w:sz w:val="24"/>
          <w:szCs w:val="24"/>
          <w:lang w:val="en-US"/>
        </w:rPr>
      </w:pPr>
    </w:p>
    <w:p w14:paraId="19201209" w14:textId="77777777" w:rsidR="00107F14" w:rsidRDefault="00107F14" w:rsidP="005F2348">
      <w:pPr>
        <w:spacing w:line="240" w:lineRule="auto"/>
        <w:jc w:val="both"/>
        <w:rPr>
          <w:rFonts w:ascii="Times New Roman" w:hAnsi="Times New Roman" w:cs="Times New Roman"/>
          <w:b/>
          <w:sz w:val="24"/>
          <w:szCs w:val="24"/>
          <w:lang w:val="en-US"/>
        </w:rPr>
      </w:pPr>
    </w:p>
    <w:p w14:paraId="7903389F" w14:textId="409273B2" w:rsidR="004A0C8C" w:rsidRPr="005F2348" w:rsidRDefault="004A0C8C" w:rsidP="005F2348">
      <w:pPr>
        <w:spacing w:line="240" w:lineRule="auto"/>
        <w:jc w:val="both"/>
        <w:rPr>
          <w:rFonts w:ascii="Times New Roman" w:hAnsi="Times New Roman" w:cs="Times New Roman"/>
          <w:sz w:val="24"/>
          <w:szCs w:val="24"/>
          <w:lang w:val="en-US"/>
        </w:rPr>
      </w:pPr>
      <w:r w:rsidRPr="005F2348">
        <w:rPr>
          <w:rFonts w:ascii="Times New Roman" w:hAnsi="Times New Roman" w:cs="Times New Roman"/>
          <w:b/>
          <w:sz w:val="24"/>
          <w:szCs w:val="24"/>
          <w:lang w:val="en-US"/>
        </w:rPr>
        <w:t xml:space="preserve">Supplementary table </w:t>
      </w:r>
      <w:r w:rsidR="00107F14">
        <w:rPr>
          <w:rFonts w:ascii="Times New Roman" w:hAnsi="Times New Roman" w:cs="Times New Roman"/>
          <w:b/>
          <w:sz w:val="24"/>
          <w:szCs w:val="24"/>
          <w:lang w:val="en-US"/>
        </w:rPr>
        <w:t>2</w:t>
      </w:r>
      <w:r w:rsidRPr="005F2348">
        <w:rPr>
          <w:rFonts w:ascii="Times New Roman" w:hAnsi="Times New Roman" w:cs="Times New Roman"/>
          <w:b/>
          <w:sz w:val="24"/>
          <w:szCs w:val="24"/>
          <w:lang w:val="en-US"/>
        </w:rPr>
        <w:t>: Acute Adverse Effects in Patients Receiving Neoadjuvant Chemoradiotherapy</w:t>
      </w:r>
      <w:r w:rsidR="005F2348" w:rsidRPr="005F2348">
        <w:rPr>
          <w:rFonts w:ascii="Times New Roman" w:hAnsi="Times New Roman" w:cs="Times New Roman"/>
          <w:b/>
          <w:sz w:val="24"/>
          <w:szCs w:val="24"/>
          <w:lang w:val="en-US"/>
        </w:rPr>
        <w:t>.</w:t>
      </w:r>
      <w:r w:rsidR="005F2348">
        <w:rPr>
          <w:rFonts w:ascii="Times New Roman" w:hAnsi="Times New Roman" w:cs="Times New Roman"/>
          <w:sz w:val="24"/>
          <w:szCs w:val="24"/>
          <w:lang w:val="en-US"/>
        </w:rPr>
        <w:t xml:space="preserve"> </w:t>
      </w:r>
      <w:r w:rsidR="005F2348" w:rsidRPr="005F2348">
        <w:rPr>
          <w:rFonts w:ascii="Times New Roman" w:hAnsi="Times New Roman" w:cs="Times New Roman"/>
          <w:sz w:val="24"/>
          <w:szCs w:val="24"/>
          <w:lang w:val="en-US"/>
        </w:rPr>
        <w:t xml:space="preserve">*National Cancer Institute Common Terminology Criteria for Adverse Events version 5.0. </w:t>
      </w:r>
      <w:r w:rsidR="005F2348" w:rsidRPr="005F2348">
        <w:rPr>
          <w:rFonts w:ascii="Times New Roman" w:hAnsi="Times New Roman" w:cs="Times New Roman"/>
          <w:sz w:val="24"/>
          <w:szCs w:val="24"/>
          <w:vertAlign w:val="superscript"/>
          <w:lang w:val="en-US"/>
        </w:rPr>
        <w:t>#</w:t>
      </w:r>
      <w:r w:rsidR="005F2348" w:rsidRPr="005F2348">
        <w:rPr>
          <w:rFonts w:ascii="Times New Roman" w:hAnsi="Times New Roman" w:cs="Times New Roman"/>
          <w:sz w:val="24"/>
          <w:szCs w:val="24"/>
          <w:lang w:val="en-US"/>
        </w:rPr>
        <w:t>One patient with comorbidities died from pneumonia ten weeks after completion of chemoradiotherapy without surgery following refusal of hospital admission; Abbreviations: NA, Not applicable.</w:t>
      </w:r>
    </w:p>
    <w:tbl>
      <w:tblPr>
        <w:tblStyle w:val="LightShading"/>
        <w:tblW w:w="0" w:type="auto"/>
        <w:jc w:val="center"/>
        <w:tblLook w:val="04A0" w:firstRow="1" w:lastRow="0" w:firstColumn="1" w:lastColumn="0" w:noHBand="0" w:noVBand="1"/>
      </w:tblPr>
      <w:tblGrid>
        <w:gridCol w:w="2339"/>
        <w:gridCol w:w="1250"/>
        <w:gridCol w:w="1050"/>
        <w:gridCol w:w="1050"/>
        <w:gridCol w:w="1050"/>
      </w:tblGrid>
      <w:tr w:rsidR="004A0C8C" w:rsidRPr="005F2348" w14:paraId="1A2CB98F" w14:textId="77777777" w:rsidTr="000A27A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0BA01364" w14:textId="77777777" w:rsidR="004A0C8C" w:rsidRPr="005F2348" w:rsidRDefault="004A0C8C" w:rsidP="005F2348">
            <w:pPr>
              <w:autoSpaceDE w:val="0"/>
              <w:autoSpaceDN w:val="0"/>
              <w:adjustRightInd w:val="0"/>
              <w:snapToGrid w:val="0"/>
              <w:rPr>
                <w:rFonts w:ascii="Times New Roman" w:hAnsi="Times New Roman" w:cs="Times New Roman"/>
                <w:sz w:val="24"/>
                <w:szCs w:val="24"/>
              </w:rPr>
            </w:pPr>
            <w:proofErr w:type="spellStart"/>
            <w:r w:rsidRPr="005F2348">
              <w:rPr>
                <w:rFonts w:ascii="Times New Roman" w:hAnsi="Times New Roman" w:cs="Times New Roman"/>
                <w:sz w:val="24"/>
                <w:szCs w:val="24"/>
              </w:rPr>
              <w:t>Toxicity</w:t>
            </w:r>
            <w:proofErr w:type="spellEnd"/>
            <w:r w:rsidRPr="005F2348">
              <w:rPr>
                <w:rFonts w:ascii="Times New Roman" w:hAnsi="Times New Roman" w:cs="Times New Roman"/>
                <w:sz w:val="24"/>
                <w:szCs w:val="24"/>
              </w:rPr>
              <w:t>*</w:t>
            </w:r>
          </w:p>
        </w:tc>
        <w:tc>
          <w:tcPr>
            <w:tcW w:w="0" w:type="auto"/>
            <w:tcBorders>
              <w:top w:val="single" w:sz="4" w:space="0" w:color="auto"/>
              <w:bottom w:val="nil"/>
            </w:tcBorders>
            <w:shd w:val="clear" w:color="auto" w:fill="auto"/>
            <w:vAlign w:val="center"/>
          </w:tcPr>
          <w:p w14:paraId="1714AA70" w14:textId="77777777" w:rsidR="004A0C8C" w:rsidRPr="005F2348" w:rsidRDefault="004A0C8C" w:rsidP="005F23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Grade 1-2</w:t>
            </w:r>
          </w:p>
        </w:tc>
        <w:tc>
          <w:tcPr>
            <w:tcW w:w="0" w:type="auto"/>
            <w:tcBorders>
              <w:top w:val="single" w:sz="4" w:space="0" w:color="auto"/>
              <w:bottom w:val="nil"/>
            </w:tcBorders>
            <w:shd w:val="clear" w:color="auto" w:fill="auto"/>
          </w:tcPr>
          <w:p w14:paraId="0EDB4CA1" w14:textId="77777777" w:rsidR="004A0C8C" w:rsidRPr="005F2348" w:rsidRDefault="004A0C8C" w:rsidP="005F23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Grade 3</w:t>
            </w:r>
          </w:p>
        </w:tc>
        <w:tc>
          <w:tcPr>
            <w:tcW w:w="0" w:type="auto"/>
            <w:tcBorders>
              <w:top w:val="single" w:sz="4" w:space="0" w:color="auto"/>
              <w:bottom w:val="nil"/>
            </w:tcBorders>
            <w:shd w:val="clear" w:color="auto" w:fill="auto"/>
          </w:tcPr>
          <w:p w14:paraId="0E1769F9" w14:textId="77777777" w:rsidR="004A0C8C" w:rsidRPr="005F2348" w:rsidRDefault="004A0C8C" w:rsidP="005F23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Grade 4</w:t>
            </w:r>
          </w:p>
        </w:tc>
        <w:tc>
          <w:tcPr>
            <w:tcW w:w="0" w:type="auto"/>
            <w:tcBorders>
              <w:top w:val="single" w:sz="4" w:space="0" w:color="auto"/>
              <w:bottom w:val="nil"/>
            </w:tcBorders>
            <w:shd w:val="clear" w:color="auto" w:fill="auto"/>
          </w:tcPr>
          <w:p w14:paraId="334932C0" w14:textId="77777777" w:rsidR="004A0C8C" w:rsidRPr="005F2348" w:rsidRDefault="004A0C8C" w:rsidP="005F23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Grade 5</w:t>
            </w:r>
          </w:p>
        </w:tc>
      </w:tr>
      <w:tr w:rsidR="004A0C8C" w:rsidRPr="005F2348" w14:paraId="50351828"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000000" w:themeColor="text1"/>
            </w:tcBorders>
            <w:shd w:val="clear" w:color="auto" w:fill="auto"/>
            <w:vAlign w:val="center"/>
          </w:tcPr>
          <w:p w14:paraId="40D75334" w14:textId="77777777" w:rsidR="004A0C8C" w:rsidRPr="005F2348" w:rsidRDefault="004A0C8C" w:rsidP="005F2348">
            <w:pPr>
              <w:autoSpaceDE w:val="0"/>
              <w:autoSpaceDN w:val="0"/>
              <w:adjustRightInd w:val="0"/>
              <w:snapToGrid w:val="0"/>
              <w:rPr>
                <w:rFonts w:ascii="Times New Roman" w:hAnsi="Times New Roman" w:cs="Times New Roman"/>
                <w:sz w:val="24"/>
                <w:szCs w:val="24"/>
              </w:rPr>
            </w:pPr>
          </w:p>
        </w:tc>
        <w:tc>
          <w:tcPr>
            <w:tcW w:w="0" w:type="auto"/>
            <w:gridSpan w:val="4"/>
            <w:tcBorders>
              <w:top w:val="nil"/>
              <w:bottom w:val="single" w:sz="4" w:space="0" w:color="000000" w:themeColor="text1"/>
            </w:tcBorders>
            <w:shd w:val="clear" w:color="auto" w:fill="auto"/>
            <w:vAlign w:val="center"/>
          </w:tcPr>
          <w:p w14:paraId="1F9FCAD5" w14:textId="77777777"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
                <w:sz w:val="24"/>
                <w:szCs w:val="24"/>
              </w:rPr>
              <w:t>n (%)</w:t>
            </w:r>
          </w:p>
        </w:tc>
      </w:tr>
      <w:tr w:rsidR="004A0C8C" w:rsidRPr="005F2348" w14:paraId="0DAE7DAC"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EC9B03" w14:textId="77777777" w:rsidR="004A0C8C" w:rsidRPr="005F2348" w:rsidRDefault="004A0C8C" w:rsidP="005F2348">
            <w:pPr>
              <w:rPr>
                <w:rFonts w:ascii="Times New Roman" w:hAnsi="Times New Roman" w:cs="Times New Roman"/>
                <w:sz w:val="24"/>
                <w:szCs w:val="24"/>
              </w:rPr>
            </w:pPr>
            <w:proofErr w:type="spellStart"/>
            <w:r w:rsidRPr="005F2348">
              <w:rPr>
                <w:rFonts w:ascii="Times New Roman" w:hAnsi="Times New Roman" w:cs="Times New Roman"/>
                <w:sz w:val="24"/>
                <w:szCs w:val="24"/>
              </w:rPr>
              <w:t>Hematologic</w:t>
            </w:r>
            <w:proofErr w:type="spellEnd"/>
          </w:p>
        </w:tc>
        <w:tc>
          <w:tcPr>
            <w:tcW w:w="0" w:type="auto"/>
            <w:shd w:val="clear" w:color="auto" w:fill="auto"/>
            <w:vAlign w:val="center"/>
          </w:tcPr>
          <w:p w14:paraId="53038BD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0" w:type="auto"/>
            <w:shd w:val="clear" w:color="auto" w:fill="auto"/>
          </w:tcPr>
          <w:p w14:paraId="4A17C6F0"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0" w:type="auto"/>
            <w:shd w:val="clear" w:color="auto" w:fill="auto"/>
          </w:tcPr>
          <w:p w14:paraId="0D37C240"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0" w:type="auto"/>
            <w:shd w:val="clear" w:color="auto" w:fill="auto"/>
          </w:tcPr>
          <w:p w14:paraId="2F23DBA8"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A0C8C" w:rsidRPr="005F2348" w14:paraId="2B5C81D6"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A17E774"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Leukocytes</w:t>
            </w:r>
            <w:proofErr w:type="spellEnd"/>
          </w:p>
        </w:tc>
        <w:tc>
          <w:tcPr>
            <w:tcW w:w="0" w:type="auto"/>
            <w:shd w:val="clear" w:color="auto" w:fill="auto"/>
            <w:vAlign w:val="center"/>
          </w:tcPr>
          <w:p w14:paraId="02174149"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9 (53)</w:t>
            </w:r>
          </w:p>
        </w:tc>
        <w:tc>
          <w:tcPr>
            <w:tcW w:w="0" w:type="auto"/>
            <w:shd w:val="clear" w:color="auto" w:fill="auto"/>
          </w:tcPr>
          <w:p w14:paraId="51302F9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5 (29)</w:t>
            </w:r>
          </w:p>
        </w:tc>
        <w:tc>
          <w:tcPr>
            <w:tcW w:w="0" w:type="auto"/>
            <w:shd w:val="clear" w:color="auto" w:fill="auto"/>
          </w:tcPr>
          <w:p w14:paraId="409F6651"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E24F87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4F158A49"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6EDC6B6"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Hemoglobin</w:t>
            </w:r>
            <w:proofErr w:type="spellEnd"/>
          </w:p>
        </w:tc>
        <w:tc>
          <w:tcPr>
            <w:tcW w:w="0" w:type="auto"/>
            <w:shd w:val="clear" w:color="auto" w:fill="auto"/>
            <w:vAlign w:val="center"/>
          </w:tcPr>
          <w:p w14:paraId="3AECF109"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7 (41)</w:t>
            </w:r>
          </w:p>
        </w:tc>
        <w:tc>
          <w:tcPr>
            <w:tcW w:w="0" w:type="auto"/>
            <w:shd w:val="clear" w:color="auto" w:fill="auto"/>
          </w:tcPr>
          <w:p w14:paraId="2EE7B399"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09E1B97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393FB1E"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39B632B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866EAF0"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Platelets</w:t>
            </w:r>
            <w:proofErr w:type="spellEnd"/>
          </w:p>
        </w:tc>
        <w:tc>
          <w:tcPr>
            <w:tcW w:w="0" w:type="auto"/>
            <w:shd w:val="clear" w:color="auto" w:fill="auto"/>
            <w:vAlign w:val="center"/>
          </w:tcPr>
          <w:p w14:paraId="6F4FB98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9 (53)</w:t>
            </w:r>
          </w:p>
        </w:tc>
        <w:tc>
          <w:tcPr>
            <w:tcW w:w="0" w:type="auto"/>
            <w:shd w:val="clear" w:color="auto" w:fill="auto"/>
          </w:tcPr>
          <w:p w14:paraId="608E312F"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4A01C5B2"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410A0D8A"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37601337"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C53AB4"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Infection</w:t>
            </w:r>
            <w:proofErr w:type="spellEnd"/>
          </w:p>
        </w:tc>
        <w:tc>
          <w:tcPr>
            <w:tcW w:w="0" w:type="auto"/>
            <w:shd w:val="clear" w:color="auto" w:fill="auto"/>
            <w:vAlign w:val="center"/>
          </w:tcPr>
          <w:p w14:paraId="3269CE27"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6 (35)</w:t>
            </w:r>
          </w:p>
        </w:tc>
        <w:tc>
          <w:tcPr>
            <w:tcW w:w="0" w:type="auto"/>
            <w:shd w:val="clear" w:color="auto" w:fill="auto"/>
          </w:tcPr>
          <w:p w14:paraId="201681F1"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 (6)</w:t>
            </w:r>
          </w:p>
        </w:tc>
        <w:tc>
          <w:tcPr>
            <w:tcW w:w="0" w:type="auto"/>
            <w:shd w:val="clear" w:color="auto" w:fill="auto"/>
          </w:tcPr>
          <w:p w14:paraId="1A83B0E0"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49254F4D"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w:t>
            </w:r>
            <w:r w:rsidRPr="005F2348">
              <w:rPr>
                <w:rFonts w:ascii="Times New Roman" w:hAnsi="Times New Roman" w:cs="Times New Roman"/>
                <w:sz w:val="24"/>
                <w:szCs w:val="24"/>
                <w:vertAlign w:val="superscript"/>
              </w:rPr>
              <w:t>#</w:t>
            </w:r>
            <w:r w:rsidRPr="005F2348">
              <w:rPr>
                <w:rFonts w:ascii="Times New Roman" w:hAnsi="Times New Roman" w:cs="Times New Roman"/>
                <w:sz w:val="24"/>
                <w:szCs w:val="24"/>
              </w:rPr>
              <w:t xml:space="preserve"> (6)</w:t>
            </w:r>
          </w:p>
        </w:tc>
      </w:tr>
      <w:tr w:rsidR="004A0C8C" w:rsidRPr="005F2348" w14:paraId="30368B5A"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BCE0170" w14:textId="77777777" w:rsidR="004A0C8C" w:rsidRPr="005F2348" w:rsidRDefault="004A0C8C" w:rsidP="005F2348">
            <w:pPr>
              <w:rPr>
                <w:rFonts w:ascii="Times New Roman" w:hAnsi="Times New Roman" w:cs="Times New Roman"/>
                <w:sz w:val="24"/>
                <w:szCs w:val="24"/>
              </w:rPr>
            </w:pPr>
            <w:r w:rsidRPr="005F2348">
              <w:rPr>
                <w:rFonts w:ascii="Times New Roman" w:hAnsi="Times New Roman" w:cs="Times New Roman"/>
                <w:sz w:val="24"/>
                <w:szCs w:val="24"/>
              </w:rPr>
              <w:t>Gastrointestinal</w:t>
            </w:r>
          </w:p>
        </w:tc>
        <w:tc>
          <w:tcPr>
            <w:tcW w:w="0" w:type="auto"/>
            <w:shd w:val="clear" w:color="auto" w:fill="auto"/>
            <w:vAlign w:val="center"/>
          </w:tcPr>
          <w:p w14:paraId="291A2B70"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6C012401"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02CF1CA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5E8BB1F2"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510A048F"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8CBE88"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Nausea</w:t>
            </w:r>
          </w:p>
        </w:tc>
        <w:tc>
          <w:tcPr>
            <w:tcW w:w="0" w:type="auto"/>
            <w:shd w:val="clear" w:color="auto" w:fill="auto"/>
            <w:vAlign w:val="center"/>
          </w:tcPr>
          <w:p w14:paraId="2D764225"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11 (65)</w:t>
            </w:r>
          </w:p>
        </w:tc>
        <w:tc>
          <w:tcPr>
            <w:tcW w:w="0" w:type="auto"/>
            <w:shd w:val="clear" w:color="auto" w:fill="auto"/>
          </w:tcPr>
          <w:p w14:paraId="2CD45E0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6A274106"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c>
          <w:tcPr>
            <w:tcW w:w="0" w:type="auto"/>
            <w:shd w:val="clear" w:color="auto" w:fill="auto"/>
          </w:tcPr>
          <w:p w14:paraId="7EF67C43"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r>
      <w:tr w:rsidR="004A0C8C" w:rsidRPr="005F2348" w14:paraId="274949A9"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85DC349"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Vomiting</w:t>
            </w:r>
            <w:proofErr w:type="spellEnd"/>
          </w:p>
        </w:tc>
        <w:tc>
          <w:tcPr>
            <w:tcW w:w="0" w:type="auto"/>
            <w:shd w:val="clear" w:color="auto" w:fill="auto"/>
            <w:vAlign w:val="center"/>
          </w:tcPr>
          <w:p w14:paraId="10197920"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2 (12)</w:t>
            </w:r>
          </w:p>
        </w:tc>
        <w:tc>
          <w:tcPr>
            <w:tcW w:w="0" w:type="auto"/>
            <w:shd w:val="clear" w:color="auto" w:fill="auto"/>
          </w:tcPr>
          <w:p w14:paraId="3C487D8B"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44050AD2"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107D0584"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233B1946"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19B8E6B"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Obstipation</w:t>
            </w:r>
          </w:p>
        </w:tc>
        <w:tc>
          <w:tcPr>
            <w:tcW w:w="0" w:type="auto"/>
            <w:shd w:val="clear" w:color="auto" w:fill="auto"/>
            <w:vAlign w:val="center"/>
          </w:tcPr>
          <w:p w14:paraId="07B3774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12 (71)</w:t>
            </w:r>
          </w:p>
        </w:tc>
        <w:tc>
          <w:tcPr>
            <w:tcW w:w="0" w:type="auto"/>
            <w:shd w:val="clear" w:color="auto" w:fill="auto"/>
          </w:tcPr>
          <w:p w14:paraId="0AF41240"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506CD5D9"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7A54D34D"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3E14F45E"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456647" w14:textId="77777777" w:rsidR="004A0C8C" w:rsidRPr="005F2348" w:rsidRDefault="004A0C8C" w:rsidP="005F2348">
            <w:pPr>
              <w:rPr>
                <w:rFonts w:ascii="Times New Roman" w:hAnsi="Times New Roman" w:cs="Times New Roman"/>
                <w:b w:val="0"/>
                <w:sz w:val="24"/>
                <w:szCs w:val="24"/>
              </w:rPr>
            </w:pPr>
            <w:proofErr w:type="spellStart"/>
            <w:r w:rsidRPr="005F2348">
              <w:rPr>
                <w:rFonts w:ascii="Times New Roman" w:hAnsi="Times New Roman" w:cs="Times New Roman"/>
                <w:sz w:val="24"/>
                <w:szCs w:val="24"/>
              </w:rPr>
              <w:t>Genitourinary</w:t>
            </w:r>
            <w:proofErr w:type="spellEnd"/>
          </w:p>
        </w:tc>
        <w:tc>
          <w:tcPr>
            <w:tcW w:w="0" w:type="auto"/>
            <w:shd w:val="clear" w:color="auto" w:fill="auto"/>
            <w:vAlign w:val="center"/>
          </w:tcPr>
          <w:p w14:paraId="5A716F1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4CBF68C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662430B9"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156E288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1B84DEF2"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4EF9EA1"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Creatinine</w:t>
            </w:r>
            <w:proofErr w:type="spellEnd"/>
          </w:p>
        </w:tc>
        <w:tc>
          <w:tcPr>
            <w:tcW w:w="0" w:type="auto"/>
            <w:shd w:val="clear" w:color="auto" w:fill="auto"/>
            <w:vAlign w:val="center"/>
          </w:tcPr>
          <w:p w14:paraId="37A55038"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8 (47)</w:t>
            </w:r>
          </w:p>
        </w:tc>
        <w:tc>
          <w:tcPr>
            <w:tcW w:w="0" w:type="auto"/>
            <w:shd w:val="clear" w:color="auto" w:fill="auto"/>
          </w:tcPr>
          <w:p w14:paraId="5C0343FE"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04544457"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2FCE61A6"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r>
      <w:tr w:rsidR="004A0C8C" w:rsidRPr="005F2348" w14:paraId="7BA7C8F7"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369A1E2" w14:textId="77777777" w:rsidR="004A0C8C" w:rsidRPr="005F2348" w:rsidRDefault="004A0C8C" w:rsidP="005F2348">
            <w:pPr>
              <w:rPr>
                <w:rFonts w:ascii="Times New Roman" w:hAnsi="Times New Roman" w:cs="Times New Roman"/>
                <w:sz w:val="24"/>
                <w:szCs w:val="24"/>
              </w:rPr>
            </w:pPr>
            <w:proofErr w:type="spellStart"/>
            <w:r w:rsidRPr="005F2348">
              <w:rPr>
                <w:rFonts w:ascii="Times New Roman" w:hAnsi="Times New Roman" w:cs="Times New Roman"/>
                <w:sz w:val="24"/>
                <w:szCs w:val="24"/>
              </w:rPr>
              <w:t>Cardiac</w:t>
            </w:r>
            <w:proofErr w:type="spellEnd"/>
          </w:p>
        </w:tc>
        <w:tc>
          <w:tcPr>
            <w:tcW w:w="0" w:type="auto"/>
            <w:shd w:val="clear" w:color="auto" w:fill="auto"/>
            <w:vAlign w:val="center"/>
          </w:tcPr>
          <w:p w14:paraId="16744F3E"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0710C5D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29823AB9"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0413837B"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5FF9F569"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ED5B047"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Arrythmia</w:t>
            </w:r>
            <w:proofErr w:type="spellEnd"/>
          </w:p>
        </w:tc>
        <w:tc>
          <w:tcPr>
            <w:tcW w:w="0" w:type="auto"/>
            <w:shd w:val="clear" w:color="auto" w:fill="auto"/>
            <w:vAlign w:val="center"/>
          </w:tcPr>
          <w:p w14:paraId="16D87A13"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09CFDC2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063CC4CB"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64565B50"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20D64B85"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48A5D3"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Ischemia</w:t>
            </w:r>
            <w:proofErr w:type="spellEnd"/>
          </w:p>
        </w:tc>
        <w:tc>
          <w:tcPr>
            <w:tcW w:w="0" w:type="auto"/>
            <w:shd w:val="clear" w:color="auto" w:fill="auto"/>
            <w:vAlign w:val="center"/>
          </w:tcPr>
          <w:p w14:paraId="650E399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6DC50B1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B4716A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13D89A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6F73586F"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81BF938"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Hypertension</w:t>
            </w:r>
          </w:p>
        </w:tc>
        <w:tc>
          <w:tcPr>
            <w:tcW w:w="0" w:type="auto"/>
            <w:shd w:val="clear" w:color="auto" w:fill="auto"/>
            <w:vAlign w:val="center"/>
          </w:tcPr>
          <w:p w14:paraId="4434B34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8 (47)</w:t>
            </w:r>
          </w:p>
        </w:tc>
        <w:tc>
          <w:tcPr>
            <w:tcW w:w="0" w:type="auto"/>
            <w:shd w:val="clear" w:color="auto" w:fill="auto"/>
          </w:tcPr>
          <w:p w14:paraId="34CDC39E"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6 (35)</w:t>
            </w:r>
          </w:p>
        </w:tc>
        <w:tc>
          <w:tcPr>
            <w:tcW w:w="0" w:type="auto"/>
            <w:shd w:val="clear" w:color="auto" w:fill="auto"/>
          </w:tcPr>
          <w:p w14:paraId="54D659A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E3AC3B9"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0712967E"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149E6C" w14:textId="77777777" w:rsidR="004A0C8C" w:rsidRPr="005F2348" w:rsidRDefault="004A0C8C" w:rsidP="005F2348">
            <w:pPr>
              <w:rPr>
                <w:rFonts w:ascii="Times New Roman" w:hAnsi="Times New Roman" w:cs="Times New Roman"/>
                <w:sz w:val="24"/>
                <w:szCs w:val="24"/>
              </w:rPr>
            </w:pPr>
            <w:r w:rsidRPr="005F2348">
              <w:rPr>
                <w:rFonts w:ascii="Times New Roman" w:hAnsi="Times New Roman" w:cs="Times New Roman"/>
                <w:sz w:val="24"/>
                <w:szCs w:val="24"/>
              </w:rPr>
              <w:t>Other</w:t>
            </w:r>
          </w:p>
        </w:tc>
        <w:tc>
          <w:tcPr>
            <w:tcW w:w="0" w:type="auto"/>
            <w:shd w:val="clear" w:color="auto" w:fill="auto"/>
            <w:vAlign w:val="center"/>
          </w:tcPr>
          <w:p w14:paraId="2D0E7811"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1F20EE0F"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4D596CAC"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14:paraId="7AAAD74D"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42567EAE"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F241A71"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Pain</w:t>
            </w:r>
          </w:p>
        </w:tc>
        <w:tc>
          <w:tcPr>
            <w:tcW w:w="0" w:type="auto"/>
            <w:shd w:val="clear" w:color="auto" w:fill="auto"/>
            <w:vAlign w:val="center"/>
          </w:tcPr>
          <w:p w14:paraId="57174381"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11 (65)</w:t>
            </w:r>
          </w:p>
        </w:tc>
        <w:tc>
          <w:tcPr>
            <w:tcW w:w="0" w:type="auto"/>
            <w:shd w:val="clear" w:color="auto" w:fill="auto"/>
          </w:tcPr>
          <w:p w14:paraId="32859FC7"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4 (24)</w:t>
            </w:r>
          </w:p>
        </w:tc>
        <w:tc>
          <w:tcPr>
            <w:tcW w:w="0" w:type="auto"/>
            <w:shd w:val="clear" w:color="auto" w:fill="auto"/>
          </w:tcPr>
          <w:p w14:paraId="4B4F6F0F"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c>
          <w:tcPr>
            <w:tcW w:w="0" w:type="auto"/>
            <w:shd w:val="clear" w:color="auto" w:fill="auto"/>
          </w:tcPr>
          <w:p w14:paraId="41645D27"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r>
      <w:tr w:rsidR="004A0C8C" w:rsidRPr="005F2348" w14:paraId="79397302"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B46A711"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Dysphagia</w:t>
            </w:r>
            <w:proofErr w:type="spellEnd"/>
          </w:p>
        </w:tc>
        <w:tc>
          <w:tcPr>
            <w:tcW w:w="0" w:type="auto"/>
            <w:shd w:val="clear" w:color="auto" w:fill="auto"/>
            <w:vAlign w:val="center"/>
          </w:tcPr>
          <w:p w14:paraId="3083E017"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11 (65)</w:t>
            </w:r>
          </w:p>
        </w:tc>
        <w:tc>
          <w:tcPr>
            <w:tcW w:w="0" w:type="auto"/>
            <w:shd w:val="clear" w:color="auto" w:fill="auto"/>
          </w:tcPr>
          <w:p w14:paraId="4E388C9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4 (24)</w:t>
            </w:r>
          </w:p>
        </w:tc>
        <w:tc>
          <w:tcPr>
            <w:tcW w:w="0" w:type="auto"/>
            <w:shd w:val="clear" w:color="auto" w:fill="auto"/>
          </w:tcPr>
          <w:p w14:paraId="6A75C269"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42B01C46"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1DFBDFD7"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BFDFBCE" w14:textId="77777777" w:rsidR="004A0C8C" w:rsidRPr="005F2348" w:rsidRDefault="004A0C8C" w:rsidP="005F2348">
            <w:pPr>
              <w:ind w:left="170"/>
              <w:rPr>
                <w:rFonts w:ascii="Times New Roman" w:hAnsi="Times New Roman" w:cs="Times New Roman"/>
                <w:sz w:val="24"/>
                <w:szCs w:val="24"/>
              </w:rPr>
            </w:pPr>
            <w:proofErr w:type="spellStart"/>
            <w:r w:rsidRPr="005F2348">
              <w:rPr>
                <w:rFonts w:ascii="Times New Roman" w:hAnsi="Times New Roman" w:cs="Times New Roman"/>
                <w:b w:val="0"/>
                <w:sz w:val="24"/>
                <w:szCs w:val="24"/>
              </w:rPr>
              <w:t>Mucositis</w:t>
            </w:r>
            <w:proofErr w:type="spellEnd"/>
            <w:r w:rsidRPr="005F2348">
              <w:rPr>
                <w:rFonts w:ascii="Times New Roman" w:hAnsi="Times New Roman" w:cs="Times New Roman"/>
                <w:b w:val="0"/>
                <w:sz w:val="24"/>
                <w:szCs w:val="24"/>
              </w:rPr>
              <w:t xml:space="preserve"> oral</w:t>
            </w:r>
          </w:p>
        </w:tc>
        <w:tc>
          <w:tcPr>
            <w:tcW w:w="0" w:type="auto"/>
            <w:shd w:val="clear" w:color="auto" w:fill="auto"/>
            <w:vAlign w:val="center"/>
          </w:tcPr>
          <w:p w14:paraId="49B1CCD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10 (59)</w:t>
            </w:r>
          </w:p>
        </w:tc>
        <w:tc>
          <w:tcPr>
            <w:tcW w:w="0" w:type="auto"/>
            <w:shd w:val="clear" w:color="auto" w:fill="auto"/>
          </w:tcPr>
          <w:p w14:paraId="450C97D1"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7 (41)</w:t>
            </w:r>
          </w:p>
        </w:tc>
        <w:tc>
          <w:tcPr>
            <w:tcW w:w="0" w:type="auto"/>
            <w:shd w:val="clear" w:color="auto" w:fill="auto"/>
          </w:tcPr>
          <w:p w14:paraId="0F2917D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3684C164"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5D6E0F98"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2C6EBA8"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Radiation </w:t>
            </w:r>
            <w:proofErr w:type="spellStart"/>
            <w:r w:rsidRPr="005F2348">
              <w:rPr>
                <w:rFonts w:ascii="Times New Roman" w:hAnsi="Times New Roman" w:cs="Times New Roman"/>
                <w:b w:val="0"/>
                <w:sz w:val="24"/>
                <w:szCs w:val="24"/>
              </w:rPr>
              <w:t>dermatitis</w:t>
            </w:r>
            <w:proofErr w:type="spellEnd"/>
          </w:p>
        </w:tc>
        <w:tc>
          <w:tcPr>
            <w:tcW w:w="0" w:type="auto"/>
            <w:shd w:val="clear" w:color="auto" w:fill="auto"/>
            <w:vAlign w:val="center"/>
          </w:tcPr>
          <w:p w14:paraId="044B80D9"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15 (88)</w:t>
            </w:r>
          </w:p>
        </w:tc>
        <w:tc>
          <w:tcPr>
            <w:tcW w:w="0" w:type="auto"/>
            <w:shd w:val="clear" w:color="auto" w:fill="auto"/>
          </w:tcPr>
          <w:p w14:paraId="5F9ABF20"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2 (12)</w:t>
            </w:r>
          </w:p>
        </w:tc>
        <w:tc>
          <w:tcPr>
            <w:tcW w:w="0" w:type="auto"/>
            <w:shd w:val="clear" w:color="auto" w:fill="auto"/>
          </w:tcPr>
          <w:p w14:paraId="4EA3149A"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615A39F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r>
      <w:tr w:rsidR="004A0C8C" w:rsidRPr="005F2348" w14:paraId="36DFEAAA"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2591EC5"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Weight</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loss</w:t>
            </w:r>
            <w:proofErr w:type="spellEnd"/>
          </w:p>
        </w:tc>
        <w:tc>
          <w:tcPr>
            <w:tcW w:w="0" w:type="auto"/>
            <w:shd w:val="clear" w:color="auto" w:fill="auto"/>
            <w:vAlign w:val="center"/>
          </w:tcPr>
          <w:p w14:paraId="0FFE62A1"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7 (41)</w:t>
            </w:r>
          </w:p>
        </w:tc>
        <w:tc>
          <w:tcPr>
            <w:tcW w:w="0" w:type="auto"/>
            <w:shd w:val="clear" w:color="auto" w:fill="auto"/>
          </w:tcPr>
          <w:p w14:paraId="2D1A8604"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c>
          <w:tcPr>
            <w:tcW w:w="0" w:type="auto"/>
            <w:shd w:val="clear" w:color="auto" w:fill="auto"/>
          </w:tcPr>
          <w:p w14:paraId="6D9424E3"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c>
          <w:tcPr>
            <w:tcW w:w="0" w:type="auto"/>
            <w:shd w:val="clear" w:color="auto" w:fill="auto"/>
          </w:tcPr>
          <w:p w14:paraId="675805B5"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NA</w:t>
            </w:r>
          </w:p>
        </w:tc>
      </w:tr>
    </w:tbl>
    <w:p w14:paraId="213DDF6C" w14:textId="77777777" w:rsidR="004A0C8C" w:rsidRPr="005F2348" w:rsidRDefault="004A0C8C" w:rsidP="005F2348">
      <w:pPr>
        <w:spacing w:line="240" w:lineRule="auto"/>
        <w:jc w:val="center"/>
        <w:rPr>
          <w:rFonts w:ascii="Times New Roman" w:hAnsi="Times New Roman" w:cs="Times New Roman"/>
          <w:b/>
          <w:sz w:val="24"/>
          <w:szCs w:val="24"/>
          <w:lang w:val="en-US"/>
        </w:rPr>
      </w:pPr>
    </w:p>
    <w:p w14:paraId="5DB1075A" w14:textId="77777777" w:rsidR="004A0C8C" w:rsidRPr="005F2348" w:rsidRDefault="004A0C8C" w:rsidP="005F2348">
      <w:pPr>
        <w:spacing w:line="240" w:lineRule="auto"/>
        <w:jc w:val="both"/>
        <w:rPr>
          <w:rFonts w:ascii="Times New Roman" w:hAnsi="Times New Roman" w:cs="Times New Roman"/>
          <w:b/>
          <w:sz w:val="24"/>
          <w:szCs w:val="24"/>
          <w:lang w:val="en-US"/>
        </w:rPr>
      </w:pPr>
    </w:p>
    <w:p w14:paraId="6B73EEB8" w14:textId="4D6D51EC" w:rsidR="004A0C8C" w:rsidRPr="005F2348" w:rsidRDefault="004A0C8C" w:rsidP="005F2348">
      <w:pPr>
        <w:spacing w:line="240" w:lineRule="auto"/>
        <w:jc w:val="both"/>
        <w:rPr>
          <w:rFonts w:ascii="Times New Roman" w:hAnsi="Times New Roman" w:cs="Times New Roman"/>
          <w:sz w:val="24"/>
          <w:szCs w:val="24"/>
          <w:lang w:val="en-US"/>
        </w:rPr>
      </w:pPr>
      <w:r w:rsidRPr="005F2348">
        <w:rPr>
          <w:rFonts w:ascii="Times New Roman" w:hAnsi="Times New Roman" w:cs="Times New Roman"/>
          <w:b/>
          <w:sz w:val="24"/>
          <w:szCs w:val="24"/>
          <w:lang w:val="en-US"/>
        </w:rPr>
        <w:lastRenderedPageBreak/>
        <w:t xml:space="preserve">Supplementary table </w:t>
      </w:r>
      <w:r w:rsidR="00107F14">
        <w:rPr>
          <w:rFonts w:ascii="Times New Roman" w:hAnsi="Times New Roman" w:cs="Times New Roman"/>
          <w:b/>
          <w:sz w:val="24"/>
          <w:szCs w:val="24"/>
          <w:lang w:val="en-US"/>
        </w:rPr>
        <w:t>3</w:t>
      </w:r>
      <w:r w:rsidRPr="005F2348">
        <w:rPr>
          <w:rFonts w:ascii="Times New Roman" w:hAnsi="Times New Roman" w:cs="Times New Roman"/>
          <w:b/>
          <w:sz w:val="24"/>
          <w:szCs w:val="24"/>
          <w:lang w:val="en-US"/>
        </w:rPr>
        <w:t>:</w:t>
      </w:r>
      <w:r w:rsidRPr="005F2348">
        <w:rPr>
          <w:rFonts w:ascii="Times New Roman" w:hAnsi="Times New Roman" w:cs="Times New Roman"/>
          <w:sz w:val="24"/>
          <w:szCs w:val="24"/>
          <w:lang w:val="en-US"/>
        </w:rPr>
        <w:t xml:space="preserve"> </w:t>
      </w:r>
      <w:r w:rsidRPr="005F2348">
        <w:rPr>
          <w:rFonts w:ascii="Times New Roman" w:hAnsi="Times New Roman" w:cs="Times New Roman"/>
          <w:b/>
          <w:sz w:val="24"/>
          <w:szCs w:val="24"/>
          <w:lang w:val="en-US"/>
        </w:rPr>
        <w:t>Treatment Compliance with Neoadjuvant Chemoradiotherapy</w:t>
      </w:r>
      <w:r w:rsidR="005F2348" w:rsidRPr="005F2348">
        <w:rPr>
          <w:rFonts w:ascii="Times New Roman" w:hAnsi="Times New Roman" w:cs="Times New Roman"/>
          <w:b/>
          <w:sz w:val="24"/>
          <w:szCs w:val="24"/>
          <w:lang w:val="en-US"/>
        </w:rPr>
        <w:t xml:space="preserve">. </w:t>
      </w:r>
      <w:r w:rsidR="005F2348" w:rsidRPr="005F2348">
        <w:rPr>
          <w:rFonts w:ascii="Times New Roman" w:hAnsi="Times New Roman" w:cs="Times New Roman"/>
          <w:sz w:val="24"/>
          <w:szCs w:val="24"/>
          <w:lang w:val="en-US"/>
        </w:rPr>
        <w:t>Abbreviations: 5FU, 5-fluorouracil; RT, radiotherapy; PEG , Percutaneous endoscopic gastrostomy.</w:t>
      </w:r>
    </w:p>
    <w:tbl>
      <w:tblPr>
        <w:tblStyle w:val="LightShading"/>
        <w:tblW w:w="0" w:type="auto"/>
        <w:jc w:val="center"/>
        <w:tblLook w:val="04A0" w:firstRow="1" w:lastRow="0" w:firstColumn="1" w:lastColumn="0" w:noHBand="0" w:noVBand="1"/>
      </w:tblPr>
      <w:tblGrid>
        <w:gridCol w:w="5370"/>
        <w:gridCol w:w="1036"/>
      </w:tblGrid>
      <w:tr w:rsidR="004A0C8C" w:rsidRPr="005F2348" w14:paraId="0C0B8EB5" w14:textId="77777777" w:rsidTr="000A27A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4" w:space="0" w:color="000000" w:themeColor="text1"/>
            </w:tcBorders>
            <w:shd w:val="clear" w:color="auto" w:fill="auto"/>
            <w:vAlign w:val="center"/>
          </w:tcPr>
          <w:p w14:paraId="5999FFAE"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Compliance with neoadjuvant chemoradiotherapy</w:t>
            </w:r>
          </w:p>
        </w:tc>
        <w:tc>
          <w:tcPr>
            <w:tcW w:w="0" w:type="auto"/>
            <w:tcBorders>
              <w:top w:val="single" w:sz="8" w:space="0" w:color="auto"/>
              <w:bottom w:val="single" w:sz="4" w:space="0" w:color="000000" w:themeColor="text1"/>
            </w:tcBorders>
            <w:shd w:val="clear" w:color="auto" w:fill="auto"/>
            <w:vAlign w:val="center"/>
          </w:tcPr>
          <w:p w14:paraId="03F2935A" w14:textId="77777777" w:rsidR="004A0C8C" w:rsidRPr="005F2348" w:rsidRDefault="004A0C8C" w:rsidP="005F23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bCs w:val="0"/>
                <w:sz w:val="24"/>
                <w:szCs w:val="24"/>
                <w:lang w:val="en-US"/>
              </w:rPr>
              <w:t>n (%)</w:t>
            </w:r>
          </w:p>
        </w:tc>
      </w:tr>
      <w:tr w:rsidR="004A0C8C" w:rsidRPr="005F2348" w14:paraId="5516288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shd w:val="clear" w:color="auto" w:fill="auto"/>
            <w:vAlign w:val="center"/>
          </w:tcPr>
          <w:p w14:paraId="326E7345" w14:textId="77777777" w:rsidR="004A0C8C" w:rsidRPr="005F2348" w:rsidRDefault="004A0C8C" w:rsidP="005F2348">
            <w:pPr>
              <w:rPr>
                <w:rFonts w:ascii="Times New Roman" w:hAnsi="Times New Roman" w:cs="Times New Roman"/>
                <w:sz w:val="24"/>
                <w:szCs w:val="24"/>
                <w:lang w:val="en-US"/>
              </w:rPr>
            </w:pPr>
            <w:r w:rsidRPr="005F2348">
              <w:rPr>
                <w:rFonts w:ascii="Times New Roman" w:hAnsi="Times New Roman" w:cs="Times New Roman"/>
                <w:sz w:val="24"/>
                <w:szCs w:val="24"/>
                <w:lang w:val="en-US"/>
              </w:rPr>
              <w:t>Total</w:t>
            </w:r>
          </w:p>
        </w:tc>
        <w:tc>
          <w:tcPr>
            <w:tcW w:w="0" w:type="auto"/>
            <w:tcBorders>
              <w:top w:val="single" w:sz="4" w:space="0" w:color="000000" w:themeColor="text1"/>
            </w:tcBorders>
            <w:shd w:val="clear" w:color="auto" w:fill="auto"/>
            <w:vAlign w:val="center"/>
          </w:tcPr>
          <w:p w14:paraId="5248FCC6"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lang w:val="en-US"/>
              </w:rPr>
              <w:t xml:space="preserve">17 </w:t>
            </w:r>
            <w:r w:rsidRPr="005F2348">
              <w:rPr>
                <w:rFonts w:ascii="Times New Roman" w:hAnsi="Times New Roman" w:cs="Times New Roman"/>
                <w:b/>
                <w:sz w:val="24"/>
                <w:szCs w:val="24"/>
              </w:rPr>
              <w:t>(100)</w:t>
            </w:r>
          </w:p>
        </w:tc>
      </w:tr>
      <w:tr w:rsidR="004A0C8C" w:rsidRPr="005F2348" w14:paraId="097BBA18"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shd w:val="clear" w:color="auto" w:fill="auto"/>
            <w:vAlign w:val="center"/>
          </w:tcPr>
          <w:p w14:paraId="4E1E5CEC" w14:textId="77777777" w:rsidR="004A0C8C" w:rsidRPr="005F2348" w:rsidRDefault="004A0C8C" w:rsidP="005F2348">
            <w:pPr>
              <w:rPr>
                <w:rFonts w:ascii="Times New Roman" w:hAnsi="Times New Roman" w:cs="Times New Roman"/>
                <w:bCs w:val="0"/>
                <w:sz w:val="24"/>
                <w:szCs w:val="24"/>
                <w:lang w:val="en-US"/>
              </w:rPr>
            </w:pPr>
            <w:proofErr w:type="spellStart"/>
            <w:r w:rsidRPr="005F2348">
              <w:rPr>
                <w:rFonts w:ascii="Times New Roman" w:hAnsi="Times New Roman" w:cs="Times New Roman"/>
                <w:sz w:val="24"/>
                <w:szCs w:val="24"/>
              </w:rPr>
              <w:t>Radiotherapy</w:t>
            </w:r>
            <w:proofErr w:type="spellEnd"/>
          </w:p>
        </w:tc>
        <w:tc>
          <w:tcPr>
            <w:tcW w:w="0" w:type="auto"/>
            <w:tcBorders>
              <w:top w:val="single" w:sz="4" w:space="0" w:color="000000" w:themeColor="text1"/>
            </w:tcBorders>
            <w:shd w:val="clear" w:color="auto" w:fill="auto"/>
            <w:vAlign w:val="center"/>
          </w:tcPr>
          <w:p w14:paraId="7DDFB04F"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A0C8C" w:rsidRPr="005F2348" w14:paraId="49680370"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A9ED3B4"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Without</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radiotherapy</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interruptions</w:t>
            </w:r>
            <w:proofErr w:type="spellEnd"/>
          </w:p>
        </w:tc>
        <w:tc>
          <w:tcPr>
            <w:tcW w:w="0" w:type="auto"/>
            <w:shd w:val="clear" w:color="auto" w:fill="auto"/>
            <w:vAlign w:val="center"/>
          </w:tcPr>
          <w:p w14:paraId="6A2C87F0"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17 (100)</w:t>
            </w:r>
          </w:p>
        </w:tc>
      </w:tr>
      <w:tr w:rsidR="004A0C8C" w:rsidRPr="005F2348" w14:paraId="5DABCA64"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658C631"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With</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radiotherapy</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interruptions</w:t>
            </w:r>
            <w:proofErr w:type="spellEnd"/>
          </w:p>
        </w:tc>
        <w:tc>
          <w:tcPr>
            <w:tcW w:w="0" w:type="auto"/>
            <w:shd w:val="clear" w:color="auto" w:fill="auto"/>
            <w:vAlign w:val="center"/>
          </w:tcPr>
          <w:p w14:paraId="06B80BDD"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r w:rsidR="004A0C8C" w:rsidRPr="005F2348" w14:paraId="0203062D"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2804582" w14:textId="77777777" w:rsidR="004A0C8C" w:rsidRPr="005F2348" w:rsidRDefault="004A0C8C" w:rsidP="005F2348">
            <w:pPr>
              <w:rPr>
                <w:rFonts w:ascii="Times New Roman" w:hAnsi="Times New Roman" w:cs="Times New Roman"/>
                <w:sz w:val="24"/>
                <w:szCs w:val="24"/>
              </w:rPr>
            </w:pPr>
            <w:proofErr w:type="spellStart"/>
            <w:r w:rsidRPr="005F2348">
              <w:rPr>
                <w:rFonts w:ascii="Times New Roman" w:hAnsi="Times New Roman" w:cs="Times New Roman"/>
                <w:sz w:val="24"/>
                <w:szCs w:val="24"/>
              </w:rPr>
              <w:t>Prescribed</w:t>
            </w:r>
            <w:proofErr w:type="spellEnd"/>
            <w:r w:rsidRPr="005F2348">
              <w:rPr>
                <w:rFonts w:ascii="Times New Roman" w:hAnsi="Times New Roman" w:cs="Times New Roman"/>
                <w:sz w:val="24"/>
                <w:szCs w:val="24"/>
              </w:rPr>
              <w:t xml:space="preserve"> </w:t>
            </w:r>
            <w:proofErr w:type="spellStart"/>
            <w:r w:rsidRPr="005F2348">
              <w:rPr>
                <w:rFonts w:ascii="Times New Roman" w:hAnsi="Times New Roman" w:cs="Times New Roman"/>
                <w:sz w:val="24"/>
                <w:szCs w:val="24"/>
              </w:rPr>
              <w:t>chemotherapy</w:t>
            </w:r>
            <w:proofErr w:type="spellEnd"/>
          </w:p>
        </w:tc>
        <w:tc>
          <w:tcPr>
            <w:tcW w:w="0" w:type="auto"/>
            <w:shd w:val="clear" w:color="auto" w:fill="auto"/>
            <w:vAlign w:val="center"/>
          </w:tcPr>
          <w:p w14:paraId="2DF74446"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66A42529"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910B088"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Cisplatin/5FU</w:t>
            </w:r>
          </w:p>
        </w:tc>
        <w:tc>
          <w:tcPr>
            <w:tcW w:w="0" w:type="auto"/>
            <w:shd w:val="clear" w:color="auto" w:fill="auto"/>
            <w:vAlign w:val="center"/>
          </w:tcPr>
          <w:p w14:paraId="2051367D"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13 (76)</w:t>
            </w:r>
          </w:p>
        </w:tc>
      </w:tr>
      <w:tr w:rsidR="004A0C8C" w:rsidRPr="005F2348" w14:paraId="712155BA"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232883C"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Cisplatin </w:t>
            </w:r>
          </w:p>
        </w:tc>
        <w:tc>
          <w:tcPr>
            <w:tcW w:w="0" w:type="auto"/>
            <w:shd w:val="clear" w:color="auto" w:fill="auto"/>
            <w:vAlign w:val="center"/>
          </w:tcPr>
          <w:p w14:paraId="27A146AE"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3 (18)</w:t>
            </w:r>
          </w:p>
        </w:tc>
      </w:tr>
      <w:tr w:rsidR="004A0C8C" w:rsidRPr="005F2348" w14:paraId="5885CC54"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6E2BC94"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Carboplatin/5FU</w:t>
            </w:r>
          </w:p>
        </w:tc>
        <w:tc>
          <w:tcPr>
            <w:tcW w:w="0" w:type="auto"/>
            <w:shd w:val="clear" w:color="auto" w:fill="auto"/>
            <w:vAlign w:val="center"/>
          </w:tcPr>
          <w:p w14:paraId="636944EB"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 (6)</w:t>
            </w:r>
          </w:p>
        </w:tc>
      </w:tr>
      <w:tr w:rsidR="004A0C8C" w:rsidRPr="005F2348" w14:paraId="5FB008EB"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FC8E01" w14:textId="77777777" w:rsidR="004A0C8C" w:rsidRPr="005F2348" w:rsidRDefault="004A0C8C" w:rsidP="005F2348">
            <w:pPr>
              <w:rPr>
                <w:rFonts w:ascii="Times New Roman" w:hAnsi="Times New Roman" w:cs="Times New Roman"/>
                <w:sz w:val="24"/>
                <w:szCs w:val="24"/>
              </w:rPr>
            </w:pPr>
            <w:proofErr w:type="spellStart"/>
            <w:r w:rsidRPr="005F2348">
              <w:rPr>
                <w:rFonts w:ascii="Times New Roman" w:hAnsi="Times New Roman" w:cs="Times New Roman"/>
                <w:sz w:val="24"/>
                <w:szCs w:val="24"/>
              </w:rPr>
              <w:t>Chemotherapy</w:t>
            </w:r>
            <w:proofErr w:type="spellEnd"/>
            <w:r w:rsidRPr="005F2348">
              <w:rPr>
                <w:rFonts w:ascii="Times New Roman" w:hAnsi="Times New Roman" w:cs="Times New Roman"/>
                <w:sz w:val="24"/>
                <w:szCs w:val="24"/>
              </w:rPr>
              <w:t xml:space="preserve"> </w:t>
            </w:r>
            <w:proofErr w:type="spellStart"/>
            <w:r w:rsidRPr="005F2348">
              <w:rPr>
                <w:rFonts w:ascii="Times New Roman" w:hAnsi="Times New Roman" w:cs="Times New Roman"/>
                <w:sz w:val="24"/>
                <w:szCs w:val="24"/>
              </w:rPr>
              <w:t>completion</w:t>
            </w:r>
            <w:proofErr w:type="spellEnd"/>
          </w:p>
        </w:tc>
        <w:tc>
          <w:tcPr>
            <w:tcW w:w="0" w:type="auto"/>
            <w:shd w:val="clear" w:color="auto" w:fill="auto"/>
            <w:vAlign w:val="center"/>
          </w:tcPr>
          <w:p w14:paraId="36E08DE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0C8C" w:rsidRPr="005F2348" w14:paraId="2AE07945"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F52F5D6"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100% </w:t>
            </w:r>
            <w:proofErr w:type="spellStart"/>
            <w:r w:rsidRPr="005F2348">
              <w:rPr>
                <w:rFonts w:ascii="Times New Roman" w:hAnsi="Times New Roman" w:cs="Times New Roman"/>
                <w:b w:val="0"/>
                <w:sz w:val="24"/>
                <w:szCs w:val="24"/>
              </w:rPr>
              <w:t>of</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planned</w:t>
            </w:r>
            <w:proofErr w:type="spellEnd"/>
            <w:r w:rsidRPr="005F2348">
              <w:rPr>
                <w:rFonts w:ascii="Times New Roman" w:hAnsi="Times New Roman" w:cs="Times New Roman"/>
                <w:b w:val="0"/>
                <w:sz w:val="24"/>
                <w:szCs w:val="24"/>
              </w:rPr>
              <w:t xml:space="preserve"> dose</w:t>
            </w:r>
          </w:p>
        </w:tc>
        <w:tc>
          <w:tcPr>
            <w:tcW w:w="0" w:type="auto"/>
            <w:shd w:val="clear" w:color="auto" w:fill="auto"/>
            <w:vAlign w:val="center"/>
          </w:tcPr>
          <w:p w14:paraId="2CAE041C"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13 (76)</w:t>
            </w:r>
          </w:p>
        </w:tc>
      </w:tr>
      <w:tr w:rsidR="004A0C8C" w:rsidRPr="005F2348" w14:paraId="0E36E16A"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0991068"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&gt;50% </w:t>
            </w:r>
            <w:proofErr w:type="spellStart"/>
            <w:r w:rsidRPr="005F2348">
              <w:rPr>
                <w:rFonts w:ascii="Times New Roman" w:hAnsi="Times New Roman" w:cs="Times New Roman"/>
                <w:b w:val="0"/>
                <w:sz w:val="24"/>
                <w:szCs w:val="24"/>
              </w:rPr>
              <w:t>of</w:t>
            </w:r>
            <w:proofErr w:type="spellEnd"/>
            <w:r w:rsidRPr="005F2348">
              <w:rPr>
                <w:rFonts w:ascii="Times New Roman" w:hAnsi="Times New Roman" w:cs="Times New Roman"/>
                <w:b w:val="0"/>
                <w:sz w:val="24"/>
                <w:szCs w:val="24"/>
              </w:rPr>
              <w:t xml:space="preserve"> </w:t>
            </w:r>
            <w:proofErr w:type="spellStart"/>
            <w:r w:rsidRPr="005F2348">
              <w:rPr>
                <w:rFonts w:ascii="Times New Roman" w:hAnsi="Times New Roman" w:cs="Times New Roman"/>
                <w:b w:val="0"/>
                <w:sz w:val="24"/>
                <w:szCs w:val="24"/>
              </w:rPr>
              <w:t>planned</w:t>
            </w:r>
            <w:proofErr w:type="spellEnd"/>
            <w:r w:rsidRPr="005F2348">
              <w:rPr>
                <w:rFonts w:ascii="Times New Roman" w:hAnsi="Times New Roman" w:cs="Times New Roman"/>
                <w:b w:val="0"/>
                <w:sz w:val="24"/>
                <w:szCs w:val="24"/>
              </w:rPr>
              <w:t xml:space="preserve"> dose</w:t>
            </w:r>
          </w:p>
        </w:tc>
        <w:tc>
          <w:tcPr>
            <w:tcW w:w="0" w:type="auto"/>
            <w:shd w:val="clear" w:color="auto" w:fill="auto"/>
            <w:vAlign w:val="center"/>
          </w:tcPr>
          <w:p w14:paraId="0B170C1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4 (24)</w:t>
            </w:r>
          </w:p>
        </w:tc>
      </w:tr>
      <w:tr w:rsidR="004A0C8C" w:rsidRPr="005F2348" w14:paraId="033DE8D2"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A725A70" w14:textId="77777777" w:rsidR="004A0C8C" w:rsidRPr="005F2348" w:rsidRDefault="004A0C8C" w:rsidP="005F2348">
            <w:pPr>
              <w:rPr>
                <w:rFonts w:ascii="Times New Roman" w:hAnsi="Times New Roman" w:cs="Times New Roman"/>
                <w:sz w:val="24"/>
                <w:szCs w:val="24"/>
              </w:rPr>
            </w:pPr>
            <w:proofErr w:type="spellStart"/>
            <w:r w:rsidRPr="005F2348">
              <w:rPr>
                <w:rFonts w:ascii="Times New Roman" w:hAnsi="Times New Roman" w:cs="Times New Roman"/>
                <w:sz w:val="24"/>
                <w:szCs w:val="24"/>
              </w:rPr>
              <w:t>Prophylactic</w:t>
            </w:r>
            <w:proofErr w:type="spellEnd"/>
            <w:r w:rsidRPr="005F2348">
              <w:rPr>
                <w:rFonts w:ascii="Times New Roman" w:hAnsi="Times New Roman" w:cs="Times New Roman"/>
                <w:sz w:val="24"/>
                <w:szCs w:val="24"/>
              </w:rPr>
              <w:t xml:space="preserve"> PEG </w:t>
            </w:r>
            <w:proofErr w:type="spellStart"/>
            <w:r w:rsidRPr="005F2348">
              <w:rPr>
                <w:rFonts w:ascii="Times New Roman" w:hAnsi="Times New Roman" w:cs="Times New Roman"/>
                <w:sz w:val="24"/>
                <w:szCs w:val="24"/>
              </w:rPr>
              <w:t>feeding</w:t>
            </w:r>
            <w:proofErr w:type="spellEnd"/>
            <w:r w:rsidRPr="005F2348">
              <w:rPr>
                <w:rFonts w:ascii="Times New Roman" w:hAnsi="Times New Roman" w:cs="Times New Roman"/>
                <w:sz w:val="24"/>
                <w:szCs w:val="24"/>
              </w:rPr>
              <w:t xml:space="preserve"> </w:t>
            </w:r>
            <w:proofErr w:type="spellStart"/>
            <w:r w:rsidRPr="005F2348">
              <w:rPr>
                <w:rFonts w:ascii="Times New Roman" w:hAnsi="Times New Roman" w:cs="Times New Roman"/>
                <w:sz w:val="24"/>
                <w:szCs w:val="24"/>
              </w:rPr>
              <w:t>tube</w:t>
            </w:r>
            <w:proofErr w:type="spellEnd"/>
          </w:p>
        </w:tc>
        <w:tc>
          <w:tcPr>
            <w:tcW w:w="0" w:type="auto"/>
            <w:shd w:val="clear" w:color="auto" w:fill="auto"/>
            <w:vAlign w:val="center"/>
          </w:tcPr>
          <w:p w14:paraId="4004625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A0C8C" w:rsidRPr="005F2348" w14:paraId="2384C879"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91976C2" w14:textId="77777777" w:rsidR="004A0C8C" w:rsidRPr="005F2348" w:rsidRDefault="004A0C8C" w:rsidP="005F2348">
            <w:pPr>
              <w:ind w:left="170"/>
              <w:rPr>
                <w:rFonts w:ascii="Times New Roman" w:hAnsi="Times New Roman" w:cs="Times New Roman"/>
                <w:b w:val="0"/>
                <w:sz w:val="24"/>
                <w:szCs w:val="24"/>
              </w:rPr>
            </w:pPr>
            <w:r w:rsidRPr="005F2348">
              <w:rPr>
                <w:rFonts w:ascii="Times New Roman" w:hAnsi="Times New Roman" w:cs="Times New Roman"/>
                <w:b w:val="0"/>
                <w:sz w:val="24"/>
                <w:szCs w:val="24"/>
              </w:rPr>
              <w:t>Yes</w:t>
            </w:r>
          </w:p>
        </w:tc>
        <w:tc>
          <w:tcPr>
            <w:tcW w:w="0" w:type="auto"/>
            <w:shd w:val="clear" w:color="auto" w:fill="auto"/>
            <w:vAlign w:val="center"/>
          </w:tcPr>
          <w:p w14:paraId="60EDF2B4"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17 (100)</w:t>
            </w:r>
          </w:p>
        </w:tc>
      </w:tr>
      <w:tr w:rsidR="004A0C8C" w:rsidRPr="005F2348" w14:paraId="65F3042A"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80B7EB5" w14:textId="77777777" w:rsidR="004A0C8C" w:rsidRPr="005F2348" w:rsidRDefault="004A0C8C" w:rsidP="005F2348">
            <w:pPr>
              <w:ind w:left="170"/>
              <w:rPr>
                <w:rFonts w:ascii="Times New Roman" w:hAnsi="Times New Roman" w:cs="Times New Roman"/>
                <w:b w:val="0"/>
                <w:sz w:val="24"/>
                <w:szCs w:val="24"/>
              </w:rPr>
            </w:pPr>
            <w:proofErr w:type="spellStart"/>
            <w:r w:rsidRPr="005F2348">
              <w:rPr>
                <w:rFonts w:ascii="Times New Roman" w:hAnsi="Times New Roman" w:cs="Times New Roman"/>
                <w:b w:val="0"/>
                <w:sz w:val="24"/>
                <w:szCs w:val="24"/>
              </w:rPr>
              <w:t>No</w:t>
            </w:r>
            <w:proofErr w:type="spellEnd"/>
          </w:p>
        </w:tc>
        <w:tc>
          <w:tcPr>
            <w:tcW w:w="0" w:type="auto"/>
            <w:shd w:val="clear" w:color="auto" w:fill="auto"/>
            <w:vAlign w:val="center"/>
          </w:tcPr>
          <w:p w14:paraId="2C08BACD"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 (0)</w:t>
            </w:r>
          </w:p>
        </w:tc>
      </w:tr>
    </w:tbl>
    <w:p w14:paraId="4E145AAB" w14:textId="6B30AB39" w:rsidR="004A0C8C" w:rsidRPr="005F2348" w:rsidRDefault="004A0C8C" w:rsidP="005F2348">
      <w:pPr>
        <w:spacing w:line="240" w:lineRule="auto"/>
        <w:rPr>
          <w:rFonts w:ascii="Times New Roman" w:hAnsi="Times New Roman" w:cs="Times New Roman"/>
          <w:b/>
          <w:sz w:val="24"/>
          <w:szCs w:val="24"/>
          <w:lang w:val="en-US"/>
        </w:rPr>
      </w:pPr>
    </w:p>
    <w:p w14:paraId="4525AC4F" w14:textId="77777777" w:rsidR="0003114B" w:rsidRPr="005F2348" w:rsidRDefault="0003114B" w:rsidP="005F2348">
      <w:pPr>
        <w:spacing w:line="240" w:lineRule="auto"/>
        <w:jc w:val="both"/>
        <w:rPr>
          <w:rFonts w:ascii="Times New Roman" w:hAnsi="Times New Roman" w:cs="Times New Roman"/>
          <w:b/>
          <w:sz w:val="24"/>
          <w:szCs w:val="24"/>
          <w:lang w:val="en-US"/>
        </w:rPr>
      </w:pPr>
    </w:p>
    <w:p w14:paraId="7DE73DF0" w14:textId="75ECB7E7" w:rsidR="004A0C8C" w:rsidRPr="005F2348" w:rsidRDefault="007A5A2F" w:rsidP="005F2348">
      <w:pPr>
        <w:spacing w:line="240" w:lineRule="auto"/>
        <w:jc w:val="both"/>
        <w:rPr>
          <w:rFonts w:ascii="Times New Roman" w:hAnsi="Times New Roman" w:cs="Times New Roman"/>
          <w:sz w:val="24"/>
          <w:szCs w:val="24"/>
          <w:lang w:val="en-US"/>
        </w:rPr>
      </w:pPr>
      <w:r w:rsidRPr="005F2348">
        <w:rPr>
          <w:rFonts w:ascii="Times New Roman" w:hAnsi="Times New Roman" w:cs="Times New Roman"/>
          <w:b/>
          <w:sz w:val="24"/>
          <w:szCs w:val="24"/>
          <w:lang w:val="en-US"/>
        </w:rPr>
        <w:t xml:space="preserve">Supplementary table </w:t>
      </w:r>
      <w:r w:rsidR="00107F14">
        <w:rPr>
          <w:rFonts w:ascii="Times New Roman" w:hAnsi="Times New Roman" w:cs="Times New Roman"/>
          <w:b/>
          <w:sz w:val="24"/>
          <w:szCs w:val="24"/>
          <w:lang w:val="en-US"/>
        </w:rPr>
        <w:t>4</w:t>
      </w:r>
      <w:r w:rsidR="004A0C8C" w:rsidRPr="005F2348">
        <w:rPr>
          <w:rFonts w:ascii="Times New Roman" w:hAnsi="Times New Roman" w:cs="Times New Roman"/>
          <w:b/>
          <w:sz w:val="24"/>
          <w:szCs w:val="24"/>
          <w:lang w:val="en-US"/>
        </w:rPr>
        <w:t>: Changes in MRI Signal Intensities in Patients Receiving Neoadjuvant Chemoradiotherapy</w:t>
      </w:r>
      <w:r w:rsidR="005F2348">
        <w:rPr>
          <w:rFonts w:ascii="Times New Roman" w:hAnsi="Times New Roman" w:cs="Times New Roman"/>
          <w:b/>
          <w:sz w:val="24"/>
          <w:szCs w:val="24"/>
          <w:lang w:val="en-US"/>
        </w:rPr>
        <w:t xml:space="preserve">. </w:t>
      </w:r>
      <w:r w:rsidR="005F2348" w:rsidRPr="005F2348">
        <w:rPr>
          <w:rFonts w:ascii="Times New Roman" w:hAnsi="Times New Roman" w:cs="Times New Roman"/>
          <w:sz w:val="24"/>
          <w:szCs w:val="24"/>
          <w:lang w:val="en-US"/>
        </w:rPr>
        <w:t>Abbreviations: MRI, Magnetic resonance imaging; ADC, Apparent diffusion coefficient; p-values according to Wilcoxon test</w:t>
      </w:r>
      <w:r w:rsidR="005F2348" w:rsidRPr="005F2348">
        <w:rPr>
          <w:rFonts w:ascii="Times New Roman" w:hAnsi="Times New Roman" w:cs="Times New Roman"/>
          <w:color w:val="000000" w:themeColor="text1"/>
          <w:sz w:val="24"/>
          <w:szCs w:val="24"/>
          <w:lang w:val="en-GB"/>
        </w:rPr>
        <w:t>.</w:t>
      </w:r>
    </w:p>
    <w:tbl>
      <w:tblPr>
        <w:tblStyle w:val="LightShading"/>
        <w:tblW w:w="0" w:type="auto"/>
        <w:jc w:val="center"/>
        <w:tblLook w:val="04A0" w:firstRow="1" w:lastRow="0" w:firstColumn="1" w:lastColumn="0" w:noHBand="0" w:noVBand="1"/>
      </w:tblPr>
      <w:tblGrid>
        <w:gridCol w:w="2690"/>
        <w:gridCol w:w="1956"/>
        <w:gridCol w:w="1956"/>
        <w:gridCol w:w="1956"/>
      </w:tblGrid>
      <w:tr w:rsidR="004A0C8C" w:rsidRPr="005F2348" w14:paraId="415C37CF" w14:textId="77777777" w:rsidTr="000A27A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2B402F01" w14:textId="77777777" w:rsidR="004A0C8C" w:rsidRPr="005F2348" w:rsidRDefault="004A0C8C" w:rsidP="005F2348">
            <w:pPr>
              <w:autoSpaceDE w:val="0"/>
              <w:autoSpaceDN w:val="0"/>
              <w:adjustRightInd w:val="0"/>
              <w:snapToGrid w:val="0"/>
              <w:rPr>
                <w:rFonts w:ascii="Times New Roman" w:hAnsi="Times New Roman" w:cs="Times New Roman"/>
                <w:sz w:val="24"/>
                <w:szCs w:val="24"/>
              </w:rPr>
            </w:pPr>
            <w:r w:rsidRPr="005F2348">
              <w:rPr>
                <w:rFonts w:ascii="Times New Roman" w:hAnsi="Times New Roman" w:cs="Times New Roman"/>
                <w:sz w:val="24"/>
                <w:szCs w:val="24"/>
              </w:rPr>
              <w:t xml:space="preserve">MRI </w:t>
            </w:r>
            <w:proofErr w:type="spellStart"/>
            <w:r w:rsidRPr="005F2348">
              <w:rPr>
                <w:rFonts w:ascii="Times New Roman" w:hAnsi="Times New Roman" w:cs="Times New Roman"/>
                <w:sz w:val="24"/>
                <w:szCs w:val="24"/>
              </w:rPr>
              <w:t>series</w:t>
            </w:r>
            <w:proofErr w:type="spellEnd"/>
          </w:p>
        </w:tc>
        <w:tc>
          <w:tcPr>
            <w:tcW w:w="0" w:type="auto"/>
            <w:gridSpan w:val="3"/>
            <w:tcBorders>
              <w:top w:val="single" w:sz="4" w:space="0" w:color="auto"/>
              <w:bottom w:val="nil"/>
            </w:tcBorders>
            <w:shd w:val="clear" w:color="auto" w:fill="auto"/>
            <w:vAlign w:val="center"/>
          </w:tcPr>
          <w:p w14:paraId="5857F4EE" w14:textId="77777777" w:rsidR="004A0C8C" w:rsidRPr="005F2348" w:rsidRDefault="004A0C8C" w:rsidP="005F2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p-</w:t>
            </w:r>
            <w:proofErr w:type="spellStart"/>
            <w:r w:rsidRPr="005F2348">
              <w:rPr>
                <w:rFonts w:ascii="Times New Roman" w:hAnsi="Times New Roman" w:cs="Times New Roman"/>
                <w:sz w:val="24"/>
                <w:szCs w:val="24"/>
              </w:rPr>
              <w:t>values</w:t>
            </w:r>
            <w:proofErr w:type="spellEnd"/>
          </w:p>
        </w:tc>
      </w:tr>
      <w:tr w:rsidR="004A0C8C" w:rsidRPr="005F2348" w14:paraId="094EC9C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09D5E8E1" w14:textId="77777777" w:rsidR="004A0C8C" w:rsidRPr="005F2348" w:rsidRDefault="004A0C8C" w:rsidP="005F2348">
            <w:pPr>
              <w:autoSpaceDE w:val="0"/>
              <w:autoSpaceDN w:val="0"/>
              <w:adjustRightInd w:val="0"/>
              <w:snapToGrid w:val="0"/>
              <w:rPr>
                <w:rFonts w:ascii="Times New Roman" w:hAnsi="Times New Roman" w:cs="Times New Roman"/>
                <w:sz w:val="24"/>
                <w:szCs w:val="24"/>
              </w:rPr>
            </w:pPr>
            <w:r w:rsidRPr="005F2348">
              <w:rPr>
                <w:rFonts w:ascii="Times New Roman" w:hAnsi="Times New Roman" w:cs="Times New Roman"/>
                <w:sz w:val="24"/>
                <w:szCs w:val="24"/>
              </w:rPr>
              <w:t>Total n=16</w:t>
            </w:r>
          </w:p>
        </w:tc>
        <w:tc>
          <w:tcPr>
            <w:tcW w:w="0" w:type="auto"/>
            <w:tcBorders>
              <w:top w:val="nil"/>
              <w:bottom w:val="single" w:sz="4" w:space="0" w:color="auto"/>
            </w:tcBorders>
            <w:shd w:val="clear" w:color="auto" w:fill="auto"/>
            <w:vAlign w:val="center"/>
          </w:tcPr>
          <w:p w14:paraId="6E53A9B2"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MRI 1 vs. MRI 3</w:t>
            </w:r>
          </w:p>
        </w:tc>
        <w:tc>
          <w:tcPr>
            <w:tcW w:w="0" w:type="auto"/>
            <w:tcBorders>
              <w:top w:val="nil"/>
              <w:bottom w:val="single" w:sz="4" w:space="0" w:color="auto"/>
            </w:tcBorders>
            <w:shd w:val="clear" w:color="auto" w:fill="auto"/>
          </w:tcPr>
          <w:p w14:paraId="1AA20714"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MRI 1 vs. MRI 2</w:t>
            </w:r>
          </w:p>
        </w:tc>
        <w:tc>
          <w:tcPr>
            <w:tcW w:w="0" w:type="auto"/>
            <w:tcBorders>
              <w:top w:val="nil"/>
              <w:bottom w:val="single" w:sz="4" w:space="0" w:color="auto"/>
            </w:tcBorders>
            <w:shd w:val="clear" w:color="auto" w:fill="auto"/>
          </w:tcPr>
          <w:p w14:paraId="54F65604"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MRI 2 vs. MRI 3</w:t>
            </w:r>
          </w:p>
        </w:tc>
      </w:tr>
      <w:tr w:rsidR="004A0C8C" w:rsidRPr="005F2348" w14:paraId="4C02A1D8"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2EA051A1"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Quantitative assessment</w:t>
            </w:r>
          </w:p>
        </w:tc>
        <w:tc>
          <w:tcPr>
            <w:tcW w:w="0" w:type="auto"/>
            <w:tcBorders>
              <w:top w:val="single" w:sz="4" w:space="0" w:color="auto"/>
              <w:bottom w:val="nil"/>
            </w:tcBorders>
            <w:shd w:val="clear" w:color="auto" w:fill="auto"/>
            <w:vAlign w:val="center"/>
          </w:tcPr>
          <w:p w14:paraId="57686202"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nil"/>
            </w:tcBorders>
            <w:shd w:val="clear" w:color="auto" w:fill="auto"/>
          </w:tcPr>
          <w:p w14:paraId="5A84BC5E"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nil"/>
            </w:tcBorders>
            <w:shd w:val="clear" w:color="auto" w:fill="auto"/>
          </w:tcPr>
          <w:p w14:paraId="313B5397"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4A0C8C" w:rsidRPr="005F2348" w14:paraId="5458A459"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1C07BB14"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ADC</w:t>
            </w:r>
          </w:p>
        </w:tc>
        <w:tc>
          <w:tcPr>
            <w:tcW w:w="0" w:type="auto"/>
            <w:tcBorders>
              <w:top w:val="single" w:sz="4" w:space="0" w:color="auto"/>
              <w:bottom w:val="nil"/>
            </w:tcBorders>
            <w:shd w:val="clear" w:color="auto" w:fill="auto"/>
            <w:vAlign w:val="center"/>
          </w:tcPr>
          <w:p w14:paraId="6FA0BF69" w14:textId="53EFB68F"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0</w:t>
            </w:r>
            <w:r w:rsidR="00C82E18" w:rsidRPr="005F2348">
              <w:rPr>
                <w:rFonts w:ascii="Times New Roman" w:hAnsi="Times New Roman" w:cs="Times New Roman"/>
                <w:b/>
                <w:sz w:val="24"/>
                <w:szCs w:val="24"/>
                <w:lang w:val="en-US"/>
              </w:rPr>
              <w:t>.</w:t>
            </w:r>
            <w:r w:rsidRPr="005F2348">
              <w:rPr>
                <w:rFonts w:ascii="Times New Roman" w:hAnsi="Times New Roman" w:cs="Times New Roman"/>
                <w:b/>
                <w:sz w:val="24"/>
                <w:szCs w:val="24"/>
                <w:lang w:val="en-US"/>
              </w:rPr>
              <w:t>001</w:t>
            </w:r>
          </w:p>
        </w:tc>
        <w:tc>
          <w:tcPr>
            <w:tcW w:w="0" w:type="auto"/>
            <w:tcBorders>
              <w:top w:val="single" w:sz="4" w:space="0" w:color="auto"/>
              <w:bottom w:val="nil"/>
            </w:tcBorders>
            <w:shd w:val="clear" w:color="auto" w:fill="auto"/>
          </w:tcPr>
          <w:p w14:paraId="04DC147C" w14:textId="37C567AB"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0</w:t>
            </w:r>
            <w:r w:rsidR="00C82E18" w:rsidRPr="005F2348">
              <w:rPr>
                <w:rFonts w:ascii="Times New Roman" w:hAnsi="Times New Roman" w:cs="Times New Roman"/>
                <w:b/>
                <w:sz w:val="24"/>
                <w:szCs w:val="24"/>
                <w:lang w:val="en-US"/>
              </w:rPr>
              <w:t>.</w:t>
            </w:r>
            <w:r w:rsidRPr="005F2348">
              <w:rPr>
                <w:rFonts w:ascii="Times New Roman" w:hAnsi="Times New Roman" w:cs="Times New Roman"/>
                <w:b/>
                <w:sz w:val="24"/>
                <w:szCs w:val="24"/>
                <w:lang w:val="en-US"/>
              </w:rPr>
              <w:t>001</w:t>
            </w:r>
          </w:p>
        </w:tc>
        <w:tc>
          <w:tcPr>
            <w:tcW w:w="0" w:type="auto"/>
            <w:tcBorders>
              <w:top w:val="single" w:sz="4" w:space="0" w:color="auto"/>
              <w:bottom w:val="nil"/>
            </w:tcBorders>
            <w:shd w:val="clear" w:color="auto" w:fill="auto"/>
          </w:tcPr>
          <w:p w14:paraId="0A0A9DE9" w14:textId="0C3EF928"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245</w:t>
            </w:r>
          </w:p>
        </w:tc>
      </w:tr>
      <w:tr w:rsidR="004A0C8C" w:rsidRPr="005F2348" w14:paraId="0D73C552"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67A5C6B7"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nil"/>
              <w:bottom w:val="nil"/>
            </w:tcBorders>
            <w:shd w:val="clear" w:color="auto" w:fill="auto"/>
            <w:vAlign w:val="center"/>
          </w:tcPr>
          <w:p w14:paraId="5DC55942" w14:textId="1B9851BC"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0</w:t>
            </w:r>
            <w:r w:rsidR="00C82E18" w:rsidRPr="005F2348">
              <w:rPr>
                <w:rFonts w:ascii="Times New Roman" w:hAnsi="Times New Roman" w:cs="Times New Roman"/>
                <w:b/>
                <w:sz w:val="24"/>
                <w:szCs w:val="24"/>
                <w:lang w:val="en-US"/>
              </w:rPr>
              <w:t>.</w:t>
            </w:r>
            <w:r w:rsidRPr="005F2348">
              <w:rPr>
                <w:rFonts w:ascii="Times New Roman" w:hAnsi="Times New Roman" w:cs="Times New Roman"/>
                <w:b/>
                <w:sz w:val="24"/>
                <w:szCs w:val="24"/>
                <w:lang w:val="en-US"/>
              </w:rPr>
              <w:t>001</w:t>
            </w:r>
          </w:p>
        </w:tc>
        <w:tc>
          <w:tcPr>
            <w:tcW w:w="0" w:type="auto"/>
            <w:tcBorders>
              <w:top w:val="nil"/>
              <w:bottom w:val="nil"/>
            </w:tcBorders>
            <w:shd w:val="clear" w:color="auto" w:fill="auto"/>
          </w:tcPr>
          <w:p w14:paraId="76FE1FB3" w14:textId="1967E3C0"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0</w:t>
            </w:r>
            <w:r w:rsidR="00C82E18" w:rsidRPr="005F2348">
              <w:rPr>
                <w:rFonts w:ascii="Times New Roman" w:hAnsi="Times New Roman" w:cs="Times New Roman"/>
                <w:b/>
                <w:sz w:val="24"/>
                <w:szCs w:val="24"/>
                <w:lang w:val="en-US"/>
              </w:rPr>
              <w:t>.</w:t>
            </w:r>
            <w:r w:rsidRPr="005F2348">
              <w:rPr>
                <w:rFonts w:ascii="Times New Roman" w:hAnsi="Times New Roman" w:cs="Times New Roman"/>
                <w:b/>
                <w:sz w:val="24"/>
                <w:szCs w:val="24"/>
                <w:lang w:val="en-US"/>
              </w:rPr>
              <w:t>003</w:t>
            </w:r>
          </w:p>
        </w:tc>
        <w:tc>
          <w:tcPr>
            <w:tcW w:w="0" w:type="auto"/>
            <w:tcBorders>
              <w:top w:val="nil"/>
              <w:bottom w:val="nil"/>
            </w:tcBorders>
            <w:shd w:val="clear" w:color="auto" w:fill="auto"/>
          </w:tcPr>
          <w:p w14:paraId="0E13175B" w14:textId="22505DBD"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056</w:t>
            </w:r>
          </w:p>
        </w:tc>
      </w:tr>
      <w:tr w:rsidR="004A0C8C" w:rsidRPr="005F2348" w14:paraId="656AEC23"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2D65844D"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T2</w:t>
            </w:r>
          </w:p>
        </w:tc>
        <w:tc>
          <w:tcPr>
            <w:tcW w:w="0" w:type="auto"/>
            <w:tcBorders>
              <w:top w:val="nil"/>
              <w:bottom w:val="nil"/>
            </w:tcBorders>
            <w:shd w:val="clear" w:color="auto" w:fill="auto"/>
            <w:vAlign w:val="center"/>
          </w:tcPr>
          <w:p w14:paraId="2A914994" w14:textId="394E9B80"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717</w:t>
            </w:r>
          </w:p>
        </w:tc>
        <w:tc>
          <w:tcPr>
            <w:tcW w:w="0" w:type="auto"/>
            <w:tcBorders>
              <w:top w:val="nil"/>
              <w:bottom w:val="nil"/>
            </w:tcBorders>
            <w:shd w:val="clear" w:color="auto" w:fill="auto"/>
          </w:tcPr>
          <w:p w14:paraId="22C070CF" w14:textId="5FD4CA09"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063</w:t>
            </w:r>
          </w:p>
        </w:tc>
        <w:tc>
          <w:tcPr>
            <w:tcW w:w="0" w:type="auto"/>
            <w:tcBorders>
              <w:top w:val="nil"/>
              <w:bottom w:val="nil"/>
            </w:tcBorders>
            <w:shd w:val="clear" w:color="auto" w:fill="auto"/>
          </w:tcPr>
          <w:p w14:paraId="4BB477F6" w14:textId="1D38C8B6"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034</w:t>
            </w:r>
          </w:p>
        </w:tc>
      </w:tr>
      <w:tr w:rsidR="004A0C8C" w:rsidRPr="005F2348" w14:paraId="77E7F0CC"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51F1D766"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45E15858" w14:textId="7D12BEEE"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600</w:t>
            </w:r>
          </w:p>
        </w:tc>
        <w:tc>
          <w:tcPr>
            <w:tcW w:w="0" w:type="auto"/>
            <w:tcBorders>
              <w:top w:val="nil"/>
              <w:bottom w:val="single" w:sz="4" w:space="0" w:color="auto"/>
            </w:tcBorders>
            <w:shd w:val="clear" w:color="auto" w:fill="auto"/>
          </w:tcPr>
          <w:p w14:paraId="7106FE35" w14:textId="02F195AE"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161</w:t>
            </w:r>
          </w:p>
        </w:tc>
        <w:tc>
          <w:tcPr>
            <w:tcW w:w="0" w:type="auto"/>
            <w:tcBorders>
              <w:top w:val="nil"/>
              <w:bottom w:val="single" w:sz="4" w:space="0" w:color="auto"/>
            </w:tcBorders>
            <w:shd w:val="clear" w:color="auto" w:fill="auto"/>
          </w:tcPr>
          <w:p w14:paraId="34533A14" w14:textId="0F307E0A"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484</w:t>
            </w:r>
          </w:p>
        </w:tc>
      </w:tr>
      <w:tr w:rsidR="004A0C8C" w:rsidRPr="005F2348" w14:paraId="5C06EE4B"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180DB2A8"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Qualitative assessment</w:t>
            </w:r>
          </w:p>
        </w:tc>
        <w:tc>
          <w:tcPr>
            <w:tcW w:w="0" w:type="auto"/>
            <w:tcBorders>
              <w:top w:val="single" w:sz="4" w:space="0" w:color="auto"/>
              <w:bottom w:val="single" w:sz="4" w:space="0" w:color="auto"/>
            </w:tcBorders>
            <w:shd w:val="clear" w:color="auto" w:fill="auto"/>
            <w:vAlign w:val="center"/>
          </w:tcPr>
          <w:p w14:paraId="608B83E9" w14:textId="77777777"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63507A47" w14:textId="77777777"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216FE091" w14:textId="77777777"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4A0C8C" w:rsidRPr="005F2348" w14:paraId="67F071D7"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10F0A85D"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nil"/>
              <w:bottom w:val="nil"/>
            </w:tcBorders>
            <w:shd w:val="clear" w:color="auto" w:fill="auto"/>
            <w:vAlign w:val="center"/>
          </w:tcPr>
          <w:p w14:paraId="7B77A796" w14:textId="4590EC21"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001</w:t>
            </w:r>
          </w:p>
        </w:tc>
        <w:tc>
          <w:tcPr>
            <w:tcW w:w="0" w:type="auto"/>
            <w:tcBorders>
              <w:top w:val="nil"/>
              <w:bottom w:val="nil"/>
            </w:tcBorders>
            <w:shd w:val="clear" w:color="auto" w:fill="auto"/>
          </w:tcPr>
          <w:p w14:paraId="38652159" w14:textId="46F2B45E"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002</w:t>
            </w:r>
          </w:p>
        </w:tc>
        <w:tc>
          <w:tcPr>
            <w:tcW w:w="0" w:type="auto"/>
            <w:tcBorders>
              <w:top w:val="nil"/>
              <w:bottom w:val="nil"/>
            </w:tcBorders>
            <w:shd w:val="clear" w:color="auto" w:fill="auto"/>
          </w:tcPr>
          <w:p w14:paraId="1ABD36EA" w14:textId="2278C7A1"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004</w:t>
            </w:r>
          </w:p>
        </w:tc>
      </w:tr>
      <w:tr w:rsidR="004A0C8C" w:rsidRPr="005F2348" w14:paraId="0565C5A0"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0E4C4636"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T2</w:t>
            </w:r>
          </w:p>
        </w:tc>
        <w:tc>
          <w:tcPr>
            <w:tcW w:w="0" w:type="auto"/>
            <w:tcBorders>
              <w:top w:val="nil"/>
              <w:bottom w:val="nil"/>
            </w:tcBorders>
            <w:shd w:val="clear" w:color="auto" w:fill="auto"/>
            <w:vAlign w:val="center"/>
          </w:tcPr>
          <w:p w14:paraId="1F2E37D2" w14:textId="24A94FA3"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470</w:t>
            </w:r>
          </w:p>
        </w:tc>
        <w:tc>
          <w:tcPr>
            <w:tcW w:w="0" w:type="auto"/>
            <w:tcBorders>
              <w:top w:val="nil"/>
              <w:bottom w:val="nil"/>
            </w:tcBorders>
            <w:shd w:val="clear" w:color="auto" w:fill="auto"/>
          </w:tcPr>
          <w:p w14:paraId="4B204197" w14:textId="34DF50E1"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000</w:t>
            </w:r>
          </w:p>
        </w:tc>
        <w:tc>
          <w:tcPr>
            <w:tcW w:w="0" w:type="auto"/>
            <w:tcBorders>
              <w:top w:val="nil"/>
              <w:bottom w:val="nil"/>
            </w:tcBorders>
            <w:shd w:val="clear" w:color="auto" w:fill="auto"/>
          </w:tcPr>
          <w:p w14:paraId="2F811094" w14:textId="71D4CC28"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366</w:t>
            </w:r>
          </w:p>
        </w:tc>
      </w:tr>
      <w:tr w:rsidR="004A0C8C" w:rsidRPr="005F2348" w14:paraId="2D75A9F5"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2C5B4605"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4499FED0" w14:textId="6F51489D"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003</w:t>
            </w:r>
          </w:p>
        </w:tc>
        <w:tc>
          <w:tcPr>
            <w:tcW w:w="0" w:type="auto"/>
            <w:tcBorders>
              <w:top w:val="nil"/>
              <w:bottom w:val="single" w:sz="4" w:space="0" w:color="auto"/>
            </w:tcBorders>
            <w:shd w:val="clear" w:color="auto" w:fill="auto"/>
          </w:tcPr>
          <w:p w14:paraId="62D158F6" w14:textId="01F484A4"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014</w:t>
            </w:r>
          </w:p>
        </w:tc>
        <w:tc>
          <w:tcPr>
            <w:tcW w:w="0" w:type="auto"/>
            <w:tcBorders>
              <w:top w:val="nil"/>
              <w:bottom w:val="single" w:sz="4" w:space="0" w:color="auto"/>
            </w:tcBorders>
            <w:shd w:val="clear" w:color="auto" w:fill="auto"/>
          </w:tcPr>
          <w:p w14:paraId="144EC8AF" w14:textId="0B0EF434"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F2348">
              <w:rPr>
                <w:rFonts w:ascii="Times New Roman" w:hAnsi="Times New Roman" w:cs="Times New Roman"/>
                <w:b/>
                <w:sz w:val="24"/>
                <w:szCs w:val="24"/>
              </w:rPr>
              <w:t>0</w:t>
            </w:r>
            <w:r w:rsidR="00C82E18" w:rsidRPr="005F2348">
              <w:rPr>
                <w:rFonts w:ascii="Times New Roman" w:hAnsi="Times New Roman" w:cs="Times New Roman"/>
                <w:b/>
                <w:sz w:val="24"/>
                <w:szCs w:val="24"/>
              </w:rPr>
              <w:t>.</w:t>
            </w:r>
            <w:r w:rsidRPr="005F2348">
              <w:rPr>
                <w:rFonts w:ascii="Times New Roman" w:hAnsi="Times New Roman" w:cs="Times New Roman"/>
                <w:b/>
                <w:sz w:val="24"/>
                <w:szCs w:val="24"/>
              </w:rPr>
              <w:t>046</w:t>
            </w:r>
          </w:p>
        </w:tc>
      </w:tr>
    </w:tbl>
    <w:p w14:paraId="7AA19493" w14:textId="47FE1872" w:rsidR="004A0C8C" w:rsidRPr="005F2348" w:rsidRDefault="004A0C8C" w:rsidP="005F2348">
      <w:pPr>
        <w:spacing w:line="240" w:lineRule="auto"/>
        <w:rPr>
          <w:rFonts w:ascii="Times New Roman" w:hAnsi="Times New Roman" w:cs="Times New Roman"/>
          <w:sz w:val="24"/>
          <w:szCs w:val="24"/>
          <w:lang w:val="en-US"/>
        </w:rPr>
      </w:pPr>
    </w:p>
    <w:p w14:paraId="79FC9D6F" w14:textId="77777777" w:rsidR="0003114B" w:rsidRPr="005F2348" w:rsidRDefault="0003114B" w:rsidP="005F2348">
      <w:pPr>
        <w:spacing w:line="240" w:lineRule="auto"/>
        <w:rPr>
          <w:rFonts w:ascii="Times New Roman" w:hAnsi="Times New Roman" w:cs="Times New Roman"/>
          <w:sz w:val="24"/>
          <w:szCs w:val="24"/>
          <w:lang w:val="en-US"/>
        </w:rPr>
      </w:pPr>
    </w:p>
    <w:p w14:paraId="23CDB56E" w14:textId="15580BB6" w:rsidR="004A0C8C" w:rsidRPr="005F2348" w:rsidRDefault="004A0C8C" w:rsidP="005F2348">
      <w:pPr>
        <w:spacing w:line="240" w:lineRule="auto"/>
        <w:jc w:val="both"/>
        <w:rPr>
          <w:rFonts w:ascii="Times New Roman" w:hAnsi="Times New Roman" w:cs="Times New Roman"/>
          <w:sz w:val="24"/>
          <w:szCs w:val="24"/>
          <w:lang w:val="en-GB"/>
        </w:rPr>
      </w:pPr>
      <w:r w:rsidRPr="005F2348">
        <w:rPr>
          <w:rFonts w:ascii="Times New Roman" w:hAnsi="Times New Roman" w:cs="Times New Roman"/>
          <w:b/>
          <w:sz w:val="24"/>
          <w:szCs w:val="24"/>
          <w:lang w:val="en-US"/>
        </w:rPr>
        <w:t xml:space="preserve">Supplementary table </w:t>
      </w:r>
      <w:r w:rsidR="00107F14">
        <w:rPr>
          <w:rFonts w:ascii="Times New Roman" w:hAnsi="Times New Roman" w:cs="Times New Roman"/>
          <w:b/>
          <w:sz w:val="24"/>
          <w:szCs w:val="24"/>
          <w:lang w:val="en-US"/>
        </w:rPr>
        <w:t>5</w:t>
      </w:r>
      <w:r w:rsidRPr="005F2348">
        <w:rPr>
          <w:rFonts w:ascii="Times New Roman" w:hAnsi="Times New Roman" w:cs="Times New Roman"/>
          <w:b/>
          <w:sz w:val="24"/>
          <w:szCs w:val="24"/>
          <w:lang w:val="en-US"/>
        </w:rPr>
        <w:t>:</w:t>
      </w:r>
      <w:r w:rsidRPr="005F2348">
        <w:rPr>
          <w:rFonts w:ascii="Times New Roman" w:hAnsi="Times New Roman" w:cs="Times New Roman"/>
          <w:sz w:val="24"/>
          <w:szCs w:val="24"/>
          <w:lang w:val="en-US"/>
        </w:rPr>
        <w:t xml:space="preserve"> </w:t>
      </w:r>
      <w:r w:rsidRPr="005F2348">
        <w:rPr>
          <w:rFonts w:ascii="Times New Roman" w:hAnsi="Times New Roman" w:cs="Times New Roman"/>
          <w:b/>
          <w:sz w:val="24"/>
          <w:szCs w:val="24"/>
          <w:lang w:val="en-US"/>
        </w:rPr>
        <w:t>Correlation of Changes in MRI Signal Intensities with Tumor Regression Following Neoadjuvant Chemoradiotherapy</w:t>
      </w:r>
      <w:r w:rsidR="005F2348" w:rsidRPr="005F2348">
        <w:rPr>
          <w:rFonts w:ascii="Times New Roman" w:hAnsi="Times New Roman" w:cs="Times New Roman"/>
          <w:b/>
          <w:sz w:val="24"/>
          <w:szCs w:val="24"/>
          <w:lang w:val="en-US"/>
        </w:rPr>
        <w:t>.</w:t>
      </w:r>
      <w:r w:rsidR="005F2348">
        <w:rPr>
          <w:rFonts w:ascii="Times New Roman" w:hAnsi="Times New Roman" w:cs="Times New Roman"/>
          <w:sz w:val="24"/>
          <w:szCs w:val="24"/>
          <w:lang w:val="en-US"/>
        </w:rPr>
        <w:t xml:space="preserve"> </w:t>
      </w:r>
      <w:r w:rsidR="005F2348" w:rsidRPr="005F2348">
        <w:rPr>
          <w:rFonts w:ascii="Times New Roman" w:hAnsi="Times New Roman" w:cs="Times New Roman"/>
          <w:sz w:val="24"/>
          <w:szCs w:val="24"/>
          <w:lang w:val="en-US"/>
        </w:rPr>
        <w:t>Abbreviations: MRI, Magnetic resonance imaging; ADC, Apparent diffusion coefficient; * response of the primary tumor; p-values according to Mann-Whitney U test</w:t>
      </w:r>
      <w:r w:rsidR="005F2348" w:rsidRPr="005F2348">
        <w:rPr>
          <w:rFonts w:ascii="Times New Roman" w:hAnsi="Times New Roman" w:cs="Times New Roman"/>
          <w:color w:val="000000" w:themeColor="text1"/>
          <w:sz w:val="24"/>
          <w:szCs w:val="24"/>
          <w:lang w:val="en-GB"/>
        </w:rPr>
        <w:t>.</w:t>
      </w:r>
    </w:p>
    <w:tbl>
      <w:tblPr>
        <w:tblStyle w:val="LightShading"/>
        <w:tblW w:w="0" w:type="auto"/>
        <w:jc w:val="center"/>
        <w:tblLook w:val="04A0" w:firstRow="1" w:lastRow="0" w:firstColumn="1" w:lastColumn="0" w:noHBand="0" w:noVBand="1"/>
      </w:tblPr>
      <w:tblGrid>
        <w:gridCol w:w="2690"/>
        <w:gridCol w:w="1990"/>
        <w:gridCol w:w="1990"/>
        <w:gridCol w:w="1990"/>
      </w:tblGrid>
      <w:tr w:rsidR="004A0C8C" w:rsidRPr="005F2348" w14:paraId="030DFB81" w14:textId="77777777" w:rsidTr="000A27A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25B5F156" w14:textId="77777777" w:rsidR="004A0C8C" w:rsidRPr="005F2348" w:rsidRDefault="004A0C8C" w:rsidP="005F2348">
            <w:pPr>
              <w:autoSpaceDE w:val="0"/>
              <w:autoSpaceDN w:val="0"/>
              <w:adjustRightInd w:val="0"/>
              <w:snapToGrid w:val="0"/>
              <w:rPr>
                <w:rFonts w:ascii="Times New Roman" w:hAnsi="Times New Roman" w:cs="Times New Roman"/>
                <w:sz w:val="24"/>
                <w:szCs w:val="24"/>
              </w:rPr>
            </w:pPr>
            <w:r w:rsidRPr="005F2348">
              <w:rPr>
                <w:rFonts w:ascii="Times New Roman" w:hAnsi="Times New Roman" w:cs="Times New Roman"/>
                <w:sz w:val="24"/>
                <w:szCs w:val="24"/>
              </w:rPr>
              <w:t xml:space="preserve">MRI </w:t>
            </w:r>
            <w:proofErr w:type="spellStart"/>
            <w:r w:rsidRPr="005F2348">
              <w:rPr>
                <w:rFonts w:ascii="Times New Roman" w:hAnsi="Times New Roman" w:cs="Times New Roman"/>
                <w:sz w:val="24"/>
                <w:szCs w:val="24"/>
              </w:rPr>
              <w:t>series</w:t>
            </w:r>
            <w:proofErr w:type="spellEnd"/>
          </w:p>
        </w:tc>
        <w:tc>
          <w:tcPr>
            <w:tcW w:w="0" w:type="auto"/>
            <w:gridSpan w:val="3"/>
            <w:tcBorders>
              <w:top w:val="single" w:sz="4" w:space="0" w:color="auto"/>
              <w:bottom w:val="nil"/>
            </w:tcBorders>
            <w:shd w:val="clear" w:color="auto" w:fill="auto"/>
            <w:vAlign w:val="center"/>
          </w:tcPr>
          <w:p w14:paraId="4FF848CF" w14:textId="77777777" w:rsidR="004A0C8C" w:rsidRPr="005F2348" w:rsidRDefault="004A0C8C" w:rsidP="005F2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p-values</w:t>
            </w:r>
          </w:p>
        </w:tc>
      </w:tr>
      <w:tr w:rsidR="004A0C8C" w:rsidRPr="005F2348" w14:paraId="023C8E1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4A763038"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Total n=16</w:t>
            </w:r>
          </w:p>
        </w:tc>
        <w:tc>
          <w:tcPr>
            <w:tcW w:w="0" w:type="auto"/>
            <w:tcBorders>
              <w:top w:val="nil"/>
              <w:bottom w:val="single" w:sz="4" w:space="0" w:color="auto"/>
            </w:tcBorders>
            <w:shd w:val="clear" w:color="auto" w:fill="auto"/>
            <w:vAlign w:val="center"/>
          </w:tcPr>
          <w:p w14:paraId="3324C291"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Style w:val="hgkelc"/>
                <w:rFonts w:ascii="Times New Roman" w:hAnsi="Times New Roman" w:cs="Times New Roman"/>
                <w:b/>
                <w:sz w:val="24"/>
                <w:szCs w:val="24"/>
                <w:lang w:val="en-US"/>
              </w:rPr>
              <w:t>∆(</w:t>
            </w:r>
            <w:r w:rsidRPr="005F2348">
              <w:rPr>
                <w:rFonts w:ascii="Times New Roman" w:hAnsi="Times New Roman" w:cs="Times New Roman"/>
                <w:b/>
                <w:sz w:val="24"/>
                <w:szCs w:val="24"/>
                <w:lang w:val="en-US"/>
              </w:rPr>
              <w:t>MRI 1, MRI 3)</w:t>
            </w:r>
          </w:p>
        </w:tc>
        <w:tc>
          <w:tcPr>
            <w:tcW w:w="0" w:type="auto"/>
            <w:tcBorders>
              <w:top w:val="nil"/>
              <w:bottom w:val="single" w:sz="4" w:space="0" w:color="auto"/>
            </w:tcBorders>
            <w:shd w:val="clear" w:color="auto" w:fill="auto"/>
          </w:tcPr>
          <w:p w14:paraId="2449069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Style w:val="hgkelc"/>
                <w:rFonts w:ascii="Times New Roman" w:hAnsi="Times New Roman" w:cs="Times New Roman"/>
                <w:b/>
                <w:sz w:val="24"/>
                <w:szCs w:val="24"/>
                <w:lang w:val="en-US"/>
              </w:rPr>
              <w:t>∆(</w:t>
            </w:r>
            <w:r w:rsidRPr="005F2348">
              <w:rPr>
                <w:rFonts w:ascii="Times New Roman" w:hAnsi="Times New Roman" w:cs="Times New Roman"/>
                <w:b/>
                <w:sz w:val="24"/>
                <w:szCs w:val="24"/>
                <w:lang w:val="en-US"/>
              </w:rPr>
              <w:t>MRI 1, MRI 2)</w:t>
            </w:r>
          </w:p>
        </w:tc>
        <w:tc>
          <w:tcPr>
            <w:tcW w:w="0" w:type="auto"/>
            <w:tcBorders>
              <w:top w:val="nil"/>
              <w:bottom w:val="single" w:sz="4" w:space="0" w:color="auto"/>
            </w:tcBorders>
            <w:shd w:val="clear" w:color="auto" w:fill="auto"/>
          </w:tcPr>
          <w:p w14:paraId="208DFD56"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F2348">
              <w:rPr>
                <w:rStyle w:val="hgkelc"/>
                <w:rFonts w:ascii="Times New Roman" w:hAnsi="Times New Roman" w:cs="Times New Roman"/>
                <w:b/>
                <w:sz w:val="24"/>
                <w:szCs w:val="24"/>
                <w:lang w:val="en-US"/>
              </w:rPr>
              <w:t>∆(</w:t>
            </w:r>
            <w:r w:rsidRPr="005F2348">
              <w:rPr>
                <w:rFonts w:ascii="Times New Roman" w:hAnsi="Times New Roman" w:cs="Times New Roman"/>
                <w:b/>
                <w:sz w:val="24"/>
                <w:szCs w:val="24"/>
                <w:lang w:val="en-US"/>
              </w:rPr>
              <w:t>MRI 2, MRI 3)</w:t>
            </w:r>
          </w:p>
        </w:tc>
      </w:tr>
      <w:tr w:rsidR="004A0C8C" w:rsidRPr="00495C35" w14:paraId="0307B822"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68246EAF"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p>
        </w:tc>
        <w:tc>
          <w:tcPr>
            <w:tcW w:w="0" w:type="auto"/>
            <w:gridSpan w:val="3"/>
            <w:tcBorders>
              <w:top w:val="single" w:sz="4" w:space="0" w:color="auto"/>
              <w:bottom w:val="nil"/>
            </w:tcBorders>
            <w:shd w:val="clear" w:color="auto" w:fill="auto"/>
            <w:vAlign w:val="center"/>
          </w:tcPr>
          <w:p w14:paraId="58B7175A" w14:textId="77777777" w:rsidR="004A0C8C" w:rsidRPr="005F2348" w:rsidRDefault="004A0C8C" w:rsidP="005F2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5F2348">
              <w:rPr>
                <w:rStyle w:val="hgkelc"/>
                <w:rFonts w:ascii="Times New Roman" w:hAnsi="Times New Roman" w:cs="Times New Roman"/>
                <w:b/>
                <w:sz w:val="24"/>
                <w:szCs w:val="24"/>
                <w:lang w:val="en-US"/>
              </w:rPr>
              <w:t>Correlation of ∆MRI with &lt;5% residual tumor* vs. rest</w:t>
            </w:r>
          </w:p>
        </w:tc>
      </w:tr>
      <w:tr w:rsidR="004A0C8C" w:rsidRPr="005F2348" w14:paraId="6794C8E8"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5A2F9B0F"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Quantitative assessment</w:t>
            </w:r>
          </w:p>
        </w:tc>
        <w:tc>
          <w:tcPr>
            <w:tcW w:w="0" w:type="auto"/>
            <w:tcBorders>
              <w:top w:val="single" w:sz="4" w:space="0" w:color="auto"/>
              <w:bottom w:val="nil"/>
            </w:tcBorders>
            <w:shd w:val="clear" w:color="auto" w:fill="auto"/>
            <w:vAlign w:val="center"/>
          </w:tcPr>
          <w:p w14:paraId="6F5C7CD2"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nil"/>
            </w:tcBorders>
            <w:shd w:val="clear" w:color="auto" w:fill="auto"/>
          </w:tcPr>
          <w:p w14:paraId="4A2D641F"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nil"/>
            </w:tcBorders>
            <w:shd w:val="clear" w:color="auto" w:fill="auto"/>
          </w:tcPr>
          <w:p w14:paraId="4A66DF63"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4A0C8C" w:rsidRPr="005F2348" w14:paraId="3932BEFD"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51EC545B"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ADC</w:t>
            </w:r>
          </w:p>
        </w:tc>
        <w:tc>
          <w:tcPr>
            <w:tcW w:w="0" w:type="auto"/>
            <w:tcBorders>
              <w:top w:val="single" w:sz="4" w:space="0" w:color="auto"/>
              <w:bottom w:val="nil"/>
            </w:tcBorders>
            <w:shd w:val="clear" w:color="auto" w:fill="auto"/>
            <w:vAlign w:val="center"/>
          </w:tcPr>
          <w:p w14:paraId="726D0C5C" w14:textId="40F443E4"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114</w:t>
            </w:r>
          </w:p>
        </w:tc>
        <w:tc>
          <w:tcPr>
            <w:tcW w:w="0" w:type="auto"/>
            <w:tcBorders>
              <w:top w:val="single" w:sz="4" w:space="0" w:color="auto"/>
              <w:bottom w:val="nil"/>
            </w:tcBorders>
            <w:shd w:val="clear" w:color="auto" w:fill="auto"/>
          </w:tcPr>
          <w:p w14:paraId="5C801570" w14:textId="46635431"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933</w:t>
            </w:r>
          </w:p>
        </w:tc>
        <w:tc>
          <w:tcPr>
            <w:tcW w:w="0" w:type="auto"/>
            <w:tcBorders>
              <w:top w:val="single" w:sz="4" w:space="0" w:color="auto"/>
              <w:bottom w:val="nil"/>
            </w:tcBorders>
            <w:shd w:val="clear" w:color="auto" w:fill="auto"/>
          </w:tcPr>
          <w:p w14:paraId="38C358CF" w14:textId="36579F8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5F2348">
              <w:rPr>
                <w:rFonts w:ascii="Times New Roman" w:hAnsi="Times New Roman" w:cs="Times New Roman"/>
                <w:b/>
                <w:sz w:val="24"/>
                <w:szCs w:val="24"/>
                <w:lang w:val="en-US"/>
              </w:rPr>
              <w:t>0</w:t>
            </w:r>
            <w:r w:rsidR="00C82E18" w:rsidRPr="005F2348">
              <w:rPr>
                <w:rFonts w:ascii="Times New Roman" w:hAnsi="Times New Roman" w:cs="Times New Roman"/>
                <w:b/>
                <w:sz w:val="24"/>
                <w:szCs w:val="24"/>
                <w:lang w:val="en-US"/>
              </w:rPr>
              <w:t>.</w:t>
            </w:r>
            <w:r w:rsidRPr="005F2348">
              <w:rPr>
                <w:rFonts w:ascii="Times New Roman" w:hAnsi="Times New Roman" w:cs="Times New Roman"/>
                <w:b/>
                <w:sz w:val="24"/>
                <w:szCs w:val="24"/>
                <w:lang w:val="en-US"/>
              </w:rPr>
              <w:t>022</w:t>
            </w:r>
          </w:p>
        </w:tc>
      </w:tr>
      <w:tr w:rsidR="004A0C8C" w:rsidRPr="005F2348" w14:paraId="11EA7C4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6AD5B5D1"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nil"/>
              <w:bottom w:val="nil"/>
            </w:tcBorders>
            <w:shd w:val="clear" w:color="auto" w:fill="auto"/>
            <w:vAlign w:val="center"/>
          </w:tcPr>
          <w:p w14:paraId="23ACFED3" w14:textId="57EFF216"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171</w:t>
            </w:r>
          </w:p>
        </w:tc>
        <w:tc>
          <w:tcPr>
            <w:tcW w:w="0" w:type="auto"/>
            <w:tcBorders>
              <w:top w:val="nil"/>
              <w:bottom w:val="nil"/>
            </w:tcBorders>
            <w:shd w:val="clear" w:color="auto" w:fill="auto"/>
          </w:tcPr>
          <w:p w14:paraId="3EB8ADB5" w14:textId="184BC560"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571</w:t>
            </w:r>
          </w:p>
        </w:tc>
        <w:tc>
          <w:tcPr>
            <w:tcW w:w="0" w:type="auto"/>
            <w:tcBorders>
              <w:top w:val="nil"/>
              <w:bottom w:val="nil"/>
            </w:tcBorders>
            <w:shd w:val="clear" w:color="auto" w:fill="auto"/>
          </w:tcPr>
          <w:p w14:paraId="4DECD66A" w14:textId="7B3D55AC"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088</w:t>
            </w:r>
          </w:p>
        </w:tc>
      </w:tr>
      <w:tr w:rsidR="004A0C8C" w:rsidRPr="005F2348" w14:paraId="2F6FCADC"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6BAF36A4"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lastRenderedPageBreak/>
              <w:t>T2</w:t>
            </w:r>
          </w:p>
        </w:tc>
        <w:tc>
          <w:tcPr>
            <w:tcW w:w="0" w:type="auto"/>
            <w:tcBorders>
              <w:top w:val="nil"/>
              <w:bottom w:val="nil"/>
            </w:tcBorders>
            <w:shd w:val="clear" w:color="auto" w:fill="auto"/>
            <w:vAlign w:val="center"/>
          </w:tcPr>
          <w:p w14:paraId="3BD012E9" w14:textId="2BBE4866"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417</w:t>
            </w:r>
          </w:p>
        </w:tc>
        <w:tc>
          <w:tcPr>
            <w:tcW w:w="0" w:type="auto"/>
            <w:tcBorders>
              <w:top w:val="nil"/>
              <w:bottom w:val="nil"/>
            </w:tcBorders>
            <w:shd w:val="clear" w:color="auto" w:fill="auto"/>
          </w:tcPr>
          <w:p w14:paraId="38724CB0" w14:textId="2A056744"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933</w:t>
            </w:r>
          </w:p>
        </w:tc>
        <w:tc>
          <w:tcPr>
            <w:tcW w:w="0" w:type="auto"/>
            <w:tcBorders>
              <w:top w:val="nil"/>
              <w:bottom w:val="nil"/>
            </w:tcBorders>
            <w:shd w:val="clear" w:color="auto" w:fill="auto"/>
          </w:tcPr>
          <w:p w14:paraId="13F4BFD3" w14:textId="2FC14423"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700</w:t>
            </w:r>
          </w:p>
        </w:tc>
      </w:tr>
      <w:tr w:rsidR="004A0C8C" w:rsidRPr="005F2348" w14:paraId="40571550"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6EC61F27"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41A61514" w14:textId="0A81F1E6"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154</w:t>
            </w:r>
          </w:p>
        </w:tc>
        <w:tc>
          <w:tcPr>
            <w:tcW w:w="0" w:type="auto"/>
            <w:tcBorders>
              <w:top w:val="nil"/>
              <w:bottom w:val="single" w:sz="4" w:space="0" w:color="auto"/>
            </w:tcBorders>
            <w:shd w:val="clear" w:color="auto" w:fill="auto"/>
          </w:tcPr>
          <w:p w14:paraId="1B836820" w14:textId="7AA54FA4"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750</w:t>
            </w:r>
          </w:p>
        </w:tc>
        <w:tc>
          <w:tcPr>
            <w:tcW w:w="0" w:type="auto"/>
            <w:tcBorders>
              <w:top w:val="nil"/>
              <w:bottom w:val="single" w:sz="4" w:space="0" w:color="auto"/>
            </w:tcBorders>
            <w:shd w:val="clear" w:color="auto" w:fill="auto"/>
          </w:tcPr>
          <w:p w14:paraId="1B3E4E85" w14:textId="552B681B"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250</w:t>
            </w:r>
          </w:p>
        </w:tc>
      </w:tr>
      <w:tr w:rsidR="004A0C8C" w:rsidRPr="005F2348" w14:paraId="30356914"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67D98576"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Qualitative assessment</w:t>
            </w:r>
          </w:p>
        </w:tc>
        <w:tc>
          <w:tcPr>
            <w:tcW w:w="0" w:type="auto"/>
            <w:tcBorders>
              <w:top w:val="single" w:sz="4" w:space="0" w:color="auto"/>
              <w:bottom w:val="single" w:sz="4" w:space="0" w:color="auto"/>
            </w:tcBorders>
            <w:shd w:val="clear" w:color="auto" w:fill="auto"/>
            <w:vAlign w:val="center"/>
          </w:tcPr>
          <w:p w14:paraId="1EE1F32F"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5D3B1A74"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3F72BFD0"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4A0C8C" w:rsidRPr="005F2348" w14:paraId="60139A84"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0C0CE7EE"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nil"/>
              <w:bottom w:val="nil"/>
            </w:tcBorders>
            <w:shd w:val="clear" w:color="auto" w:fill="auto"/>
            <w:vAlign w:val="center"/>
          </w:tcPr>
          <w:p w14:paraId="662A49C2" w14:textId="78C9C0F1"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381</w:t>
            </w:r>
          </w:p>
        </w:tc>
        <w:tc>
          <w:tcPr>
            <w:tcW w:w="0" w:type="auto"/>
            <w:tcBorders>
              <w:top w:val="nil"/>
              <w:bottom w:val="nil"/>
            </w:tcBorders>
            <w:shd w:val="clear" w:color="auto" w:fill="auto"/>
          </w:tcPr>
          <w:p w14:paraId="7F5C8F6F" w14:textId="4FEA01B0"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686</w:t>
            </w:r>
          </w:p>
        </w:tc>
        <w:tc>
          <w:tcPr>
            <w:tcW w:w="0" w:type="auto"/>
            <w:tcBorders>
              <w:top w:val="nil"/>
              <w:bottom w:val="nil"/>
            </w:tcBorders>
            <w:shd w:val="clear" w:color="auto" w:fill="auto"/>
          </w:tcPr>
          <w:p w14:paraId="1CF78E1C" w14:textId="0AA02A3F"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440</w:t>
            </w:r>
          </w:p>
        </w:tc>
      </w:tr>
      <w:tr w:rsidR="004A0C8C" w:rsidRPr="005F2348" w14:paraId="41E16D07"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6B1BABB1"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T2</w:t>
            </w:r>
          </w:p>
        </w:tc>
        <w:tc>
          <w:tcPr>
            <w:tcW w:w="0" w:type="auto"/>
            <w:tcBorders>
              <w:top w:val="nil"/>
              <w:bottom w:val="nil"/>
            </w:tcBorders>
            <w:shd w:val="clear" w:color="auto" w:fill="auto"/>
            <w:vAlign w:val="center"/>
          </w:tcPr>
          <w:p w14:paraId="1F969B2A" w14:textId="27779883"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417</w:t>
            </w:r>
          </w:p>
        </w:tc>
        <w:tc>
          <w:tcPr>
            <w:tcW w:w="0" w:type="auto"/>
            <w:tcBorders>
              <w:top w:val="nil"/>
              <w:bottom w:val="nil"/>
            </w:tcBorders>
            <w:shd w:val="clear" w:color="auto" w:fill="auto"/>
          </w:tcPr>
          <w:p w14:paraId="6FCB6974" w14:textId="7575F538"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267</w:t>
            </w:r>
          </w:p>
        </w:tc>
        <w:tc>
          <w:tcPr>
            <w:tcW w:w="0" w:type="auto"/>
            <w:tcBorders>
              <w:top w:val="nil"/>
              <w:bottom w:val="nil"/>
            </w:tcBorders>
            <w:shd w:val="clear" w:color="auto" w:fill="auto"/>
          </w:tcPr>
          <w:p w14:paraId="6999871E" w14:textId="3993B9BA"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817</w:t>
            </w:r>
          </w:p>
        </w:tc>
      </w:tr>
      <w:tr w:rsidR="004A0C8C" w:rsidRPr="005F2348" w14:paraId="3B6A668C"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00208B4D"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7B8CAFB5" w14:textId="4FA1674F"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615</w:t>
            </w:r>
          </w:p>
        </w:tc>
        <w:tc>
          <w:tcPr>
            <w:tcW w:w="0" w:type="auto"/>
            <w:tcBorders>
              <w:top w:val="nil"/>
              <w:bottom w:val="single" w:sz="4" w:space="0" w:color="auto"/>
            </w:tcBorders>
            <w:shd w:val="clear" w:color="auto" w:fill="auto"/>
          </w:tcPr>
          <w:p w14:paraId="5F3DAF6F" w14:textId="245D560D"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000</w:t>
            </w:r>
          </w:p>
        </w:tc>
        <w:tc>
          <w:tcPr>
            <w:tcW w:w="0" w:type="auto"/>
            <w:tcBorders>
              <w:top w:val="nil"/>
              <w:bottom w:val="single" w:sz="4" w:space="0" w:color="auto"/>
            </w:tcBorders>
            <w:shd w:val="clear" w:color="auto" w:fill="auto"/>
          </w:tcPr>
          <w:p w14:paraId="5C802724" w14:textId="3BDCC9AF"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500</w:t>
            </w:r>
          </w:p>
        </w:tc>
      </w:tr>
      <w:tr w:rsidR="004A0C8C" w:rsidRPr="00495C35" w14:paraId="5E47CC10"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7BECD3DC"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p>
        </w:tc>
        <w:tc>
          <w:tcPr>
            <w:tcW w:w="0" w:type="auto"/>
            <w:gridSpan w:val="3"/>
            <w:tcBorders>
              <w:top w:val="single" w:sz="4" w:space="0" w:color="auto"/>
              <w:bottom w:val="single" w:sz="4" w:space="0" w:color="auto"/>
            </w:tcBorders>
            <w:shd w:val="clear" w:color="auto" w:fill="auto"/>
            <w:vAlign w:val="center"/>
          </w:tcPr>
          <w:p w14:paraId="4788984E"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5F2348">
              <w:rPr>
                <w:rStyle w:val="hgkelc"/>
                <w:rFonts w:ascii="Times New Roman" w:hAnsi="Times New Roman" w:cs="Times New Roman"/>
                <w:b/>
                <w:sz w:val="24"/>
                <w:szCs w:val="24"/>
                <w:lang w:val="en-US"/>
              </w:rPr>
              <w:t>Correlation of ∆MRI with complete response* vs. rest</w:t>
            </w:r>
          </w:p>
        </w:tc>
      </w:tr>
      <w:tr w:rsidR="004A0C8C" w:rsidRPr="005F2348" w14:paraId="14B44451"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036C78F4"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Quantitative assessment</w:t>
            </w:r>
          </w:p>
        </w:tc>
        <w:tc>
          <w:tcPr>
            <w:tcW w:w="0" w:type="auto"/>
            <w:tcBorders>
              <w:top w:val="single" w:sz="4" w:space="0" w:color="auto"/>
              <w:bottom w:val="single" w:sz="4" w:space="0" w:color="auto"/>
            </w:tcBorders>
            <w:shd w:val="clear" w:color="auto" w:fill="auto"/>
            <w:vAlign w:val="center"/>
          </w:tcPr>
          <w:p w14:paraId="7368D4C5"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17B7893F"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7718FD24" w14:textId="77777777" w:rsidR="004A0C8C" w:rsidRPr="005F2348" w:rsidRDefault="004A0C8C" w:rsidP="005F23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4A0C8C" w:rsidRPr="005F2348" w14:paraId="5ED639D7"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62ADA32D"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ADC</w:t>
            </w:r>
          </w:p>
        </w:tc>
        <w:tc>
          <w:tcPr>
            <w:tcW w:w="0" w:type="auto"/>
            <w:tcBorders>
              <w:top w:val="single" w:sz="4" w:space="0" w:color="auto"/>
              <w:bottom w:val="nil"/>
            </w:tcBorders>
            <w:shd w:val="clear" w:color="auto" w:fill="auto"/>
            <w:vAlign w:val="center"/>
          </w:tcPr>
          <w:p w14:paraId="3A59E7B0" w14:textId="3A55C968"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094</w:t>
            </w:r>
          </w:p>
        </w:tc>
        <w:tc>
          <w:tcPr>
            <w:tcW w:w="0" w:type="auto"/>
            <w:tcBorders>
              <w:top w:val="single" w:sz="4" w:space="0" w:color="auto"/>
              <w:bottom w:val="nil"/>
            </w:tcBorders>
            <w:shd w:val="clear" w:color="auto" w:fill="auto"/>
          </w:tcPr>
          <w:p w14:paraId="261A2BD2" w14:textId="4839B7D8"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281</w:t>
            </w:r>
          </w:p>
        </w:tc>
        <w:tc>
          <w:tcPr>
            <w:tcW w:w="0" w:type="auto"/>
            <w:tcBorders>
              <w:top w:val="single" w:sz="4" w:space="0" w:color="auto"/>
              <w:bottom w:val="nil"/>
            </w:tcBorders>
            <w:shd w:val="clear" w:color="auto" w:fill="auto"/>
          </w:tcPr>
          <w:p w14:paraId="550FEBCF" w14:textId="0D6F5649"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108</w:t>
            </w:r>
          </w:p>
        </w:tc>
      </w:tr>
      <w:tr w:rsidR="004A0C8C" w:rsidRPr="005F2348" w14:paraId="5DB01993"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5B75DE8C"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nil"/>
              <w:bottom w:val="nil"/>
            </w:tcBorders>
            <w:shd w:val="clear" w:color="auto" w:fill="auto"/>
            <w:vAlign w:val="center"/>
          </w:tcPr>
          <w:p w14:paraId="53E77AD9" w14:textId="5EBE3B7A"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463</w:t>
            </w:r>
          </w:p>
        </w:tc>
        <w:tc>
          <w:tcPr>
            <w:tcW w:w="0" w:type="auto"/>
            <w:tcBorders>
              <w:top w:val="nil"/>
              <w:bottom w:val="nil"/>
            </w:tcBorders>
            <w:shd w:val="clear" w:color="auto" w:fill="auto"/>
          </w:tcPr>
          <w:p w14:paraId="7260B670" w14:textId="7316C3FE"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72</w:t>
            </w:r>
          </w:p>
        </w:tc>
        <w:tc>
          <w:tcPr>
            <w:tcW w:w="0" w:type="auto"/>
            <w:tcBorders>
              <w:top w:val="nil"/>
              <w:bottom w:val="nil"/>
            </w:tcBorders>
            <w:shd w:val="clear" w:color="auto" w:fill="auto"/>
          </w:tcPr>
          <w:p w14:paraId="0343DE34" w14:textId="358C4B8E"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0</w:t>
            </w:r>
            <w:r w:rsidR="00C82E18"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852</w:t>
            </w:r>
          </w:p>
        </w:tc>
      </w:tr>
      <w:tr w:rsidR="004A0C8C" w:rsidRPr="005F2348" w14:paraId="450533C0"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47D20E72"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T2</w:t>
            </w:r>
          </w:p>
        </w:tc>
        <w:tc>
          <w:tcPr>
            <w:tcW w:w="0" w:type="auto"/>
            <w:tcBorders>
              <w:top w:val="nil"/>
              <w:bottom w:val="nil"/>
            </w:tcBorders>
            <w:shd w:val="clear" w:color="auto" w:fill="auto"/>
            <w:vAlign w:val="center"/>
          </w:tcPr>
          <w:p w14:paraId="6081076D" w14:textId="16A7D88C"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234</w:t>
            </w:r>
          </w:p>
        </w:tc>
        <w:tc>
          <w:tcPr>
            <w:tcW w:w="0" w:type="auto"/>
            <w:tcBorders>
              <w:top w:val="nil"/>
              <w:bottom w:val="nil"/>
            </w:tcBorders>
            <w:shd w:val="clear" w:color="auto" w:fill="auto"/>
          </w:tcPr>
          <w:p w14:paraId="5106BC89" w14:textId="51EEE879"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382</w:t>
            </w:r>
          </w:p>
        </w:tc>
        <w:tc>
          <w:tcPr>
            <w:tcW w:w="0" w:type="auto"/>
            <w:tcBorders>
              <w:top w:val="nil"/>
              <w:bottom w:val="nil"/>
            </w:tcBorders>
            <w:shd w:val="clear" w:color="auto" w:fill="auto"/>
          </w:tcPr>
          <w:p w14:paraId="0A7BA8BE" w14:textId="6008B28F"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798</w:t>
            </w:r>
          </w:p>
        </w:tc>
      </w:tr>
      <w:tr w:rsidR="004A0C8C" w:rsidRPr="005F2348" w14:paraId="5F035C54"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739F2576"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3B6D2278" w14:textId="30BC5DA5"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181</w:t>
            </w:r>
          </w:p>
        </w:tc>
        <w:tc>
          <w:tcPr>
            <w:tcW w:w="0" w:type="auto"/>
            <w:tcBorders>
              <w:top w:val="nil"/>
              <w:bottom w:val="single" w:sz="4" w:space="0" w:color="auto"/>
            </w:tcBorders>
            <w:shd w:val="clear" w:color="auto" w:fill="auto"/>
          </w:tcPr>
          <w:p w14:paraId="64D02025" w14:textId="43ACD0C4"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114</w:t>
            </w:r>
          </w:p>
        </w:tc>
        <w:tc>
          <w:tcPr>
            <w:tcW w:w="0" w:type="auto"/>
            <w:tcBorders>
              <w:top w:val="nil"/>
              <w:bottom w:val="single" w:sz="4" w:space="0" w:color="auto"/>
            </w:tcBorders>
            <w:shd w:val="clear" w:color="auto" w:fill="auto"/>
          </w:tcPr>
          <w:p w14:paraId="1F6E2161" w14:textId="2839C43A"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1</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000</w:t>
            </w:r>
          </w:p>
        </w:tc>
      </w:tr>
      <w:tr w:rsidR="004A0C8C" w:rsidRPr="005F2348" w14:paraId="0BAF45F1"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1EF9F768" w14:textId="77777777" w:rsidR="004A0C8C" w:rsidRPr="005F2348" w:rsidRDefault="004A0C8C" w:rsidP="005F2348">
            <w:pPr>
              <w:autoSpaceDE w:val="0"/>
              <w:autoSpaceDN w:val="0"/>
              <w:adjustRightInd w:val="0"/>
              <w:snapToGrid w:val="0"/>
              <w:rPr>
                <w:rFonts w:ascii="Times New Roman" w:hAnsi="Times New Roman" w:cs="Times New Roman"/>
                <w:sz w:val="24"/>
                <w:szCs w:val="24"/>
                <w:lang w:val="en-US"/>
              </w:rPr>
            </w:pPr>
            <w:r w:rsidRPr="005F2348">
              <w:rPr>
                <w:rFonts w:ascii="Times New Roman" w:hAnsi="Times New Roman" w:cs="Times New Roman"/>
                <w:sz w:val="24"/>
                <w:szCs w:val="24"/>
                <w:lang w:val="en-US"/>
              </w:rPr>
              <w:t>Qualitative assessment</w:t>
            </w:r>
          </w:p>
        </w:tc>
        <w:tc>
          <w:tcPr>
            <w:tcW w:w="0" w:type="auto"/>
            <w:tcBorders>
              <w:top w:val="single" w:sz="4" w:space="0" w:color="auto"/>
              <w:bottom w:val="single" w:sz="4" w:space="0" w:color="auto"/>
            </w:tcBorders>
            <w:shd w:val="clear" w:color="auto" w:fill="auto"/>
            <w:vAlign w:val="center"/>
          </w:tcPr>
          <w:p w14:paraId="7695120A"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4FE211DA"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0" w:type="auto"/>
            <w:tcBorders>
              <w:top w:val="single" w:sz="4" w:space="0" w:color="auto"/>
              <w:bottom w:val="single" w:sz="4" w:space="0" w:color="auto"/>
            </w:tcBorders>
            <w:shd w:val="clear" w:color="auto" w:fill="auto"/>
          </w:tcPr>
          <w:p w14:paraId="2ED3BABA" w14:textId="77777777"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4A0C8C" w:rsidRPr="005F2348" w14:paraId="2F3ACD0B"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5E1AF641"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lang w:val="en-US"/>
              </w:rPr>
            </w:pPr>
            <w:r w:rsidRPr="005F2348">
              <w:rPr>
                <w:rFonts w:ascii="Times New Roman" w:hAnsi="Times New Roman" w:cs="Times New Roman"/>
                <w:b w:val="0"/>
                <w:sz w:val="24"/>
                <w:szCs w:val="24"/>
                <w:lang w:val="en-US"/>
              </w:rPr>
              <w:t>Diffusion-weighted</w:t>
            </w:r>
          </w:p>
        </w:tc>
        <w:tc>
          <w:tcPr>
            <w:tcW w:w="0" w:type="auto"/>
            <w:tcBorders>
              <w:top w:val="single" w:sz="4" w:space="0" w:color="auto"/>
              <w:bottom w:val="nil"/>
            </w:tcBorders>
            <w:shd w:val="clear" w:color="auto" w:fill="auto"/>
            <w:vAlign w:val="center"/>
          </w:tcPr>
          <w:p w14:paraId="4B66154C" w14:textId="19BEF724"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072</w:t>
            </w:r>
          </w:p>
        </w:tc>
        <w:tc>
          <w:tcPr>
            <w:tcW w:w="0" w:type="auto"/>
            <w:tcBorders>
              <w:top w:val="single" w:sz="4" w:space="0" w:color="auto"/>
              <w:bottom w:val="nil"/>
            </w:tcBorders>
            <w:shd w:val="clear" w:color="auto" w:fill="auto"/>
          </w:tcPr>
          <w:p w14:paraId="264BDDDA" w14:textId="1E308D82"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121</w:t>
            </w:r>
          </w:p>
        </w:tc>
        <w:tc>
          <w:tcPr>
            <w:tcW w:w="0" w:type="auto"/>
            <w:tcBorders>
              <w:top w:val="single" w:sz="4" w:space="0" w:color="auto"/>
              <w:bottom w:val="nil"/>
            </w:tcBorders>
            <w:shd w:val="clear" w:color="auto" w:fill="auto"/>
          </w:tcPr>
          <w:p w14:paraId="478AB47C" w14:textId="7E42BAC5"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755</w:t>
            </w:r>
          </w:p>
        </w:tc>
      </w:tr>
      <w:tr w:rsidR="004A0C8C" w:rsidRPr="005F2348" w14:paraId="2217EC59" w14:textId="77777777" w:rsidTr="000A27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7DD8EA38"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T2</w:t>
            </w:r>
          </w:p>
        </w:tc>
        <w:tc>
          <w:tcPr>
            <w:tcW w:w="0" w:type="auto"/>
            <w:tcBorders>
              <w:top w:val="nil"/>
              <w:bottom w:val="nil"/>
            </w:tcBorders>
            <w:shd w:val="clear" w:color="auto" w:fill="auto"/>
            <w:vAlign w:val="center"/>
          </w:tcPr>
          <w:p w14:paraId="059E74A3" w14:textId="76EAFCE5"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161</w:t>
            </w:r>
          </w:p>
        </w:tc>
        <w:tc>
          <w:tcPr>
            <w:tcW w:w="0" w:type="auto"/>
            <w:tcBorders>
              <w:top w:val="nil"/>
              <w:bottom w:val="nil"/>
            </w:tcBorders>
            <w:shd w:val="clear" w:color="auto" w:fill="auto"/>
          </w:tcPr>
          <w:p w14:paraId="2AED424B" w14:textId="61624C0D"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328</w:t>
            </w:r>
          </w:p>
        </w:tc>
        <w:tc>
          <w:tcPr>
            <w:tcW w:w="0" w:type="auto"/>
            <w:tcBorders>
              <w:top w:val="nil"/>
              <w:bottom w:val="nil"/>
            </w:tcBorders>
            <w:shd w:val="clear" w:color="auto" w:fill="auto"/>
          </w:tcPr>
          <w:p w14:paraId="6B15101C" w14:textId="62F695BA" w:rsidR="004A0C8C" w:rsidRPr="005F2348" w:rsidRDefault="004A0C8C"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505</w:t>
            </w:r>
          </w:p>
        </w:tc>
      </w:tr>
      <w:tr w:rsidR="004A0C8C" w:rsidRPr="005F2348" w14:paraId="6DC4A8C1" w14:textId="77777777" w:rsidTr="000A27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0AD2D4A6" w14:textId="77777777" w:rsidR="004A0C8C" w:rsidRPr="005F2348" w:rsidRDefault="004A0C8C" w:rsidP="005F2348">
            <w:pPr>
              <w:autoSpaceDE w:val="0"/>
              <w:autoSpaceDN w:val="0"/>
              <w:adjustRightInd w:val="0"/>
              <w:snapToGrid w:val="0"/>
              <w:ind w:left="170"/>
              <w:rPr>
                <w:rFonts w:ascii="Times New Roman" w:hAnsi="Times New Roman" w:cs="Times New Roman"/>
                <w:b w:val="0"/>
                <w:sz w:val="24"/>
                <w:szCs w:val="24"/>
              </w:rPr>
            </w:pPr>
            <w:r w:rsidRPr="005F2348">
              <w:rPr>
                <w:rFonts w:ascii="Times New Roman" w:hAnsi="Times New Roman" w:cs="Times New Roman"/>
                <w:b w:val="0"/>
                <w:sz w:val="24"/>
                <w:szCs w:val="24"/>
              </w:rPr>
              <w:t xml:space="preserve">T1 + </w:t>
            </w:r>
            <w:r w:rsidRPr="005F2348">
              <w:rPr>
                <w:rFonts w:ascii="Times New Roman" w:hAnsi="Times New Roman" w:cs="Times New Roman"/>
                <w:b w:val="0"/>
                <w:color w:val="auto"/>
                <w:sz w:val="24"/>
                <w:szCs w:val="24"/>
                <w:lang w:val="en-US"/>
              </w:rPr>
              <w:t>gadolinium</w:t>
            </w:r>
          </w:p>
        </w:tc>
        <w:tc>
          <w:tcPr>
            <w:tcW w:w="0" w:type="auto"/>
            <w:tcBorders>
              <w:top w:val="nil"/>
              <w:bottom w:val="single" w:sz="4" w:space="0" w:color="auto"/>
            </w:tcBorders>
            <w:shd w:val="clear" w:color="auto" w:fill="auto"/>
            <w:vAlign w:val="center"/>
          </w:tcPr>
          <w:p w14:paraId="55348E43" w14:textId="70780E9D"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138</w:t>
            </w:r>
          </w:p>
        </w:tc>
        <w:tc>
          <w:tcPr>
            <w:tcW w:w="0" w:type="auto"/>
            <w:tcBorders>
              <w:top w:val="nil"/>
              <w:bottom w:val="single" w:sz="4" w:space="0" w:color="auto"/>
            </w:tcBorders>
            <w:shd w:val="clear" w:color="auto" w:fill="auto"/>
          </w:tcPr>
          <w:p w14:paraId="5C4295C0" w14:textId="444632C5"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250</w:t>
            </w:r>
          </w:p>
        </w:tc>
        <w:tc>
          <w:tcPr>
            <w:tcW w:w="0" w:type="auto"/>
            <w:tcBorders>
              <w:top w:val="nil"/>
              <w:bottom w:val="single" w:sz="4" w:space="0" w:color="auto"/>
            </w:tcBorders>
            <w:shd w:val="clear" w:color="auto" w:fill="auto"/>
          </w:tcPr>
          <w:p w14:paraId="0177D8CC" w14:textId="7E68DA8C" w:rsidR="004A0C8C" w:rsidRPr="005F2348" w:rsidRDefault="004A0C8C"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0</w:t>
            </w:r>
            <w:r w:rsidR="00C82E18" w:rsidRPr="005F2348">
              <w:rPr>
                <w:rFonts w:ascii="Times New Roman" w:hAnsi="Times New Roman" w:cs="Times New Roman"/>
                <w:sz w:val="24"/>
                <w:szCs w:val="24"/>
              </w:rPr>
              <w:t>.</w:t>
            </w:r>
            <w:r w:rsidRPr="005F2348">
              <w:rPr>
                <w:rFonts w:ascii="Times New Roman" w:hAnsi="Times New Roman" w:cs="Times New Roman"/>
                <w:sz w:val="24"/>
                <w:szCs w:val="24"/>
              </w:rPr>
              <w:t>571</w:t>
            </w:r>
          </w:p>
        </w:tc>
      </w:tr>
    </w:tbl>
    <w:p w14:paraId="4689381B" w14:textId="77777777" w:rsidR="004A0C8C" w:rsidRPr="005F2348" w:rsidRDefault="004A0C8C" w:rsidP="005F2348">
      <w:pPr>
        <w:spacing w:line="240" w:lineRule="auto"/>
        <w:rPr>
          <w:rFonts w:ascii="Times New Roman" w:hAnsi="Times New Roman" w:cs="Times New Roman"/>
          <w:b/>
          <w:sz w:val="24"/>
          <w:szCs w:val="24"/>
          <w:lang w:val="en-US"/>
        </w:rPr>
      </w:pPr>
    </w:p>
    <w:p w14:paraId="193A4FC8" w14:textId="6DC60315" w:rsidR="002C43B1" w:rsidRPr="005F2348" w:rsidRDefault="0008340F" w:rsidP="005F2348">
      <w:pPr>
        <w:spacing w:line="240" w:lineRule="auto"/>
        <w:jc w:val="both"/>
        <w:rPr>
          <w:rFonts w:ascii="Times New Roman" w:hAnsi="Times New Roman" w:cs="Times New Roman"/>
          <w:sz w:val="24"/>
          <w:szCs w:val="24"/>
          <w:lang w:val="en-US"/>
        </w:rPr>
      </w:pPr>
      <w:r w:rsidRPr="005F2348">
        <w:rPr>
          <w:rFonts w:ascii="Times New Roman" w:hAnsi="Times New Roman" w:cs="Times New Roman"/>
          <w:b/>
          <w:sz w:val="24"/>
          <w:szCs w:val="24"/>
          <w:lang w:val="en-US"/>
        </w:rPr>
        <w:t>Supplementary t</w:t>
      </w:r>
      <w:r w:rsidR="007A5A2F" w:rsidRPr="005F2348">
        <w:rPr>
          <w:rFonts w:ascii="Times New Roman" w:hAnsi="Times New Roman" w:cs="Times New Roman"/>
          <w:b/>
          <w:sz w:val="24"/>
          <w:szCs w:val="24"/>
          <w:lang w:val="en-US"/>
        </w:rPr>
        <w:t xml:space="preserve">able </w:t>
      </w:r>
      <w:r w:rsidR="00107F14">
        <w:rPr>
          <w:rFonts w:ascii="Times New Roman" w:hAnsi="Times New Roman" w:cs="Times New Roman"/>
          <w:b/>
          <w:sz w:val="24"/>
          <w:szCs w:val="24"/>
          <w:lang w:val="en-US"/>
        </w:rPr>
        <w:t>6</w:t>
      </w:r>
      <w:r w:rsidR="002C43B1" w:rsidRPr="005F2348">
        <w:rPr>
          <w:rFonts w:ascii="Times New Roman" w:hAnsi="Times New Roman" w:cs="Times New Roman"/>
          <w:b/>
          <w:sz w:val="24"/>
          <w:szCs w:val="24"/>
          <w:lang w:val="en-US"/>
        </w:rPr>
        <w:t xml:space="preserve">: Retrospective </w:t>
      </w:r>
      <w:r w:rsidR="00122ABE" w:rsidRPr="005F2348">
        <w:rPr>
          <w:rFonts w:ascii="Times New Roman" w:hAnsi="Times New Roman" w:cs="Times New Roman"/>
          <w:b/>
          <w:sz w:val="24"/>
          <w:szCs w:val="24"/>
          <w:lang w:val="en-US"/>
        </w:rPr>
        <w:t>S</w:t>
      </w:r>
      <w:r w:rsidR="002C43B1" w:rsidRPr="005F2348">
        <w:rPr>
          <w:rFonts w:ascii="Times New Roman" w:hAnsi="Times New Roman" w:cs="Times New Roman"/>
          <w:b/>
          <w:sz w:val="24"/>
          <w:szCs w:val="24"/>
          <w:lang w:val="en-US"/>
        </w:rPr>
        <w:t>tu</w:t>
      </w:r>
      <w:r w:rsidR="00122ABE" w:rsidRPr="005F2348">
        <w:rPr>
          <w:rFonts w:ascii="Times New Roman" w:hAnsi="Times New Roman" w:cs="Times New Roman"/>
          <w:b/>
          <w:sz w:val="24"/>
          <w:szCs w:val="24"/>
          <w:lang w:val="en-US"/>
        </w:rPr>
        <w:t>dies Investigating Neoadjuvant R</w:t>
      </w:r>
      <w:r w:rsidR="002C43B1" w:rsidRPr="005F2348">
        <w:rPr>
          <w:rFonts w:ascii="Times New Roman" w:hAnsi="Times New Roman" w:cs="Times New Roman"/>
          <w:b/>
          <w:sz w:val="24"/>
          <w:szCs w:val="24"/>
          <w:lang w:val="en-US"/>
        </w:rPr>
        <w:t xml:space="preserve">adiotherapy </w:t>
      </w:r>
      <w:r w:rsidR="00122ABE" w:rsidRPr="005F2348">
        <w:rPr>
          <w:rFonts w:ascii="Times New Roman" w:hAnsi="Times New Roman" w:cs="Times New Roman"/>
          <w:b/>
          <w:sz w:val="24"/>
          <w:szCs w:val="24"/>
          <w:lang w:val="en-US"/>
        </w:rPr>
        <w:t>for Locally A</w:t>
      </w:r>
      <w:r w:rsidR="002C43B1" w:rsidRPr="005F2348">
        <w:rPr>
          <w:rFonts w:ascii="Times New Roman" w:hAnsi="Times New Roman" w:cs="Times New Roman"/>
          <w:b/>
          <w:sz w:val="24"/>
          <w:szCs w:val="24"/>
          <w:lang w:val="en-US"/>
        </w:rPr>
        <w:t xml:space="preserve">dvanced </w:t>
      </w:r>
      <w:r w:rsidR="00122ABE" w:rsidRPr="005F2348">
        <w:rPr>
          <w:rFonts w:ascii="Times New Roman" w:hAnsi="Times New Roman" w:cs="Times New Roman"/>
          <w:b/>
          <w:sz w:val="24"/>
          <w:szCs w:val="24"/>
          <w:lang w:val="en-US"/>
        </w:rPr>
        <w:t>Head and N</w:t>
      </w:r>
      <w:r w:rsidR="009703CA" w:rsidRPr="005F2348">
        <w:rPr>
          <w:rFonts w:ascii="Times New Roman" w:hAnsi="Times New Roman" w:cs="Times New Roman"/>
          <w:b/>
          <w:sz w:val="24"/>
          <w:szCs w:val="24"/>
          <w:lang w:val="en-US"/>
        </w:rPr>
        <w:t>eck</w:t>
      </w:r>
      <w:r w:rsidR="00122ABE" w:rsidRPr="005F2348">
        <w:rPr>
          <w:rFonts w:ascii="Times New Roman" w:hAnsi="Times New Roman" w:cs="Times New Roman"/>
          <w:b/>
          <w:sz w:val="24"/>
          <w:szCs w:val="24"/>
          <w:lang w:val="en-US"/>
        </w:rPr>
        <w:t xml:space="preserve"> C</w:t>
      </w:r>
      <w:r w:rsidR="002C43B1" w:rsidRPr="005F2348">
        <w:rPr>
          <w:rFonts w:ascii="Times New Roman" w:hAnsi="Times New Roman" w:cs="Times New Roman"/>
          <w:b/>
          <w:sz w:val="24"/>
          <w:szCs w:val="24"/>
          <w:lang w:val="en-US"/>
        </w:rPr>
        <w:t>ancer</w:t>
      </w:r>
      <w:r w:rsidR="005F2348" w:rsidRPr="005F2348">
        <w:rPr>
          <w:rFonts w:ascii="Times New Roman" w:hAnsi="Times New Roman" w:cs="Times New Roman"/>
          <w:b/>
          <w:sz w:val="24"/>
          <w:szCs w:val="24"/>
          <w:lang w:val="en-US"/>
        </w:rPr>
        <w:t>.</w:t>
      </w:r>
      <w:r w:rsidR="005F2348">
        <w:rPr>
          <w:rFonts w:ascii="Times New Roman" w:hAnsi="Times New Roman" w:cs="Times New Roman"/>
          <w:sz w:val="24"/>
          <w:szCs w:val="24"/>
          <w:lang w:val="en-US"/>
        </w:rPr>
        <w:t xml:space="preserve"> </w:t>
      </w:r>
      <w:r w:rsidR="005F2348" w:rsidRPr="005F2348">
        <w:rPr>
          <w:rFonts w:ascii="Times New Roman" w:hAnsi="Times New Roman" w:cs="Times New Roman"/>
          <w:sz w:val="24"/>
          <w:szCs w:val="24"/>
          <w:lang w:val="en-US"/>
        </w:rPr>
        <w:t xml:space="preserve">Abbreviations: N, Number of patients; CTX, Chemotherapy; S, Surgery; </w:t>
      </w:r>
      <w:proofErr w:type="spellStart"/>
      <w:r w:rsidR="005F2348" w:rsidRPr="005F2348">
        <w:rPr>
          <w:rFonts w:ascii="Times New Roman" w:hAnsi="Times New Roman" w:cs="Times New Roman"/>
          <w:sz w:val="24"/>
          <w:szCs w:val="24"/>
          <w:lang w:val="en-US"/>
        </w:rPr>
        <w:t>pCR</w:t>
      </w:r>
      <w:proofErr w:type="spellEnd"/>
      <w:r w:rsidR="005F2348" w:rsidRPr="005F2348">
        <w:rPr>
          <w:rFonts w:ascii="Times New Roman" w:hAnsi="Times New Roman" w:cs="Times New Roman"/>
          <w:sz w:val="24"/>
          <w:szCs w:val="24"/>
          <w:lang w:val="en-US"/>
        </w:rPr>
        <w:t xml:space="preserve">, Pathological complete response; MMC, Mitomycin C; 5FU, 5-fluorouracil; Cis, Cisplatin; Carbo, Carboplatin; OS, Overall survival; DFS, Disease-free survival; LCR, Local control rate; DSS, Disease-specific survival. </w:t>
      </w:r>
    </w:p>
    <w:tbl>
      <w:tblPr>
        <w:tblStyle w:val="LightShading"/>
        <w:tblW w:w="9973" w:type="dxa"/>
        <w:tblLook w:val="00A0" w:firstRow="1" w:lastRow="0" w:firstColumn="1" w:lastColumn="0" w:noHBand="0" w:noVBand="0"/>
      </w:tblPr>
      <w:tblGrid>
        <w:gridCol w:w="1526"/>
        <w:gridCol w:w="584"/>
        <w:gridCol w:w="754"/>
        <w:gridCol w:w="3340"/>
        <w:gridCol w:w="1275"/>
        <w:gridCol w:w="737"/>
        <w:gridCol w:w="1757"/>
      </w:tblGrid>
      <w:tr w:rsidR="002C43B1" w:rsidRPr="005F2348" w14:paraId="4DA709EF" w14:textId="77777777" w:rsidTr="002C43B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6D137BAD"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First author (year)</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1F7C9BC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N</w:t>
            </w:r>
          </w:p>
        </w:tc>
        <w:tc>
          <w:tcPr>
            <w:tcW w:w="754" w:type="dxa"/>
            <w:shd w:val="clear" w:color="auto" w:fill="auto"/>
            <w:hideMark/>
          </w:tcPr>
          <w:p w14:paraId="0A6FF0FE" w14:textId="77777777" w:rsidR="009415B4" w:rsidRPr="005F2348" w:rsidRDefault="002C43B1"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lang w:val="en-US"/>
              </w:rPr>
              <w:t>Dose (</w:t>
            </w:r>
            <w:proofErr w:type="spellStart"/>
            <w:r w:rsidRPr="005F2348">
              <w:rPr>
                <w:rFonts w:ascii="Times New Roman" w:hAnsi="Times New Roman" w:cs="Times New Roman"/>
                <w:sz w:val="24"/>
                <w:szCs w:val="24"/>
                <w:lang w:val="en-US"/>
              </w:rPr>
              <w:t>Gy</w:t>
            </w:r>
            <w:proofErr w:type="spellEnd"/>
            <w:r w:rsidRPr="005F2348">
              <w:rPr>
                <w:rFonts w:ascii="Times New Roman" w:hAnsi="Times New Roman" w:cs="Times New Roman"/>
                <w:sz w:val="24"/>
                <w:szCs w:val="24"/>
                <w:lang w:val="en-US"/>
              </w:rPr>
              <w:t>)</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037CE465" w14:textId="77777777" w:rsidR="009415B4"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rPr>
              <w:t>Concurrent</w:t>
            </w:r>
            <w:proofErr w:type="spellEnd"/>
            <w:r w:rsidRPr="005F2348">
              <w:rPr>
                <w:rFonts w:ascii="Times New Roman" w:hAnsi="Times New Roman" w:cs="Times New Roman"/>
                <w:sz w:val="24"/>
                <w:szCs w:val="24"/>
              </w:rPr>
              <w:t xml:space="preserve"> CTX</w:t>
            </w:r>
          </w:p>
        </w:tc>
        <w:tc>
          <w:tcPr>
            <w:tcW w:w="1275" w:type="dxa"/>
            <w:shd w:val="clear" w:color="auto" w:fill="auto"/>
            <w:hideMark/>
          </w:tcPr>
          <w:p w14:paraId="695298EE" w14:textId="77777777" w:rsidR="002C43B1" w:rsidRPr="005F2348" w:rsidRDefault="002C43B1"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Time to S</w:t>
            </w:r>
          </w:p>
          <w:p w14:paraId="20C1E30A" w14:textId="77777777" w:rsidR="009415B4" w:rsidRPr="005F2348" w:rsidRDefault="002C43B1"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lang w:val="en-US"/>
              </w:rPr>
              <w:t>(weeks)</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492FC4C8" w14:textId="77777777" w:rsidR="009415B4"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w:t>
            </w:r>
          </w:p>
        </w:tc>
        <w:tc>
          <w:tcPr>
            <w:tcW w:w="1757" w:type="dxa"/>
            <w:shd w:val="clear" w:color="auto" w:fill="auto"/>
            <w:hideMark/>
          </w:tcPr>
          <w:p w14:paraId="489D17CE" w14:textId="77777777" w:rsidR="009415B4" w:rsidRPr="005F2348" w:rsidRDefault="002C43B1"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Outcome</w:t>
            </w:r>
          </w:p>
        </w:tc>
      </w:tr>
      <w:tr w:rsidR="002C43B1" w:rsidRPr="005F2348" w14:paraId="24393C3D" w14:textId="77777777" w:rsidTr="002C43B1">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1C34F656" w14:textId="77777777" w:rsidR="009415B4"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rPr>
              <w:t>Dobrowsky</w:t>
            </w:r>
            <w:proofErr w:type="spellEnd"/>
            <w:r w:rsidRPr="005F2348">
              <w:rPr>
                <w:rFonts w:ascii="Times New Roman" w:hAnsi="Times New Roman" w:cs="Times New Roman"/>
                <w:sz w:val="24"/>
                <w:szCs w:val="24"/>
              </w:rPr>
              <w:t xml:space="preserve"> (1991)</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36DAF2EC"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70</w:t>
            </w:r>
          </w:p>
        </w:tc>
        <w:tc>
          <w:tcPr>
            <w:tcW w:w="754" w:type="dxa"/>
            <w:shd w:val="clear" w:color="auto" w:fill="auto"/>
            <w:hideMark/>
          </w:tcPr>
          <w:p w14:paraId="08A60BA0"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65189BF7"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MMC 15mg/m² d1</w:t>
            </w:r>
          </w:p>
          <w:p w14:paraId="7C243E53"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5FU 750mg/m² d1-5</w:t>
            </w:r>
          </w:p>
        </w:tc>
        <w:tc>
          <w:tcPr>
            <w:tcW w:w="1275" w:type="dxa"/>
            <w:shd w:val="clear" w:color="auto" w:fill="auto"/>
            <w:hideMark/>
          </w:tcPr>
          <w:p w14:paraId="1577F010"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3-5</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35415DAB"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49</w:t>
            </w:r>
          </w:p>
        </w:tc>
        <w:tc>
          <w:tcPr>
            <w:tcW w:w="1757" w:type="dxa"/>
            <w:shd w:val="clear" w:color="auto" w:fill="auto"/>
            <w:hideMark/>
          </w:tcPr>
          <w:p w14:paraId="27B34A61"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61%</w:t>
            </w:r>
          </w:p>
        </w:tc>
      </w:tr>
      <w:tr w:rsidR="002C43B1" w:rsidRPr="005F2348" w14:paraId="52E79550" w14:textId="77777777" w:rsidTr="002C43B1">
        <w:trPr>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42C8B133" w14:textId="77777777" w:rsidR="002C43B1"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lang w:val="en-US"/>
              </w:rPr>
              <w:t>Kirita</w:t>
            </w:r>
            <w:proofErr w:type="spellEnd"/>
          </w:p>
          <w:p w14:paraId="2842BE7B"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(1999)</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23923D1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48</w:t>
            </w:r>
          </w:p>
        </w:tc>
        <w:tc>
          <w:tcPr>
            <w:tcW w:w="754" w:type="dxa"/>
            <w:shd w:val="clear" w:color="auto" w:fill="auto"/>
            <w:hideMark/>
          </w:tcPr>
          <w:p w14:paraId="3C3D7A7C"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40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1D90C190" w14:textId="77777777" w:rsidR="009415B4" w:rsidRPr="005F2348" w:rsidRDefault="002C43B1" w:rsidP="005F2348">
            <w:pPr>
              <w:spacing w:after="200"/>
              <w:jc w:val="center"/>
              <w:rPr>
                <w:rFonts w:ascii="Times New Roman" w:hAnsi="Times New Roman" w:cs="Times New Roman"/>
                <w:sz w:val="24"/>
                <w:szCs w:val="24"/>
                <w:lang w:val="en-US"/>
              </w:rPr>
            </w:pPr>
            <w:r w:rsidRPr="005F2348">
              <w:rPr>
                <w:rFonts w:ascii="Times New Roman" w:hAnsi="Times New Roman" w:cs="Times New Roman"/>
                <w:bCs/>
                <w:sz w:val="24"/>
                <w:szCs w:val="24"/>
                <w:lang w:val="en-US"/>
              </w:rPr>
              <w:t>Cis 15mg/m² d1-3,22-24; Peplomycin 5mg d4-7, 25- 28</w:t>
            </w:r>
          </w:p>
        </w:tc>
        <w:tc>
          <w:tcPr>
            <w:tcW w:w="1275" w:type="dxa"/>
            <w:shd w:val="clear" w:color="auto" w:fill="auto"/>
            <w:hideMark/>
          </w:tcPr>
          <w:p w14:paraId="555E74F9"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2-6</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23BA4F1F"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50</w:t>
            </w:r>
          </w:p>
        </w:tc>
        <w:tc>
          <w:tcPr>
            <w:tcW w:w="1757" w:type="dxa"/>
            <w:shd w:val="clear" w:color="auto" w:fill="auto"/>
            <w:hideMark/>
          </w:tcPr>
          <w:p w14:paraId="3D7A29DC" w14:textId="77777777" w:rsidR="002C43B1"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81%</w:t>
            </w:r>
          </w:p>
          <w:p w14:paraId="12A4AF59"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DFS: 85%</w:t>
            </w:r>
          </w:p>
        </w:tc>
      </w:tr>
      <w:tr w:rsidR="002C43B1" w:rsidRPr="005F2348" w14:paraId="6D2C268A" w14:textId="77777777" w:rsidTr="002C43B1">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19580FCE"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Koelbl</w:t>
            </w:r>
          </w:p>
          <w:p w14:paraId="62632155"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(2001)</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1002AF5F"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88</w:t>
            </w:r>
          </w:p>
        </w:tc>
        <w:tc>
          <w:tcPr>
            <w:tcW w:w="754" w:type="dxa"/>
            <w:shd w:val="clear" w:color="auto" w:fill="auto"/>
            <w:hideMark/>
          </w:tcPr>
          <w:p w14:paraId="520E7BCB"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40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10B00200" w14:textId="77777777" w:rsidR="002C43B1" w:rsidRPr="00495C35" w:rsidRDefault="002C43B1" w:rsidP="005F2348">
            <w:pPr>
              <w:spacing w:after="200"/>
              <w:jc w:val="center"/>
              <w:rPr>
                <w:rFonts w:ascii="Times New Roman" w:hAnsi="Times New Roman" w:cs="Times New Roman"/>
                <w:sz w:val="24"/>
                <w:szCs w:val="24"/>
                <w:lang w:val="fr-FR"/>
              </w:rPr>
            </w:pPr>
            <w:r w:rsidRPr="00495C35">
              <w:rPr>
                <w:rFonts w:ascii="Times New Roman" w:hAnsi="Times New Roman" w:cs="Times New Roman"/>
                <w:bCs/>
                <w:sz w:val="24"/>
                <w:szCs w:val="24"/>
                <w:lang w:val="fr-FR"/>
              </w:rPr>
              <w:t>Cis 12.5-20mg/m² d1-5</w:t>
            </w:r>
          </w:p>
          <w:p w14:paraId="4B497904" w14:textId="77777777" w:rsidR="009415B4" w:rsidRPr="00495C35" w:rsidRDefault="002C43B1" w:rsidP="005F2348">
            <w:pPr>
              <w:spacing w:after="200"/>
              <w:jc w:val="center"/>
              <w:rPr>
                <w:rFonts w:ascii="Times New Roman" w:hAnsi="Times New Roman" w:cs="Times New Roman"/>
                <w:sz w:val="24"/>
                <w:szCs w:val="24"/>
                <w:lang w:val="fr-FR"/>
              </w:rPr>
            </w:pPr>
            <w:r w:rsidRPr="00495C35">
              <w:rPr>
                <w:rFonts w:ascii="Times New Roman" w:hAnsi="Times New Roman" w:cs="Times New Roman"/>
                <w:bCs/>
                <w:sz w:val="24"/>
                <w:szCs w:val="24"/>
                <w:lang w:val="fr-FR"/>
              </w:rPr>
              <w:t>Carbo 60mg/m² d1-5</w:t>
            </w:r>
          </w:p>
        </w:tc>
        <w:tc>
          <w:tcPr>
            <w:tcW w:w="1275" w:type="dxa"/>
            <w:shd w:val="clear" w:color="auto" w:fill="auto"/>
            <w:hideMark/>
          </w:tcPr>
          <w:p w14:paraId="5CB45F13"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3</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0EB046D4"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33</w:t>
            </w:r>
          </w:p>
        </w:tc>
        <w:tc>
          <w:tcPr>
            <w:tcW w:w="1757" w:type="dxa"/>
            <w:shd w:val="clear" w:color="auto" w:fill="auto"/>
            <w:hideMark/>
          </w:tcPr>
          <w:p w14:paraId="1B99EE36" w14:textId="77777777" w:rsidR="002C43B1"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63%</w:t>
            </w:r>
          </w:p>
          <w:p w14:paraId="7B54541F"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LCR: 79%</w:t>
            </w:r>
          </w:p>
        </w:tc>
      </w:tr>
      <w:tr w:rsidR="002C43B1" w:rsidRPr="005F2348" w14:paraId="5E4E9834" w14:textId="77777777" w:rsidTr="002C43B1">
        <w:trPr>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51CF70F2" w14:textId="77777777" w:rsidR="002C43B1"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lang w:val="en-US"/>
              </w:rPr>
              <w:t>Freier</w:t>
            </w:r>
            <w:proofErr w:type="spellEnd"/>
          </w:p>
          <w:p w14:paraId="1E2CD4A6"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(2008)</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38E6AAE3"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207</w:t>
            </w:r>
          </w:p>
        </w:tc>
        <w:tc>
          <w:tcPr>
            <w:tcW w:w="754" w:type="dxa"/>
            <w:shd w:val="clear" w:color="auto" w:fill="auto"/>
            <w:hideMark/>
          </w:tcPr>
          <w:p w14:paraId="0436A45B"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40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3F4BDB06"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Cis 12.5</w:t>
            </w:r>
            <w:r w:rsidRPr="005F2348">
              <w:rPr>
                <w:rFonts w:ascii="Times New Roman" w:hAnsi="Times New Roman" w:cs="Times New Roman"/>
                <w:bCs/>
                <w:sz w:val="24"/>
                <w:szCs w:val="24"/>
              </w:rPr>
              <w:t>mg/m²</w:t>
            </w:r>
            <w:r w:rsidRPr="005F2348">
              <w:rPr>
                <w:rFonts w:ascii="Times New Roman" w:hAnsi="Times New Roman" w:cs="Times New Roman"/>
                <w:bCs/>
                <w:sz w:val="24"/>
                <w:szCs w:val="24"/>
                <w:lang w:val="en-US"/>
              </w:rPr>
              <w:t xml:space="preserve"> d1-5</w:t>
            </w:r>
          </w:p>
        </w:tc>
        <w:tc>
          <w:tcPr>
            <w:tcW w:w="1275" w:type="dxa"/>
            <w:shd w:val="clear" w:color="auto" w:fill="auto"/>
            <w:hideMark/>
          </w:tcPr>
          <w:p w14:paraId="5C1E5636"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3-6</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12DE3813"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24</w:t>
            </w:r>
          </w:p>
        </w:tc>
        <w:tc>
          <w:tcPr>
            <w:tcW w:w="1757" w:type="dxa"/>
            <w:shd w:val="clear" w:color="auto" w:fill="auto"/>
            <w:hideMark/>
          </w:tcPr>
          <w:p w14:paraId="7219FE4D" w14:textId="77777777" w:rsidR="002C43B1"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50%</w:t>
            </w:r>
          </w:p>
          <w:p w14:paraId="6A3DC229"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DFS: 70%</w:t>
            </w:r>
          </w:p>
        </w:tc>
      </w:tr>
      <w:tr w:rsidR="002C43B1" w:rsidRPr="005F2348" w14:paraId="6B4E2A65" w14:textId="77777777" w:rsidTr="002C43B1">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0831DFA8" w14:textId="77777777" w:rsidR="002C43B1"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lang w:val="en-US"/>
              </w:rPr>
              <w:t>Eich</w:t>
            </w:r>
            <w:proofErr w:type="spellEnd"/>
          </w:p>
          <w:p w14:paraId="7C5DDE8F"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(2008)</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38300C6F"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134</w:t>
            </w:r>
          </w:p>
        </w:tc>
        <w:tc>
          <w:tcPr>
            <w:tcW w:w="754" w:type="dxa"/>
            <w:shd w:val="clear" w:color="auto" w:fill="auto"/>
            <w:hideMark/>
          </w:tcPr>
          <w:p w14:paraId="2659DB2A"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39.6</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60398FC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Carbo 70</w:t>
            </w:r>
            <w:r w:rsidRPr="005F2348">
              <w:rPr>
                <w:rFonts w:ascii="Times New Roman" w:hAnsi="Times New Roman" w:cs="Times New Roman"/>
                <w:bCs/>
                <w:sz w:val="24"/>
                <w:szCs w:val="24"/>
              </w:rPr>
              <w:t>mg/m²</w:t>
            </w:r>
            <w:r w:rsidRPr="005F2348">
              <w:rPr>
                <w:rFonts w:ascii="Times New Roman" w:hAnsi="Times New Roman" w:cs="Times New Roman"/>
                <w:bCs/>
                <w:sz w:val="24"/>
                <w:szCs w:val="24"/>
                <w:lang w:val="en-US"/>
              </w:rPr>
              <w:t xml:space="preserve"> d1-5</w:t>
            </w:r>
          </w:p>
        </w:tc>
        <w:tc>
          <w:tcPr>
            <w:tcW w:w="1275" w:type="dxa"/>
            <w:shd w:val="clear" w:color="auto" w:fill="auto"/>
            <w:hideMark/>
          </w:tcPr>
          <w:p w14:paraId="1B4CD37B"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2-4</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6D59CC87"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14</w:t>
            </w:r>
          </w:p>
        </w:tc>
        <w:tc>
          <w:tcPr>
            <w:tcW w:w="1757" w:type="dxa"/>
            <w:shd w:val="clear" w:color="auto" w:fill="auto"/>
            <w:hideMark/>
          </w:tcPr>
          <w:p w14:paraId="290855C0" w14:textId="77777777" w:rsidR="002C43B1"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45%</w:t>
            </w:r>
          </w:p>
          <w:p w14:paraId="3FCE6038"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DFS: 59%</w:t>
            </w:r>
          </w:p>
        </w:tc>
      </w:tr>
      <w:tr w:rsidR="002C43B1" w:rsidRPr="005F2348" w14:paraId="7B76D81D" w14:textId="77777777" w:rsidTr="002C43B1">
        <w:trPr>
          <w:trHeight w:val="413"/>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30BD4DAB" w14:textId="77777777" w:rsidR="002C43B1" w:rsidRPr="005F2348" w:rsidRDefault="002C43B1"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rPr>
              <w:t>Driemel</w:t>
            </w:r>
            <w:proofErr w:type="spellEnd"/>
          </w:p>
          <w:p w14:paraId="69595F07"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(2009)</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249F7B7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228</w:t>
            </w:r>
          </w:p>
        </w:tc>
        <w:tc>
          <w:tcPr>
            <w:tcW w:w="754" w:type="dxa"/>
            <w:shd w:val="clear" w:color="auto" w:fill="auto"/>
            <w:hideMark/>
          </w:tcPr>
          <w:p w14:paraId="154F671C"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40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22335479"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Cis 20mg/m² d1-5</w:t>
            </w:r>
          </w:p>
        </w:tc>
        <w:tc>
          <w:tcPr>
            <w:tcW w:w="1275" w:type="dxa"/>
            <w:shd w:val="clear" w:color="auto" w:fill="auto"/>
            <w:hideMark/>
          </w:tcPr>
          <w:p w14:paraId="263C5B62"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lang w:val="en-US"/>
              </w:rPr>
              <w:t>1-2</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748A85A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22</w:t>
            </w:r>
          </w:p>
        </w:tc>
        <w:tc>
          <w:tcPr>
            <w:tcW w:w="1757" w:type="dxa"/>
            <w:shd w:val="clear" w:color="auto" w:fill="auto"/>
            <w:hideMark/>
          </w:tcPr>
          <w:p w14:paraId="01357930"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DSS: 76%</w:t>
            </w:r>
          </w:p>
        </w:tc>
      </w:tr>
      <w:tr w:rsidR="002C43B1" w:rsidRPr="005F2348" w14:paraId="60F6122C" w14:textId="77777777" w:rsidTr="002C43B1">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194DBACA"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lastRenderedPageBreak/>
              <w:t>Klug</w:t>
            </w:r>
          </w:p>
          <w:p w14:paraId="560385C3"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(2009)</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602F7463"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276</w:t>
            </w:r>
          </w:p>
        </w:tc>
        <w:tc>
          <w:tcPr>
            <w:tcW w:w="754" w:type="dxa"/>
            <w:shd w:val="clear" w:color="auto" w:fill="auto"/>
            <w:hideMark/>
          </w:tcPr>
          <w:p w14:paraId="1790DF0C"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2BC9841C"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MMC 15mg/m² d1</w:t>
            </w:r>
          </w:p>
          <w:p w14:paraId="6CDDFB37"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5FU 750mg/m² d1-5</w:t>
            </w:r>
          </w:p>
        </w:tc>
        <w:tc>
          <w:tcPr>
            <w:tcW w:w="1275" w:type="dxa"/>
            <w:shd w:val="clear" w:color="auto" w:fill="auto"/>
            <w:hideMark/>
          </w:tcPr>
          <w:p w14:paraId="1AFB4D0B"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4-6</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35C74D61"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43</w:t>
            </w:r>
          </w:p>
        </w:tc>
        <w:tc>
          <w:tcPr>
            <w:tcW w:w="1757" w:type="dxa"/>
            <w:shd w:val="clear" w:color="auto" w:fill="auto"/>
            <w:hideMark/>
          </w:tcPr>
          <w:p w14:paraId="39F0466C" w14:textId="77777777" w:rsidR="002C43B1"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54%</w:t>
            </w:r>
          </w:p>
          <w:p w14:paraId="51CA8250"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LCR: 70%</w:t>
            </w:r>
          </w:p>
        </w:tc>
      </w:tr>
      <w:tr w:rsidR="002C43B1" w:rsidRPr="005F2348" w14:paraId="5B5FA1C1" w14:textId="77777777" w:rsidTr="002C43B1">
        <w:trPr>
          <w:trHeight w:val="413"/>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5B241D64"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Mücke</w:t>
            </w:r>
          </w:p>
          <w:p w14:paraId="13886564"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(2011)</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72A65B8E"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407</w:t>
            </w:r>
          </w:p>
        </w:tc>
        <w:tc>
          <w:tcPr>
            <w:tcW w:w="754" w:type="dxa"/>
            <w:shd w:val="clear" w:color="auto" w:fill="auto"/>
            <w:hideMark/>
          </w:tcPr>
          <w:p w14:paraId="7313598F"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20</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485FB045"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Cis 12.5</w:t>
            </w:r>
            <w:r w:rsidRPr="005F2348">
              <w:rPr>
                <w:rFonts w:ascii="Times New Roman" w:hAnsi="Times New Roman" w:cs="Times New Roman"/>
                <w:bCs/>
                <w:sz w:val="24"/>
                <w:szCs w:val="24"/>
              </w:rPr>
              <w:t>mg/m²</w:t>
            </w:r>
            <w:r w:rsidRPr="005F2348">
              <w:rPr>
                <w:rFonts w:ascii="Times New Roman" w:hAnsi="Times New Roman" w:cs="Times New Roman"/>
                <w:bCs/>
                <w:sz w:val="24"/>
                <w:szCs w:val="24"/>
                <w:lang w:val="en-US"/>
              </w:rPr>
              <w:t xml:space="preserve"> d1-5</w:t>
            </w:r>
          </w:p>
        </w:tc>
        <w:tc>
          <w:tcPr>
            <w:tcW w:w="1275" w:type="dxa"/>
            <w:shd w:val="clear" w:color="auto" w:fill="auto"/>
            <w:hideMark/>
          </w:tcPr>
          <w:p w14:paraId="19FA2182"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3-6</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2BE434EC"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0</w:t>
            </w:r>
          </w:p>
        </w:tc>
        <w:tc>
          <w:tcPr>
            <w:tcW w:w="1757" w:type="dxa"/>
            <w:shd w:val="clear" w:color="auto" w:fill="auto"/>
            <w:hideMark/>
          </w:tcPr>
          <w:p w14:paraId="6CCEFA27" w14:textId="77777777" w:rsidR="009415B4" w:rsidRPr="005F2348" w:rsidRDefault="002C43B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69%</w:t>
            </w:r>
          </w:p>
        </w:tc>
      </w:tr>
      <w:tr w:rsidR="002C43B1" w:rsidRPr="005F2348" w14:paraId="33BE92B3" w14:textId="77777777" w:rsidTr="002C43B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hideMark/>
          </w:tcPr>
          <w:p w14:paraId="7ECD3F0D" w14:textId="77777777" w:rsidR="002C43B1"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Kreppel</w:t>
            </w:r>
          </w:p>
          <w:p w14:paraId="22F8E30A"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(2013)</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412AC04A"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139</w:t>
            </w:r>
          </w:p>
        </w:tc>
        <w:tc>
          <w:tcPr>
            <w:tcW w:w="754" w:type="dxa"/>
            <w:shd w:val="clear" w:color="auto" w:fill="auto"/>
            <w:hideMark/>
          </w:tcPr>
          <w:p w14:paraId="201F9F91"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39.6</w:t>
            </w:r>
          </w:p>
        </w:tc>
        <w:tc>
          <w:tcPr>
            <w:cnfStyle w:val="000010000000" w:firstRow="0" w:lastRow="0" w:firstColumn="0" w:lastColumn="0" w:oddVBand="1" w:evenVBand="0" w:oddHBand="0" w:evenHBand="0" w:firstRowFirstColumn="0" w:firstRowLastColumn="0" w:lastRowFirstColumn="0" w:lastRowLastColumn="0"/>
            <w:tcW w:w="3340" w:type="dxa"/>
            <w:shd w:val="clear" w:color="auto" w:fill="auto"/>
            <w:hideMark/>
          </w:tcPr>
          <w:p w14:paraId="7839387E"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lang w:val="en-US"/>
              </w:rPr>
              <w:t>Carbo 60</w:t>
            </w:r>
            <w:r w:rsidRPr="005F2348">
              <w:rPr>
                <w:rFonts w:ascii="Times New Roman" w:hAnsi="Times New Roman" w:cs="Times New Roman"/>
                <w:bCs/>
                <w:sz w:val="24"/>
                <w:szCs w:val="24"/>
              </w:rPr>
              <w:t>mg/m²</w:t>
            </w:r>
            <w:r w:rsidRPr="005F2348">
              <w:rPr>
                <w:rFonts w:ascii="Times New Roman" w:hAnsi="Times New Roman" w:cs="Times New Roman"/>
                <w:bCs/>
                <w:sz w:val="24"/>
                <w:szCs w:val="24"/>
                <w:lang w:val="en-US"/>
              </w:rPr>
              <w:t xml:space="preserve"> d1-5</w:t>
            </w:r>
          </w:p>
        </w:tc>
        <w:tc>
          <w:tcPr>
            <w:tcW w:w="1275" w:type="dxa"/>
            <w:shd w:val="clear" w:color="auto" w:fill="auto"/>
            <w:hideMark/>
          </w:tcPr>
          <w:p w14:paraId="46392A2A"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NA</w:t>
            </w:r>
          </w:p>
        </w:tc>
        <w:tc>
          <w:tcPr>
            <w:cnfStyle w:val="000010000000" w:firstRow="0" w:lastRow="0" w:firstColumn="0" w:lastColumn="0" w:oddVBand="1" w:evenVBand="0" w:oddHBand="0" w:evenHBand="0" w:firstRowFirstColumn="0" w:firstRowLastColumn="0" w:lastRowFirstColumn="0" w:lastRowLastColumn="0"/>
            <w:tcW w:w="737" w:type="dxa"/>
            <w:shd w:val="clear" w:color="auto" w:fill="auto"/>
            <w:hideMark/>
          </w:tcPr>
          <w:p w14:paraId="1A1378C8" w14:textId="77777777" w:rsidR="009415B4" w:rsidRPr="005F2348" w:rsidRDefault="002C43B1" w:rsidP="005F2348">
            <w:pPr>
              <w:spacing w:after="200"/>
              <w:jc w:val="center"/>
              <w:rPr>
                <w:rFonts w:ascii="Times New Roman" w:hAnsi="Times New Roman" w:cs="Times New Roman"/>
                <w:sz w:val="24"/>
                <w:szCs w:val="24"/>
              </w:rPr>
            </w:pPr>
            <w:r w:rsidRPr="005F2348">
              <w:rPr>
                <w:rFonts w:ascii="Times New Roman" w:hAnsi="Times New Roman" w:cs="Times New Roman"/>
                <w:bCs/>
                <w:sz w:val="24"/>
                <w:szCs w:val="24"/>
              </w:rPr>
              <w:t>15</w:t>
            </w:r>
          </w:p>
        </w:tc>
        <w:tc>
          <w:tcPr>
            <w:tcW w:w="1757" w:type="dxa"/>
            <w:shd w:val="clear" w:color="auto" w:fill="auto"/>
            <w:hideMark/>
          </w:tcPr>
          <w:p w14:paraId="780D5D3B" w14:textId="77777777" w:rsidR="009415B4" w:rsidRPr="005F2348" w:rsidRDefault="002C43B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bCs/>
                <w:sz w:val="24"/>
                <w:szCs w:val="24"/>
              </w:rPr>
              <w:t>5yrs OS: 45%</w:t>
            </w:r>
          </w:p>
        </w:tc>
      </w:tr>
    </w:tbl>
    <w:p w14:paraId="1C8FF410" w14:textId="3676D318" w:rsidR="009703CA" w:rsidRPr="005F2348" w:rsidRDefault="009703CA" w:rsidP="005F2348">
      <w:pPr>
        <w:spacing w:line="240" w:lineRule="auto"/>
        <w:rPr>
          <w:rFonts w:ascii="Times New Roman" w:hAnsi="Times New Roman" w:cs="Times New Roman"/>
          <w:sz w:val="24"/>
          <w:szCs w:val="24"/>
          <w:lang w:val="en-US"/>
        </w:rPr>
      </w:pPr>
    </w:p>
    <w:p w14:paraId="078D04CE" w14:textId="77777777" w:rsidR="0003114B" w:rsidRPr="005F2348" w:rsidRDefault="0003114B" w:rsidP="005F2348">
      <w:pPr>
        <w:spacing w:line="240" w:lineRule="auto"/>
        <w:rPr>
          <w:rFonts w:ascii="Times New Roman" w:hAnsi="Times New Roman" w:cs="Times New Roman"/>
          <w:b/>
          <w:sz w:val="24"/>
          <w:szCs w:val="24"/>
          <w:lang w:val="en-US"/>
        </w:rPr>
      </w:pPr>
    </w:p>
    <w:p w14:paraId="5992DAF5" w14:textId="60711EC9" w:rsidR="009703CA" w:rsidRPr="005F2348" w:rsidRDefault="004A0C8C" w:rsidP="005F2348">
      <w:pPr>
        <w:spacing w:line="240" w:lineRule="auto"/>
        <w:jc w:val="both"/>
        <w:rPr>
          <w:rFonts w:ascii="Times New Roman" w:hAnsi="Times New Roman" w:cs="Times New Roman"/>
          <w:sz w:val="24"/>
          <w:szCs w:val="24"/>
          <w:lang w:val="en-US"/>
        </w:rPr>
      </w:pPr>
      <w:r w:rsidRPr="005F2348">
        <w:rPr>
          <w:rFonts w:ascii="Times New Roman" w:hAnsi="Times New Roman" w:cs="Times New Roman"/>
          <w:b/>
          <w:sz w:val="24"/>
          <w:szCs w:val="24"/>
          <w:lang w:val="en-US"/>
        </w:rPr>
        <w:t xml:space="preserve">Supplementary table </w:t>
      </w:r>
      <w:r w:rsidR="00107F14">
        <w:rPr>
          <w:rFonts w:ascii="Times New Roman" w:hAnsi="Times New Roman" w:cs="Times New Roman"/>
          <w:b/>
          <w:sz w:val="24"/>
          <w:szCs w:val="24"/>
          <w:lang w:val="en-US"/>
        </w:rPr>
        <w:t>7</w:t>
      </w:r>
      <w:r w:rsidR="009703CA" w:rsidRPr="005F2348">
        <w:rPr>
          <w:rFonts w:ascii="Times New Roman" w:hAnsi="Times New Roman" w:cs="Times New Roman"/>
          <w:b/>
          <w:sz w:val="24"/>
          <w:szCs w:val="24"/>
          <w:lang w:val="en-US"/>
        </w:rPr>
        <w:t xml:space="preserve">: Prospective </w:t>
      </w:r>
      <w:r w:rsidR="00122ABE" w:rsidRPr="005F2348">
        <w:rPr>
          <w:rFonts w:ascii="Times New Roman" w:hAnsi="Times New Roman" w:cs="Times New Roman"/>
          <w:b/>
          <w:sz w:val="24"/>
          <w:szCs w:val="24"/>
          <w:lang w:val="en-US"/>
        </w:rPr>
        <w:t>Studies Investigating Neoadjuvant Radiotherapy for Locally Advanced Head and Neck Cancer</w:t>
      </w:r>
      <w:r w:rsidR="005F2348" w:rsidRPr="005F2348">
        <w:rPr>
          <w:rFonts w:ascii="Times New Roman" w:hAnsi="Times New Roman" w:cs="Times New Roman"/>
          <w:b/>
          <w:sz w:val="24"/>
          <w:szCs w:val="24"/>
          <w:lang w:val="en-US"/>
        </w:rPr>
        <w:t>.</w:t>
      </w:r>
      <w:r w:rsidR="005F2348">
        <w:rPr>
          <w:rFonts w:ascii="Times New Roman" w:hAnsi="Times New Roman" w:cs="Times New Roman"/>
          <w:sz w:val="24"/>
          <w:szCs w:val="24"/>
          <w:lang w:val="en-US"/>
        </w:rPr>
        <w:t xml:space="preserve"> </w:t>
      </w:r>
      <w:r w:rsidR="005F2348" w:rsidRPr="005F2348">
        <w:rPr>
          <w:rFonts w:ascii="Times New Roman" w:hAnsi="Times New Roman" w:cs="Times New Roman"/>
          <w:sz w:val="24"/>
          <w:szCs w:val="24"/>
          <w:lang w:val="en-US"/>
        </w:rPr>
        <w:t xml:space="preserve">Abbreviations: N, Number of patients; RCT, Randomized controlled trial; NRT, Non-randomized trial; SA, Single-arm trial; OCC, Oral cavity cancer; CRT, Chemoradiotherapy; RT, Radiotherapy; CTX, Chemotherapy; S, Surgery; </w:t>
      </w:r>
      <w:proofErr w:type="spellStart"/>
      <w:r w:rsidR="005F2348" w:rsidRPr="005F2348">
        <w:rPr>
          <w:rFonts w:ascii="Times New Roman" w:hAnsi="Times New Roman" w:cs="Times New Roman"/>
          <w:sz w:val="24"/>
          <w:szCs w:val="24"/>
          <w:lang w:val="en-US"/>
        </w:rPr>
        <w:t>pCR</w:t>
      </w:r>
      <w:proofErr w:type="spellEnd"/>
      <w:r w:rsidR="005F2348" w:rsidRPr="005F2348">
        <w:rPr>
          <w:rFonts w:ascii="Times New Roman" w:hAnsi="Times New Roman" w:cs="Times New Roman"/>
          <w:sz w:val="24"/>
          <w:szCs w:val="24"/>
          <w:lang w:val="en-US"/>
        </w:rPr>
        <w:t xml:space="preserve">, Pathological complete response; </w:t>
      </w:r>
      <w:proofErr w:type="spellStart"/>
      <w:r w:rsidR="005F2348" w:rsidRPr="005F2348">
        <w:rPr>
          <w:rFonts w:ascii="Times New Roman" w:hAnsi="Times New Roman" w:cs="Times New Roman"/>
          <w:sz w:val="24"/>
          <w:szCs w:val="24"/>
          <w:lang w:val="en-US"/>
        </w:rPr>
        <w:t>cCR</w:t>
      </w:r>
      <w:proofErr w:type="spellEnd"/>
      <w:r w:rsidR="005F2348" w:rsidRPr="005F2348">
        <w:rPr>
          <w:rFonts w:ascii="Times New Roman" w:hAnsi="Times New Roman" w:cs="Times New Roman"/>
          <w:sz w:val="24"/>
          <w:szCs w:val="24"/>
          <w:lang w:val="en-US"/>
        </w:rPr>
        <w:t xml:space="preserve">, Clinical complete response; T, Primary tumor; 5FU, 5-fluorouracil; Cis, Cisplatin; Carbo, Carboplatin; S-1, Tegafur + prodrug of 5-fluorouracil + 5-Chloro-2-4-Dihydroxypyridine; OS, Overall survival; DFS, Disease-free survival; LCR, Local control rate; LRR, Local recurrence rate; DSS, Disease-specific survival; Mo, Months; </w:t>
      </w:r>
      <w:proofErr w:type="spellStart"/>
      <w:r w:rsidR="005F2348" w:rsidRPr="005F2348">
        <w:rPr>
          <w:rFonts w:ascii="Times New Roman" w:hAnsi="Times New Roman" w:cs="Times New Roman"/>
          <w:sz w:val="24"/>
          <w:szCs w:val="24"/>
          <w:lang w:val="en-US"/>
        </w:rPr>
        <w:t>mFU</w:t>
      </w:r>
      <w:proofErr w:type="spellEnd"/>
      <w:r w:rsidR="005F2348" w:rsidRPr="005F2348">
        <w:rPr>
          <w:rFonts w:ascii="Times New Roman" w:hAnsi="Times New Roman" w:cs="Times New Roman"/>
          <w:sz w:val="24"/>
          <w:szCs w:val="24"/>
          <w:lang w:val="en-US"/>
        </w:rPr>
        <w:t>, Median follow-up; NR, Not reported; ND, Neck dissection.</w:t>
      </w:r>
    </w:p>
    <w:tbl>
      <w:tblPr>
        <w:tblStyle w:val="LightShading"/>
        <w:tblW w:w="10092" w:type="dxa"/>
        <w:tblLook w:val="00A0" w:firstRow="1" w:lastRow="0" w:firstColumn="1" w:lastColumn="0" w:noHBand="0" w:noVBand="0"/>
      </w:tblPr>
      <w:tblGrid>
        <w:gridCol w:w="1329"/>
        <w:gridCol w:w="584"/>
        <w:gridCol w:w="1083"/>
        <w:gridCol w:w="3202"/>
        <w:gridCol w:w="1023"/>
        <w:gridCol w:w="1127"/>
        <w:gridCol w:w="1744"/>
      </w:tblGrid>
      <w:tr w:rsidR="00000833" w:rsidRPr="005F2348" w14:paraId="228627F3" w14:textId="77777777" w:rsidTr="0000083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hideMark/>
          </w:tcPr>
          <w:p w14:paraId="71E6DE57" w14:textId="77777777" w:rsidR="009703CA" w:rsidRPr="005F2348" w:rsidRDefault="009703CA"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First author (year)</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hideMark/>
          </w:tcPr>
          <w:p w14:paraId="40EC9AAE" w14:textId="77777777" w:rsidR="009703CA" w:rsidRPr="005F2348" w:rsidRDefault="009703CA"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lang w:val="en-US"/>
              </w:rPr>
              <w:t>N</w:t>
            </w:r>
          </w:p>
        </w:tc>
        <w:tc>
          <w:tcPr>
            <w:tcW w:w="1036" w:type="dxa"/>
            <w:shd w:val="clear" w:color="auto" w:fill="auto"/>
          </w:tcPr>
          <w:p w14:paraId="4FF6CE6A" w14:textId="77777777" w:rsidR="009703CA" w:rsidRPr="005F2348" w:rsidRDefault="009703CA" w:rsidP="005F2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Design</w:t>
            </w:r>
            <w:r w:rsidR="00F27697" w:rsidRPr="005F2348">
              <w:rPr>
                <w:rFonts w:ascii="Times New Roman" w:hAnsi="Times New Roman" w:cs="Times New Roman"/>
                <w:sz w:val="24"/>
                <w:szCs w:val="24"/>
              </w:rPr>
              <w:t>,</w:t>
            </w:r>
          </w:p>
          <w:p w14:paraId="4A59A41B" w14:textId="77777777" w:rsidR="00F27697" w:rsidRPr="005F2348" w:rsidRDefault="00000833" w:rsidP="005F23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 xml:space="preserve">Primary </w:t>
            </w:r>
            <w:proofErr w:type="spellStart"/>
            <w:r w:rsidRPr="005F2348">
              <w:rPr>
                <w:rFonts w:ascii="Times New Roman" w:hAnsi="Times New Roman" w:cs="Times New Roman"/>
                <w:sz w:val="24"/>
                <w:szCs w:val="24"/>
              </w:rPr>
              <w:t>tumor</w:t>
            </w:r>
            <w:proofErr w:type="spellEnd"/>
            <w:r w:rsidRPr="005F2348">
              <w:rPr>
                <w:rFonts w:ascii="Times New Roman" w:hAnsi="Times New Roman" w:cs="Times New Roman"/>
                <w:sz w:val="24"/>
                <w:szCs w:val="24"/>
              </w:rPr>
              <w:t xml:space="preserve"> </w:t>
            </w:r>
            <w:proofErr w:type="spellStart"/>
            <w:r w:rsidRPr="005F2348">
              <w:rPr>
                <w:rFonts w:ascii="Times New Roman" w:hAnsi="Times New Roman" w:cs="Times New Roman"/>
                <w:sz w:val="24"/>
                <w:szCs w:val="24"/>
              </w:rPr>
              <w:t>region</w:t>
            </w:r>
            <w:proofErr w:type="spellEnd"/>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hideMark/>
          </w:tcPr>
          <w:p w14:paraId="6BF9735A" w14:textId="77777777" w:rsidR="009703CA" w:rsidRPr="005F2348" w:rsidRDefault="009703CA"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Treatment</w:t>
            </w:r>
          </w:p>
        </w:tc>
        <w:tc>
          <w:tcPr>
            <w:tcW w:w="1024" w:type="dxa"/>
            <w:shd w:val="clear" w:color="auto" w:fill="auto"/>
            <w:hideMark/>
          </w:tcPr>
          <w:p w14:paraId="5BCB31D7" w14:textId="77777777" w:rsidR="009703CA" w:rsidRPr="005F2348" w:rsidRDefault="009703CA"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Time to S</w:t>
            </w:r>
          </w:p>
          <w:p w14:paraId="1D43DF8C" w14:textId="77777777" w:rsidR="009703CA" w:rsidRPr="005F2348" w:rsidRDefault="009703CA"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lang w:val="en-US"/>
              </w:rPr>
              <w:t>(weeks)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hideMark/>
          </w:tcPr>
          <w:p w14:paraId="4FE3BA8D" w14:textId="77777777" w:rsidR="009703CA" w:rsidRPr="005F2348" w:rsidRDefault="009703CA"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00F52E98" w:rsidRPr="005F2348">
              <w:rPr>
                <w:rFonts w:ascii="Times New Roman" w:hAnsi="Times New Roman" w:cs="Times New Roman"/>
                <w:sz w:val="24"/>
                <w:szCs w:val="24"/>
                <w:lang w:val="en-US"/>
              </w:rPr>
              <w:t xml:space="preserve"> / </w:t>
            </w:r>
            <w:proofErr w:type="spellStart"/>
            <w:r w:rsidR="00F52E98"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w:t>
            </w:r>
          </w:p>
        </w:tc>
        <w:tc>
          <w:tcPr>
            <w:tcW w:w="1754" w:type="dxa"/>
            <w:shd w:val="clear" w:color="auto" w:fill="auto"/>
            <w:hideMark/>
          </w:tcPr>
          <w:p w14:paraId="6E789201" w14:textId="77777777" w:rsidR="009703CA" w:rsidRPr="005F2348" w:rsidRDefault="009703CA" w:rsidP="005F234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Outcome</w:t>
            </w:r>
          </w:p>
        </w:tc>
      </w:tr>
      <w:tr w:rsidR="00000833" w:rsidRPr="00107F14" w14:paraId="5317EEAA" w14:textId="77777777" w:rsidTr="0000083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0FB76B39" w14:textId="77777777" w:rsidR="009703CA" w:rsidRPr="005F2348" w:rsidRDefault="009703CA" w:rsidP="005F2348">
            <w:pPr>
              <w:spacing w:after="200"/>
              <w:jc w:val="center"/>
              <w:rPr>
                <w:rFonts w:ascii="Times New Roman" w:hAnsi="Times New Roman" w:cs="Times New Roman"/>
                <w:sz w:val="24"/>
                <w:szCs w:val="24"/>
              </w:rPr>
            </w:pPr>
            <w:proofErr w:type="spellStart"/>
            <w:r w:rsidRPr="005F2348">
              <w:rPr>
                <w:rFonts w:ascii="Times New Roman" w:hAnsi="Times New Roman" w:cs="Times New Roman"/>
                <w:sz w:val="24"/>
                <w:szCs w:val="24"/>
              </w:rPr>
              <w:t>Tupchong</w:t>
            </w:r>
            <w:proofErr w:type="spellEnd"/>
          </w:p>
          <w:p w14:paraId="0A992A4C" w14:textId="77777777" w:rsidR="009703CA" w:rsidRPr="005F2348" w:rsidRDefault="009703CA"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(1991)</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30F86F1E" w14:textId="77777777" w:rsidR="009703CA" w:rsidRPr="005F2348" w:rsidRDefault="009703CA"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354</w:t>
            </w:r>
          </w:p>
        </w:tc>
        <w:tc>
          <w:tcPr>
            <w:tcW w:w="1036" w:type="dxa"/>
            <w:shd w:val="clear" w:color="auto" w:fill="auto"/>
          </w:tcPr>
          <w:p w14:paraId="45CB8CA4" w14:textId="77777777" w:rsidR="009703CA" w:rsidRPr="005F2348" w:rsidRDefault="009703CA"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RCT</w:t>
            </w:r>
            <w:r w:rsidR="00F27697" w:rsidRPr="005F2348">
              <w:rPr>
                <w:rFonts w:ascii="Times New Roman" w:hAnsi="Times New Roman" w:cs="Times New Roman"/>
                <w:sz w:val="24"/>
                <w:szCs w:val="24"/>
              </w:rPr>
              <w:t>,</w:t>
            </w:r>
          </w:p>
          <w:p w14:paraId="2CDF5901" w14:textId="77777777" w:rsidR="00F27697" w:rsidRPr="005F2348" w:rsidRDefault="00F27697"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5F2348">
              <w:rPr>
                <w:rFonts w:ascii="Times New Roman" w:hAnsi="Times New Roman" w:cs="Times New Roman"/>
                <w:sz w:val="24"/>
                <w:szCs w:val="24"/>
              </w:rPr>
              <w:t>mixed</w:t>
            </w:r>
            <w:proofErr w:type="spellEnd"/>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0F6644A5" w14:textId="77777777" w:rsidR="009703CA" w:rsidRPr="005F2348" w:rsidRDefault="00F27697"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A: </w:t>
            </w:r>
            <w:r w:rsidR="009703CA" w:rsidRPr="005F2348">
              <w:rPr>
                <w:rFonts w:ascii="Times New Roman" w:hAnsi="Times New Roman" w:cs="Times New Roman"/>
                <w:sz w:val="24"/>
                <w:szCs w:val="24"/>
                <w:lang w:val="en-US"/>
              </w:rPr>
              <w:t>S + RT(60Gy) vs.</w:t>
            </w:r>
          </w:p>
          <w:p w14:paraId="61643A24" w14:textId="77777777" w:rsidR="009703CA" w:rsidRPr="005F2348" w:rsidRDefault="00F27697"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B: </w:t>
            </w:r>
            <w:r w:rsidR="009703CA" w:rsidRPr="005F2348">
              <w:rPr>
                <w:rFonts w:ascii="Times New Roman" w:hAnsi="Times New Roman" w:cs="Times New Roman"/>
                <w:sz w:val="24"/>
                <w:szCs w:val="24"/>
                <w:lang w:val="en-US"/>
              </w:rPr>
              <w:t>RT(50Gy) + S vs.</w:t>
            </w:r>
          </w:p>
          <w:p w14:paraId="5D176CDD" w14:textId="77777777" w:rsidR="009703CA" w:rsidRPr="005F2348" w:rsidRDefault="00EA0D90"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w:t>
            </w:r>
            <w:r w:rsidR="00F27697" w:rsidRPr="005F2348">
              <w:rPr>
                <w:rFonts w:ascii="Times New Roman" w:hAnsi="Times New Roman" w:cs="Times New Roman"/>
                <w:sz w:val="24"/>
                <w:szCs w:val="24"/>
                <w:lang w:val="en-US"/>
              </w:rPr>
              <w:t xml:space="preserve">C: </w:t>
            </w:r>
            <w:r w:rsidR="009703CA" w:rsidRPr="005F2348">
              <w:rPr>
                <w:rFonts w:ascii="Times New Roman" w:hAnsi="Times New Roman" w:cs="Times New Roman"/>
                <w:sz w:val="24"/>
                <w:szCs w:val="24"/>
                <w:lang w:val="en-US"/>
              </w:rPr>
              <w:t>RT(70Gy) + salvage S</w:t>
            </w:r>
            <w:r w:rsidRPr="005F2348">
              <w:rPr>
                <w:rFonts w:ascii="Times New Roman" w:hAnsi="Times New Roman" w:cs="Times New Roman"/>
                <w:sz w:val="24"/>
                <w:szCs w:val="24"/>
                <w:lang w:val="en-US"/>
              </w:rPr>
              <w:t>]</w:t>
            </w:r>
          </w:p>
        </w:tc>
        <w:tc>
          <w:tcPr>
            <w:tcW w:w="1024" w:type="dxa"/>
            <w:shd w:val="clear" w:color="auto" w:fill="auto"/>
          </w:tcPr>
          <w:p w14:paraId="66B848CD" w14:textId="77777777" w:rsidR="009703CA" w:rsidRPr="005F2348" w:rsidRDefault="009703CA"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2348">
              <w:rPr>
                <w:rFonts w:ascii="Times New Roman" w:hAnsi="Times New Roman" w:cs="Times New Roman"/>
                <w:sz w:val="24"/>
                <w:szCs w:val="24"/>
              </w:rPr>
              <w:t>4-6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46CDDD9A" w14:textId="77777777" w:rsidR="009703CA" w:rsidRPr="005F2348" w:rsidRDefault="00F27697" w:rsidP="005F2348">
            <w:pPr>
              <w:spacing w:after="200"/>
              <w:jc w:val="center"/>
              <w:rPr>
                <w:rFonts w:ascii="Times New Roman" w:hAnsi="Times New Roman" w:cs="Times New Roman"/>
                <w:sz w:val="24"/>
                <w:szCs w:val="24"/>
              </w:rPr>
            </w:pPr>
            <w:r w:rsidRPr="005F2348">
              <w:rPr>
                <w:rFonts w:ascii="Times New Roman" w:hAnsi="Times New Roman" w:cs="Times New Roman"/>
                <w:sz w:val="24"/>
                <w:szCs w:val="24"/>
              </w:rPr>
              <w:t>NR</w:t>
            </w:r>
          </w:p>
        </w:tc>
        <w:tc>
          <w:tcPr>
            <w:tcW w:w="1754" w:type="dxa"/>
            <w:shd w:val="clear" w:color="auto" w:fill="auto"/>
          </w:tcPr>
          <w:p w14:paraId="62BB43D2" w14:textId="77777777" w:rsidR="00EA0D90" w:rsidRPr="005F2348" w:rsidRDefault="00EA0D90"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bCs/>
                <w:sz w:val="24"/>
                <w:szCs w:val="24"/>
                <w:lang w:val="en-US"/>
              </w:rPr>
              <w:t xml:space="preserve">4yrs OS: </w:t>
            </w:r>
            <w:r w:rsidR="00F27697" w:rsidRPr="005F2348">
              <w:rPr>
                <w:rFonts w:ascii="Times New Roman" w:hAnsi="Times New Roman" w:cs="Times New Roman"/>
                <w:bCs/>
                <w:sz w:val="24"/>
                <w:szCs w:val="24"/>
                <w:lang w:val="en-US"/>
              </w:rPr>
              <w:t>A:38</w:t>
            </w:r>
            <w:r w:rsidRPr="005F2348">
              <w:rPr>
                <w:rFonts w:ascii="Times New Roman" w:hAnsi="Times New Roman" w:cs="Times New Roman"/>
                <w:bCs/>
                <w:sz w:val="24"/>
                <w:szCs w:val="24"/>
                <w:lang w:val="en-US"/>
              </w:rPr>
              <w:t>%</w:t>
            </w:r>
            <w:r w:rsidR="00F27697" w:rsidRPr="005F2348">
              <w:rPr>
                <w:rFonts w:ascii="Times New Roman" w:hAnsi="Times New Roman" w:cs="Times New Roman"/>
                <w:bCs/>
                <w:sz w:val="24"/>
                <w:szCs w:val="24"/>
                <w:lang w:val="en-US"/>
              </w:rPr>
              <w:t>, B:33%</w:t>
            </w:r>
          </w:p>
          <w:p w14:paraId="4525B830" w14:textId="77777777" w:rsidR="009703CA" w:rsidRPr="005F2348" w:rsidRDefault="00F27697"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bCs/>
                <w:sz w:val="24"/>
                <w:szCs w:val="24"/>
                <w:lang w:val="en-US"/>
              </w:rPr>
              <w:t>5yrs LCR</w:t>
            </w:r>
            <w:r w:rsidR="00EA0D90" w:rsidRPr="005F2348">
              <w:rPr>
                <w:rFonts w:ascii="Times New Roman" w:hAnsi="Times New Roman" w:cs="Times New Roman"/>
                <w:bCs/>
                <w:sz w:val="24"/>
                <w:szCs w:val="24"/>
                <w:lang w:val="en-US"/>
              </w:rPr>
              <w:t xml:space="preserve">: </w:t>
            </w:r>
            <w:r w:rsidRPr="005F2348">
              <w:rPr>
                <w:rFonts w:ascii="Times New Roman" w:hAnsi="Times New Roman" w:cs="Times New Roman"/>
                <w:bCs/>
                <w:sz w:val="24"/>
                <w:szCs w:val="24"/>
                <w:lang w:val="en-US"/>
              </w:rPr>
              <w:t>A:65</w:t>
            </w:r>
            <w:r w:rsidR="00EA0D90" w:rsidRPr="005F2348">
              <w:rPr>
                <w:rFonts w:ascii="Times New Roman" w:hAnsi="Times New Roman" w:cs="Times New Roman"/>
                <w:bCs/>
                <w:sz w:val="24"/>
                <w:szCs w:val="24"/>
                <w:lang w:val="en-US"/>
              </w:rPr>
              <w:t>%</w:t>
            </w:r>
            <w:r w:rsidRPr="005F2348">
              <w:rPr>
                <w:rFonts w:ascii="Times New Roman" w:hAnsi="Times New Roman" w:cs="Times New Roman"/>
                <w:bCs/>
                <w:sz w:val="24"/>
                <w:szCs w:val="24"/>
                <w:lang w:val="en-US"/>
              </w:rPr>
              <w:t>, B:48%</w:t>
            </w:r>
          </w:p>
        </w:tc>
      </w:tr>
      <w:tr w:rsidR="00000833" w:rsidRPr="005F2348" w14:paraId="17D0C10B" w14:textId="77777777" w:rsidTr="00000833">
        <w:trPr>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582BD8CE" w14:textId="77777777" w:rsidR="009703CA" w:rsidRPr="005F2348" w:rsidRDefault="00F27697"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Slotman</w:t>
            </w:r>
            <w:proofErr w:type="spellEnd"/>
          </w:p>
          <w:p w14:paraId="25294A01" w14:textId="77777777" w:rsidR="00F27697" w:rsidRPr="005F2348" w:rsidRDefault="00F27697"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(1992)</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3C08C2CF" w14:textId="77777777" w:rsidR="009703CA" w:rsidRPr="005F2348" w:rsidRDefault="00F27697"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53</w:t>
            </w:r>
          </w:p>
        </w:tc>
        <w:tc>
          <w:tcPr>
            <w:tcW w:w="1036" w:type="dxa"/>
            <w:shd w:val="clear" w:color="auto" w:fill="auto"/>
          </w:tcPr>
          <w:p w14:paraId="37264CC0" w14:textId="77777777" w:rsidR="009703CA" w:rsidRPr="005F2348" w:rsidRDefault="00F27697"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SA,</w:t>
            </w:r>
          </w:p>
          <w:p w14:paraId="535B3B83" w14:textId="77777777" w:rsidR="00F27697" w:rsidRPr="005F2348" w:rsidRDefault="00F27697"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6E0701A7" w14:textId="4C29B19E" w:rsidR="009703CA"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F27697" w:rsidRPr="005F2348">
              <w:rPr>
                <w:rFonts w:ascii="Times New Roman" w:hAnsi="Times New Roman" w:cs="Times New Roman"/>
                <w:sz w:val="24"/>
                <w:szCs w:val="24"/>
                <w:lang w:val="en-US"/>
              </w:rPr>
              <w:t>T(45Gy, Cis)</w:t>
            </w:r>
            <w:r w:rsidR="006F59E1" w:rsidRPr="005F2348">
              <w:rPr>
                <w:rFonts w:ascii="Times New Roman" w:hAnsi="Times New Roman" w:cs="Times New Roman"/>
                <w:sz w:val="24"/>
                <w:szCs w:val="24"/>
                <w:lang w:val="en-US"/>
              </w:rPr>
              <w:t xml:space="preserve"> + S + CTX(Cis)</w:t>
            </w:r>
          </w:p>
        </w:tc>
        <w:tc>
          <w:tcPr>
            <w:tcW w:w="1024" w:type="dxa"/>
            <w:shd w:val="clear" w:color="auto" w:fill="auto"/>
          </w:tcPr>
          <w:p w14:paraId="1DD7678B" w14:textId="77777777" w:rsidR="009703CA" w:rsidRPr="005F2348" w:rsidRDefault="00F27697"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4-8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BAC0D58" w14:textId="77777777" w:rsidR="009703CA" w:rsidRPr="005F2348" w:rsidRDefault="006F59E1"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T: 75%</w:t>
            </w:r>
          </w:p>
        </w:tc>
        <w:tc>
          <w:tcPr>
            <w:tcW w:w="1754" w:type="dxa"/>
            <w:shd w:val="clear" w:color="auto" w:fill="auto"/>
          </w:tcPr>
          <w:p w14:paraId="4288DE9B" w14:textId="77777777" w:rsidR="009703CA" w:rsidRPr="005F2348" w:rsidRDefault="006F59E1"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OS: 43%</w:t>
            </w:r>
          </w:p>
        </w:tc>
      </w:tr>
      <w:tr w:rsidR="00000833" w:rsidRPr="005F2348" w14:paraId="08F5B2FE" w14:textId="77777777" w:rsidTr="0000083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3E8A8994" w14:textId="77777777" w:rsidR="009703CA"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Mohr</w:t>
            </w:r>
          </w:p>
          <w:p w14:paraId="63CCD0A6" w14:textId="77777777" w:rsidR="006F59E1"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(1994)</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436D60FF" w14:textId="77777777" w:rsidR="009703CA"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268</w:t>
            </w:r>
          </w:p>
        </w:tc>
        <w:tc>
          <w:tcPr>
            <w:tcW w:w="1036" w:type="dxa"/>
            <w:shd w:val="clear" w:color="auto" w:fill="auto"/>
          </w:tcPr>
          <w:p w14:paraId="562EF7AB" w14:textId="77777777" w:rsidR="009703CA" w:rsidRPr="005F2348" w:rsidRDefault="006F59E1"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RCT, 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62E03D93" w14:textId="77777777" w:rsidR="009703CA"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A: S vs.</w:t>
            </w:r>
          </w:p>
          <w:p w14:paraId="4FA7242A" w14:textId="01C1E114" w:rsidR="006F59E1"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B: CR</w:t>
            </w:r>
            <w:r w:rsidR="006F59E1" w:rsidRPr="005F2348">
              <w:rPr>
                <w:rFonts w:ascii="Times New Roman" w:hAnsi="Times New Roman" w:cs="Times New Roman"/>
                <w:sz w:val="24"/>
                <w:szCs w:val="24"/>
                <w:lang w:val="en-US"/>
              </w:rPr>
              <w:t>T(36Gy, Cis) + S</w:t>
            </w:r>
          </w:p>
        </w:tc>
        <w:tc>
          <w:tcPr>
            <w:tcW w:w="1024" w:type="dxa"/>
            <w:shd w:val="clear" w:color="auto" w:fill="auto"/>
          </w:tcPr>
          <w:p w14:paraId="5A235172" w14:textId="77777777" w:rsidR="009703CA" w:rsidRPr="005F2348" w:rsidRDefault="00461AD4"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1-</w:t>
            </w:r>
            <w:r w:rsidR="006F59E1" w:rsidRPr="005F2348">
              <w:rPr>
                <w:rFonts w:ascii="Times New Roman" w:hAnsi="Times New Roman" w:cs="Times New Roman"/>
                <w:sz w:val="24"/>
                <w:szCs w:val="24"/>
                <w:lang w:val="en-US"/>
              </w:rPr>
              <w:t>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7F87BBA" w14:textId="77777777" w:rsidR="009703CA" w:rsidRPr="005F2348" w:rsidRDefault="006F59E1"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T: 37%</w:t>
            </w:r>
          </w:p>
        </w:tc>
        <w:tc>
          <w:tcPr>
            <w:tcW w:w="1754" w:type="dxa"/>
            <w:shd w:val="clear" w:color="auto" w:fill="auto"/>
          </w:tcPr>
          <w:p w14:paraId="32AF44F8" w14:textId="3EF8E961" w:rsidR="009703CA" w:rsidRPr="005F2348" w:rsidRDefault="00E029AE"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3yrs LRR: A:31%, B:16</w:t>
            </w:r>
            <w:r w:rsidR="006F59E1" w:rsidRPr="005F2348">
              <w:rPr>
                <w:rFonts w:ascii="Times New Roman" w:hAnsi="Times New Roman" w:cs="Times New Roman"/>
                <w:sz w:val="24"/>
                <w:szCs w:val="24"/>
                <w:lang w:val="en-US"/>
              </w:rPr>
              <w:t xml:space="preserve">% </w:t>
            </w:r>
          </w:p>
        </w:tc>
      </w:tr>
      <w:tr w:rsidR="00000833" w:rsidRPr="005F2348" w14:paraId="1CB581C2" w14:textId="77777777" w:rsidTr="00000833">
        <w:trPr>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54E06608" w14:textId="77777777" w:rsidR="009703CA" w:rsidRPr="005F2348" w:rsidRDefault="006F59E1"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Glicksman</w:t>
            </w:r>
            <w:proofErr w:type="spellEnd"/>
          </w:p>
          <w:p w14:paraId="3FB71DBE" w14:textId="77777777" w:rsidR="006F59E1"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(1994)</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6EFCDDE2" w14:textId="77777777" w:rsidR="009703CA" w:rsidRPr="005F2348" w:rsidRDefault="006F59E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101</w:t>
            </w:r>
          </w:p>
        </w:tc>
        <w:tc>
          <w:tcPr>
            <w:tcW w:w="1036" w:type="dxa"/>
            <w:shd w:val="clear" w:color="auto" w:fill="auto"/>
          </w:tcPr>
          <w:p w14:paraId="75D91B76" w14:textId="77777777" w:rsidR="009703CA" w:rsidRPr="005F2348" w:rsidRDefault="006F59E1"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NRT,</w:t>
            </w:r>
          </w:p>
          <w:p w14:paraId="24FF8185" w14:textId="77777777" w:rsidR="006F59E1" w:rsidRPr="005F2348" w:rsidRDefault="006F59E1"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79188455" w14:textId="7B117B63" w:rsidR="00992778"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6F59E1" w:rsidRPr="005F2348">
              <w:rPr>
                <w:rFonts w:ascii="Times New Roman" w:hAnsi="Times New Roman" w:cs="Times New Roman"/>
                <w:sz w:val="24"/>
                <w:szCs w:val="24"/>
                <w:lang w:val="en-US"/>
              </w:rPr>
              <w:t>T(</w:t>
            </w:r>
            <w:r w:rsidR="00992778" w:rsidRPr="005F2348">
              <w:rPr>
                <w:rFonts w:ascii="Times New Roman" w:hAnsi="Times New Roman" w:cs="Times New Roman"/>
                <w:sz w:val="24"/>
                <w:szCs w:val="24"/>
                <w:lang w:val="en-US"/>
              </w:rPr>
              <w:t xml:space="preserve">45Gy, Cis + </w:t>
            </w:r>
          </w:p>
          <w:p w14:paraId="3C99B9D9" w14:textId="77777777" w:rsidR="009703CA"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A: RT(27Gy, for </w:t>
            </w: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vs. B: S(no </w:t>
            </w: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w:t>
            </w:r>
          </w:p>
        </w:tc>
        <w:tc>
          <w:tcPr>
            <w:tcW w:w="1024" w:type="dxa"/>
            <w:shd w:val="clear" w:color="auto" w:fill="auto"/>
          </w:tcPr>
          <w:p w14:paraId="707B952B" w14:textId="77777777" w:rsidR="009703CA" w:rsidRPr="005F2348" w:rsidRDefault="00992778"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50167C92" w14:textId="77777777" w:rsidR="009703CA" w:rsidRPr="005F2348" w:rsidRDefault="00992778"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T: 66%</w:t>
            </w:r>
          </w:p>
        </w:tc>
        <w:tc>
          <w:tcPr>
            <w:tcW w:w="1754" w:type="dxa"/>
            <w:shd w:val="clear" w:color="auto" w:fill="auto"/>
          </w:tcPr>
          <w:p w14:paraId="09B5C0E3" w14:textId="77777777" w:rsidR="009703CA" w:rsidRPr="005F2348" w:rsidRDefault="00992778"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OS: A:40%, B:55%</w:t>
            </w:r>
          </w:p>
        </w:tc>
      </w:tr>
      <w:tr w:rsidR="00000833" w:rsidRPr="005F2348" w14:paraId="477C763C" w14:textId="77777777" w:rsidTr="0000083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7A3FB947" w14:textId="77777777" w:rsidR="009703CA" w:rsidRPr="005F2348" w:rsidRDefault="00992778"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Wanebo</w:t>
            </w:r>
            <w:proofErr w:type="spellEnd"/>
          </w:p>
          <w:p w14:paraId="79B3D5C5" w14:textId="77777777" w:rsidR="00992778"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(2001)</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031CE5E0" w14:textId="77777777" w:rsidR="009703CA"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43</w:t>
            </w:r>
          </w:p>
        </w:tc>
        <w:tc>
          <w:tcPr>
            <w:tcW w:w="1036" w:type="dxa"/>
            <w:shd w:val="clear" w:color="auto" w:fill="auto"/>
          </w:tcPr>
          <w:p w14:paraId="06AB66DE" w14:textId="77777777" w:rsidR="009703CA" w:rsidRPr="005F2348" w:rsidRDefault="00992778"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NRT,</w:t>
            </w:r>
          </w:p>
          <w:p w14:paraId="789617BB" w14:textId="77777777" w:rsidR="00992778" w:rsidRPr="005F2348" w:rsidRDefault="00992778"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311963E6" w14:textId="1059737A" w:rsidR="00992778"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992778" w:rsidRPr="005F2348">
              <w:rPr>
                <w:rFonts w:ascii="Times New Roman" w:hAnsi="Times New Roman" w:cs="Times New Roman"/>
                <w:sz w:val="24"/>
                <w:szCs w:val="24"/>
                <w:lang w:val="en-US"/>
              </w:rPr>
              <w:t>T(45Gy, Carbo/Taxol +</w:t>
            </w:r>
          </w:p>
          <w:p w14:paraId="361A4CBE" w14:textId="77777777" w:rsidR="00992778"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A: RT(27Gy) + ND (for </w:t>
            </w: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T) vs.</w:t>
            </w:r>
          </w:p>
          <w:p w14:paraId="29FED4DD" w14:textId="77777777" w:rsidR="009703CA"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B: S</w:t>
            </w:r>
          </w:p>
        </w:tc>
        <w:tc>
          <w:tcPr>
            <w:tcW w:w="1024" w:type="dxa"/>
            <w:shd w:val="clear" w:color="auto" w:fill="auto"/>
          </w:tcPr>
          <w:p w14:paraId="3038F2D6" w14:textId="77777777" w:rsidR="009703CA" w:rsidRPr="005F2348" w:rsidRDefault="00992778"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1</w:t>
            </w:r>
            <w:r w:rsidR="00461AD4" w:rsidRPr="005F2348">
              <w:rPr>
                <w:rFonts w:ascii="Times New Roman" w:hAnsi="Times New Roman" w:cs="Times New Roman"/>
                <w:sz w:val="24"/>
                <w:szCs w:val="24"/>
                <w:lang w:val="en-US"/>
              </w:rPr>
              <w:t>-2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3C8B956" w14:textId="77777777" w:rsidR="009703CA" w:rsidRPr="005F2348" w:rsidRDefault="00992778"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T: 66%</w:t>
            </w:r>
          </w:p>
        </w:tc>
        <w:tc>
          <w:tcPr>
            <w:tcW w:w="1754" w:type="dxa"/>
            <w:shd w:val="clear" w:color="auto" w:fill="auto"/>
          </w:tcPr>
          <w:p w14:paraId="167AD78F" w14:textId="77777777" w:rsidR="009703CA" w:rsidRPr="00495C35" w:rsidRDefault="00992778"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t-IT"/>
              </w:rPr>
            </w:pPr>
            <w:r w:rsidRPr="00495C35">
              <w:rPr>
                <w:rFonts w:ascii="Times New Roman" w:hAnsi="Times New Roman" w:cs="Times New Roman"/>
                <w:sz w:val="24"/>
                <w:szCs w:val="24"/>
                <w:lang w:val="it-IT"/>
              </w:rPr>
              <w:t>50mo mFU PFS: A+B: 65%</w:t>
            </w:r>
          </w:p>
          <w:p w14:paraId="01AC4F16" w14:textId="77777777" w:rsidR="00992778" w:rsidRPr="005F2348" w:rsidRDefault="00992778"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4yrs OS: </w:t>
            </w:r>
            <w:r w:rsidRPr="005F2348">
              <w:rPr>
                <w:rFonts w:ascii="Times New Roman" w:hAnsi="Times New Roman" w:cs="Times New Roman"/>
                <w:sz w:val="24"/>
                <w:szCs w:val="24"/>
                <w:lang w:val="en-US"/>
              </w:rPr>
              <w:lastRenderedPageBreak/>
              <w:t>A+B</w:t>
            </w:r>
            <w:r w:rsidR="00461AD4" w:rsidRPr="005F2348">
              <w:rPr>
                <w:rFonts w:ascii="Times New Roman" w:hAnsi="Times New Roman" w:cs="Times New Roman"/>
                <w:sz w:val="24"/>
                <w:szCs w:val="24"/>
                <w:lang w:val="en-US"/>
              </w:rPr>
              <w:t>:</w:t>
            </w:r>
            <w:r w:rsidRPr="005F2348">
              <w:rPr>
                <w:rFonts w:ascii="Times New Roman" w:hAnsi="Times New Roman" w:cs="Times New Roman"/>
                <w:sz w:val="24"/>
                <w:szCs w:val="24"/>
                <w:lang w:val="en-US"/>
              </w:rPr>
              <w:t>68%</w:t>
            </w:r>
          </w:p>
          <w:p w14:paraId="4A62B311" w14:textId="77777777" w:rsidR="00992778" w:rsidRPr="005F2348" w:rsidRDefault="00992778"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000833" w:rsidRPr="005F2348" w14:paraId="3EC8C21D" w14:textId="77777777" w:rsidTr="00000833">
        <w:trPr>
          <w:trHeight w:val="413"/>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0CD0AB39" w14:textId="77777777" w:rsidR="009703CA" w:rsidRPr="005F2348" w:rsidRDefault="00992778"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lastRenderedPageBreak/>
              <w:t>Keßler</w:t>
            </w:r>
            <w:proofErr w:type="spellEnd"/>
          </w:p>
          <w:p w14:paraId="3C4571DD" w14:textId="77777777" w:rsidR="00992778"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(2007)</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4F2E020D" w14:textId="77777777" w:rsidR="009703CA" w:rsidRPr="005F2348" w:rsidRDefault="00992778"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74</w:t>
            </w:r>
          </w:p>
        </w:tc>
        <w:tc>
          <w:tcPr>
            <w:tcW w:w="1036" w:type="dxa"/>
            <w:shd w:val="clear" w:color="auto" w:fill="auto"/>
          </w:tcPr>
          <w:p w14:paraId="3311939A" w14:textId="77777777" w:rsidR="009703CA" w:rsidRPr="005F2348" w:rsidRDefault="00992778"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SA, OCC</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44583D7B" w14:textId="03AAEEA3" w:rsidR="009703CA"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461AD4" w:rsidRPr="005F2348">
              <w:rPr>
                <w:rFonts w:ascii="Times New Roman" w:hAnsi="Times New Roman" w:cs="Times New Roman"/>
                <w:sz w:val="24"/>
                <w:szCs w:val="24"/>
                <w:lang w:val="en-US"/>
              </w:rPr>
              <w:t>T(50,4Gy, Cis/5FU) + S</w:t>
            </w:r>
          </w:p>
        </w:tc>
        <w:tc>
          <w:tcPr>
            <w:tcW w:w="1024" w:type="dxa"/>
            <w:shd w:val="clear" w:color="auto" w:fill="auto"/>
          </w:tcPr>
          <w:p w14:paraId="083B7CEA" w14:textId="77777777" w:rsidR="009703CA" w:rsidRPr="005F2348" w:rsidRDefault="00992778"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NR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D33DFB1" w14:textId="77777777" w:rsidR="009703CA" w:rsidRPr="005F2348" w:rsidRDefault="00992778"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38%</w:t>
            </w:r>
          </w:p>
        </w:tc>
        <w:tc>
          <w:tcPr>
            <w:tcW w:w="1754" w:type="dxa"/>
            <w:shd w:val="clear" w:color="auto" w:fill="auto"/>
          </w:tcPr>
          <w:p w14:paraId="7A197C76" w14:textId="77777777" w:rsidR="009703CA" w:rsidRPr="005F2348" w:rsidRDefault="00461AD4"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OS: cT3:68%, cT4:51%</w:t>
            </w:r>
          </w:p>
        </w:tc>
      </w:tr>
      <w:tr w:rsidR="00000833" w:rsidRPr="005F2348" w14:paraId="6BC1C7C7" w14:textId="77777777" w:rsidTr="0000083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36CBA721" w14:textId="77777777" w:rsidR="009703CA" w:rsidRPr="005F2348" w:rsidRDefault="00461AD4"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Eckardt</w:t>
            </w:r>
            <w:proofErr w:type="spellEnd"/>
          </w:p>
          <w:p w14:paraId="3DD7799A" w14:textId="77777777" w:rsidR="00461AD4"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(2007)</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0E60CFE8" w14:textId="77777777" w:rsidR="009703CA"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56</w:t>
            </w:r>
          </w:p>
        </w:tc>
        <w:tc>
          <w:tcPr>
            <w:tcW w:w="1036" w:type="dxa"/>
            <w:shd w:val="clear" w:color="auto" w:fill="auto"/>
          </w:tcPr>
          <w:p w14:paraId="3314AB48" w14:textId="77777777" w:rsidR="009703CA" w:rsidRPr="005F2348" w:rsidRDefault="00461AD4"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SA,</w:t>
            </w:r>
          </w:p>
          <w:p w14:paraId="3AFBC53E" w14:textId="77777777" w:rsidR="00461AD4" w:rsidRPr="005F2348" w:rsidRDefault="00461AD4"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67CABE6D" w14:textId="3725E75F" w:rsidR="009703CA"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461AD4" w:rsidRPr="005F2348">
              <w:rPr>
                <w:rFonts w:ascii="Times New Roman" w:hAnsi="Times New Roman" w:cs="Times New Roman"/>
                <w:sz w:val="24"/>
                <w:szCs w:val="24"/>
                <w:lang w:val="en-US"/>
              </w:rPr>
              <w:t>T(40Gy, Carbo/Taxol) + S</w:t>
            </w:r>
          </w:p>
        </w:tc>
        <w:tc>
          <w:tcPr>
            <w:tcW w:w="1024" w:type="dxa"/>
            <w:shd w:val="clear" w:color="auto" w:fill="auto"/>
          </w:tcPr>
          <w:p w14:paraId="67F852CE" w14:textId="77777777" w:rsidR="009703CA" w:rsidRPr="005F2348" w:rsidRDefault="00461AD4"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3-4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3C8DA8AA" w14:textId="77777777" w:rsidR="009703CA" w:rsidRPr="005F2348" w:rsidRDefault="00461AD4"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58%</w:t>
            </w:r>
          </w:p>
        </w:tc>
        <w:tc>
          <w:tcPr>
            <w:tcW w:w="1754" w:type="dxa"/>
            <w:shd w:val="clear" w:color="auto" w:fill="auto"/>
          </w:tcPr>
          <w:p w14:paraId="218C56F4" w14:textId="77777777" w:rsidR="009703CA" w:rsidRPr="005F2348" w:rsidRDefault="00461AD4"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7yrs OS: 53%</w:t>
            </w:r>
          </w:p>
          <w:p w14:paraId="1FF09646" w14:textId="77777777" w:rsidR="00461AD4" w:rsidRPr="005F2348" w:rsidRDefault="00461AD4"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7yrs LCR: 84%</w:t>
            </w:r>
          </w:p>
        </w:tc>
      </w:tr>
      <w:tr w:rsidR="00000833" w:rsidRPr="005F2348" w14:paraId="33BE7733" w14:textId="77777777" w:rsidTr="00000833">
        <w:trPr>
          <w:trHeight w:val="413"/>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041A2105" w14:textId="77777777" w:rsidR="009703CA"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Harada</w:t>
            </w:r>
          </w:p>
          <w:p w14:paraId="79717CE0" w14:textId="77777777" w:rsidR="00461AD4"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(2013)</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11D0A932" w14:textId="77777777" w:rsidR="009703CA"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39</w:t>
            </w:r>
          </w:p>
        </w:tc>
        <w:tc>
          <w:tcPr>
            <w:tcW w:w="1036" w:type="dxa"/>
            <w:shd w:val="clear" w:color="auto" w:fill="auto"/>
          </w:tcPr>
          <w:p w14:paraId="0CF7948C" w14:textId="77777777" w:rsidR="009703CA" w:rsidRPr="005F2348" w:rsidRDefault="00461AD4"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SA,</w:t>
            </w:r>
          </w:p>
          <w:p w14:paraId="110A66E0" w14:textId="77777777" w:rsidR="00461AD4" w:rsidRPr="005F2348" w:rsidRDefault="00461AD4" w:rsidP="005F2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OCC</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571952B3" w14:textId="6641A054" w:rsidR="009703CA"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CR</w:t>
            </w:r>
            <w:r w:rsidR="00461AD4" w:rsidRPr="005F2348">
              <w:rPr>
                <w:rFonts w:ascii="Times New Roman" w:hAnsi="Times New Roman" w:cs="Times New Roman"/>
                <w:sz w:val="24"/>
                <w:szCs w:val="24"/>
                <w:lang w:val="en-US"/>
              </w:rPr>
              <w:t>T(40Gy, S-1) + S</w:t>
            </w:r>
          </w:p>
        </w:tc>
        <w:tc>
          <w:tcPr>
            <w:tcW w:w="1024" w:type="dxa"/>
            <w:shd w:val="clear" w:color="auto" w:fill="auto"/>
          </w:tcPr>
          <w:p w14:paraId="01868721" w14:textId="77777777" w:rsidR="009703CA" w:rsidRPr="005F2348" w:rsidRDefault="00461AD4"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20FAB842" w14:textId="77777777" w:rsidR="009703CA" w:rsidRPr="005F2348" w:rsidRDefault="00461AD4"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T: 13%</w:t>
            </w:r>
          </w:p>
        </w:tc>
        <w:tc>
          <w:tcPr>
            <w:tcW w:w="1754" w:type="dxa"/>
            <w:shd w:val="clear" w:color="auto" w:fill="auto"/>
          </w:tcPr>
          <w:p w14:paraId="4D7B8974" w14:textId="77777777" w:rsidR="009703CA" w:rsidRPr="005F2348" w:rsidRDefault="00461AD4"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OS: 79%</w:t>
            </w:r>
          </w:p>
          <w:p w14:paraId="17550571" w14:textId="77777777" w:rsidR="00461AD4" w:rsidRPr="005F2348" w:rsidRDefault="00461AD4" w:rsidP="005F2348">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LCR: 92%</w:t>
            </w:r>
          </w:p>
        </w:tc>
      </w:tr>
      <w:tr w:rsidR="00000833" w:rsidRPr="00107F14" w14:paraId="14F0BC43" w14:textId="77777777" w:rsidTr="000008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14:paraId="2CEFAD61" w14:textId="77777777" w:rsidR="009703CA"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Yi</w:t>
            </w:r>
          </w:p>
          <w:p w14:paraId="01DB3184" w14:textId="77777777" w:rsidR="00461AD4"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(2017)</w:t>
            </w:r>
          </w:p>
        </w:tc>
        <w:tc>
          <w:tcPr>
            <w:cnfStyle w:val="000010000000" w:firstRow="0" w:lastRow="0" w:firstColumn="0" w:lastColumn="0" w:oddVBand="1" w:evenVBand="0" w:oddHBand="0" w:evenHBand="0" w:firstRowFirstColumn="0" w:firstRowLastColumn="0" w:lastRowFirstColumn="0" w:lastRowLastColumn="0"/>
            <w:tcW w:w="584" w:type="dxa"/>
            <w:shd w:val="clear" w:color="auto" w:fill="auto"/>
          </w:tcPr>
          <w:p w14:paraId="51074F2C" w14:textId="77777777" w:rsidR="009703CA" w:rsidRPr="005F2348" w:rsidRDefault="00461AD4"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222</w:t>
            </w:r>
          </w:p>
        </w:tc>
        <w:tc>
          <w:tcPr>
            <w:tcW w:w="1036" w:type="dxa"/>
            <w:shd w:val="clear" w:color="auto" w:fill="auto"/>
          </w:tcPr>
          <w:p w14:paraId="207529FF" w14:textId="77777777" w:rsidR="009703CA" w:rsidRPr="005F2348" w:rsidRDefault="00461AD4"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RCT,</w:t>
            </w:r>
          </w:p>
          <w:p w14:paraId="49D8F267" w14:textId="77777777" w:rsidR="00461AD4" w:rsidRPr="005F2348" w:rsidRDefault="00461AD4" w:rsidP="005F23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mixed</w:t>
            </w:r>
          </w:p>
        </w:tc>
        <w:tc>
          <w:tcPr>
            <w:cnfStyle w:val="000010000000" w:firstRow="0" w:lastRow="0" w:firstColumn="0" w:lastColumn="0" w:oddVBand="1" w:evenVBand="0" w:oddHBand="0" w:evenHBand="0" w:firstRowFirstColumn="0" w:firstRowLastColumn="0" w:lastRowFirstColumn="0" w:lastRowLastColumn="0"/>
            <w:tcW w:w="3231" w:type="dxa"/>
            <w:shd w:val="clear" w:color="auto" w:fill="auto"/>
          </w:tcPr>
          <w:p w14:paraId="22D8404C" w14:textId="1D2FB20B" w:rsidR="009703CA" w:rsidRPr="005F2348" w:rsidRDefault="000A27A5"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A: CR</w:t>
            </w:r>
            <w:r w:rsidR="00461AD4" w:rsidRPr="005F2348">
              <w:rPr>
                <w:rFonts w:ascii="Times New Roman" w:hAnsi="Times New Roman" w:cs="Times New Roman"/>
                <w:sz w:val="24"/>
                <w:szCs w:val="24"/>
                <w:lang w:val="en-US"/>
              </w:rPr>
              <w:t>T</w:t>
            </w:r>
            <w:r w:rsidR="004F50F1" w:rsidRPr="005F2348">
              <w:rPr>
                <w:rFonts w:ascii="Times New Roman" w:hAnsi="Times New Roman" w:cs="Times New Roman"/>
                <w:sz w:val="24"/>
                <w:szCs w:val="24"/>
                <w:lang w:val="en-US"/>
              </w:rPr>
              <w:t xml:space="preserve">(50Gy, Cis) vs. </w:t>
            </w:r>
          </w:p>
          <w:p w14:paraId="5D276625" w14:textId="77777777" w:rsidR="004F50F1" w:rsidRPr="005F2348" w:rsidRDefault="004F50F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B: RT(50Gy)</w:t>
            </w:r>
          </w:p>
          <w:p w14:paraId="4B867EAB" w14:textId="77777777" w:rsidR="004F50F1" w:rsidRPr="00495C35" w:rsidRDefault="004F50F1" w:rsidP="005F2348">
            <w:pPr>
              <w:spacing w:after="200"/>
              <w:jc w:val="center"/>
              <w:rPr>
                <w:rFonts w:ascii="Times New Roman" w:hAnsi="Times New Roman" w:cs="Times New Roman"/>
                <w:sz w:val="24"/>
                <w:szCs w:val="24"/>
                <w:lang w:val="fr-FR"/>
              </w:rPr>
            </w:pPr>
            <w:r w:rsidRPr="00495C35">
              <w:rPr>
                <w:rFonts w:ascii="Times New Roman" w:hAnsi="Times New Roman" w:cs="Times New Roman"/>
                <w:sz w:val="24"/>
                <w:szCs w:val="24"/>
                <w:lang w:val="fr-FR"/>
              </w:rPr>
              <w:t xml:space="preserve">Restaging: </w:t>
            </w:r>
          </w:p>
          <w:p w14:paraId="01B64F2D" w14:textId="79E25D5B" w:rsidR="004F50F1" w:rsidRPr="00495C35" w:rsidRDefault="004F50F1" w:rsidP="005F2348">
            <w:pPr>
              <w:spacing w:after="200"/>
              <w:jc w:val="center"/>
              <w:rPr>
                <w:rFonts w:ascii="Times New Roman" w:hAnsi="Times New Roman" w:cs="Times New Roman"/>
                <w:sz w:val="24"/>
                <w:szCs w:val="24"/>
                <w:lang w:val="fr-FR"/>
              </w:rPr>
            </w:pPr>
            <w:r w:rsidRPr="00495C35">
              <w:rPr>
                <w:rFonts w:ascii="Times New Roman" w:hAnsi="Times New Roman" w:cs="Times New Roman"/>
                <w:bCs/>
                <w:sz w:val="24"/>
                <w:szCs w:val="24"/>
                <w:lang w:val="fr-FR"/>
              </w:rPr>
              <w:t>≥</w:t>
            </w:r>
            <w:r w:rsidR="000A27A5" w:rsidRPr="00495C35">
              <w:rPr>
                <w:rFonts w:ascii="Times New Roman" w:hAnsi="Times New Roman" w:cs="Times New Roman"/>
                <w:sz w:val="24"/>
                <w:szCs w:val="24"/>
                <w:lang w:val="fr-FR"/>
              </w:rPr>
              <w:t>80% cCR T: CR</w:t>
            </w:r>
            <w:r w:rsidRPr="00495C35">
              <w:rPr>
                <w:rFonts w:ascii="Times New Roman" w:hAnsi="Times New Roman" w:cs="Times New Roman"/>
                <w:sz w:val="24"/>
                <w:szCs w:val="24"/>
                <w:lang w:val="fr-FR"/>
              </w:rPr>
              <w:t>T(20Gy, Cis) vs.</w:t>
            </w:r>
          </w:p>
          <w:p w14:paraId="4A0817C9" w14:textId="77777777" w:rsidR="004F50F1" w:rsidRPr="005F2348" w:rsidRDefault="004F50F1" w:rsidP="005F2348">
            <w:pPr>
              <w:spacing w:after="200"/>
              <w:jc w:val="center"/>
              <w:rPr>
                <w:rFonts w:ascii="Times New Roman" w:hAnsi="Times New Roman" w:cs="Times New Roman"/>
                <w:sz w:val="24"/>
                <w:szCs w:val="24"/>
                <w:lang w:val="en-US"/>
              </w:rPr>
            </w:pPr>
            <w:r w:rsidRPr="005F2348">
              <w:rPr>
                <w:rFonts w:ascii="Times New Roman" w:hAnsi="Times New Roman" w:cs="Times New Roman"/>
                <w:sz w:val="24"/>
                <w:szCs w:val="24"/>
                <w:lang w:val="en-US"/>
              </w:rPr>
              <w:t xml:space="preserve">&lt;80% </w:t>
            </w:r>
            <w:proofErr w:type="spellStart"/>
            <w:r w:rsidRPr="005F2348">
              <w:rPr>
                <w:rFonts w:ascii="Times New Roman" w:hAnsi="Times New Roman" w:cs="Times New Roman"/>
                <w:sz w:val="24"/>
                <w:szCs w:val="24"/>
                <w:lang w:val="en-US"/>
              </w:rPr>
              <w:t>cCR</w:t>
            </w:r>
            <w:proofErr w:type="spellEnd"/>
            <w:r w:rsidRPr="005F2348">
              <w:rPr>
                <w:rFonts w:ascii="Times New Roman" w:hAnsi="Times New Roman" w:cs="Times New Roman"/>
                <w:sz w:val="24"/>
                <w:szCs w:val="24"/>
                <w:lang w:val="en-US"/>
              </w:rPr>
              <w:t xml:space="preserve"> T: S</w:t>
            </w:r>
          </w:p>
        </w:tc>
        <w:tc>
          <w:tcPr>
            <w:tcW w:w="1024" w:type="dxa"/>
            <w:shd w:val="clear" w:color="auto" w:fill="auto"/>
          </w:tcPr>
          <w:p w14:paraId="33855AD5" w14:textId="77777777" w:rsidR="009703CA" w:rsidRPr="005F2348" w:rsidRDefault="004F50F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6-8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DFA5B92" w14:textId="77777777" w:rsidR="009703CA" w:rsidRPr="005F2348" w:rsidRDefault="004F50F1"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after RT +S: 43%</w:t>
            </w:r>
          </w:p>
          <w:p w14:paraId="2897C0BD" w14:textId="77777777" w:rsidR="004F50F1" w:rsidRPr="005F2348" w:rsidRDefault="004F50F1" w:rsidP="005F2348">
            <w:pPr>
              <w:spacing w:after="200"/>
              <w:jc w:val="center"/>
              <w:rPr>
                <w:rFonts w:ascii="Times New Roman" w:hAnsi="Times New Roman" w:cs="Times New Roman"/>
                <w:sz w:val="24"/>
                <w:szCs w:val="24"/>
                <w:lang w:val="en-US"/>
              </w:rPr>
            </w:pPr>
            <w:proofErr w:type="spellStart"/>
            <w:r w:rsidRPr="005F2348">
              <w:rPr>
                <w:rFonts w:ascii="Times New Roman" w:hAnsi="Times New Roman" w:cs="Times New Roman"/>
                <w:sz w:val="24"/>
                <w:szCs w:val="24"/>
                <w:lang w:val="en-US"/>
              </w:rPr>
              <w:t>pCR</w:t>
            </w:r>
            <w:proofErr w:type="spellEnd"/>
            <w:r w:rsidRPr="005F2348">
              <w:rPr>
                <w:rFonts w:ascii="Times New Roman" w:hAnsi="Times New Roman" w:cs="Times New Roman"/>
                <w:sz w:val="24"/>
                <w:szCs w:val="24"/>
                <w:lang w:val="en-US"/>
              </w:rPr>
              <w:t xml:space="preserve"> after CRT + S: 27%</w:t>
            </w:r>
          </w:p>
        </w:tc>
        <w:tc>
          <w:tcPr>
            <w:tcW w:w="1754" w:type="dxa"/>
            <w:shd w:val="clear" w:color="auto" w:fill="auto"/>
          </w:tcPr>
          <w:p w14:paraId="60C9DE30" w14:textId="77777777" w:rsidR="009703CA" w:rsidRPr="005F2348" w:rsidRDefault="004F50F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OS: A:54%, B:39%</w:t>
            </w:r>
          </w:p>
          <w:p w14:paraId="3B5DB4E0" w14:textId="77777777" w:rsidR="004F50F1" w:rsidRPr="005F2348" w:rsidRDefault="004F50F1" w:rsidP="005F2348">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F2348">
              <w:rPr>
                <w:rFonts w:ascii="Times New Roman" w:hAnsi="Times New Roman" w:cs="Times New Roman"/>
                <w:sz w:val="24"/>
                <w:szCs w:val="24"/>
                <w:lang w:val="en-US"/>
              </w:rPr>
              <w:t>5yrs LCR: A:70%, B:62%</w:t>
            </w:r>
          </w:p>
        </w:tc>
      </w:tr>
    </w:tbl>
    <w:p w14:paraId="7273035E" w14:textId="3BAE54B3" w:rsidR="009703CA" w:rsidRPr="005F2348" w:rsidRDefault="009703CA" w:rsidP="005F2348">
      <w:pPr>
        <w:spacing w:line="240" w:lineRule="auto"/>
        <w:jc w:val="center"/>
        <w:rPr>
          <w:rFonts w:ascii="Times New Roman" w:hAnsi="Times New Roman" w:cs="Times New Roman"/>
          <w:sz w:val="24"/>
          <w:szCs w:val="24"/>
          <w:lang w:val="en-US"/>
        </w:rPr>
      </w:pPr>
    </w:p>
    <w:sectPr w:rsidR="009703CA" w:rsidRPr="005F2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8FB"/>
    <w:multiLevelType w:val="hybridMultilevel"/>
    <w:tmpl w:val="07A459B6"/>
    <w:lvl w:ilvl="0" w:tplc="B19096C2">
      <w:start w:val="1"/>
      <w:numFmt w:val="bullet"/>
      <w:lvlText w:val=""/>
      <w:lvlJc w:val="left"/>
      <w:pPr>
        <w:tabs>
          <w:tab w:val="num" w:pos="904"/>
        </w:tabs>
        <w:ind w:left="904" w:hanging="360"/>
      </w:pPr>
      <w:rPr>
        <w:rFonts w:ascii="Wingdings" w:hAnsi="Wingdings" w:hint="default"/>
      </w:rPr>
    </w:lvl>
    <w:lvl w:ilvl="1" w:tplc="04070003" w:tentative="1">
      <w:start w:val="1"/>
      <w:numFmt w:val="bullet"/>
      <w:lvlText w:val="o"/>
      <w:lvlJc w:val="left"/>
      <w:pPr>
        <w:tabs>
          <w:tab w:val="num" w:pos="1840"/>
        </w:tabs>
        <w:ind w:left="1840" w:hanging="360"/>
      </w:pPr>
      <w:rPr>
        <w:rFonts w:ascii="Courier New" w:hAnsi="Courier New" w:hint="default"/>
      </w:rPr>
    </w:lvl>
    <w:lvl w:ilvl="2" w:tplc="04070005" w:tentative="1">
      <w:start w:val="1"/>
      <w:numFmt w:val="bullet"/>
      <w:lvlText w:val=""/>
      <w:lvlJc w:val="left"/>
      <w:pPr>
        <w:tabs>
          <w:tab w:val="num" w:pos="2560"/>
        </w:tabs>
        <w:ind w:left="2560" w:hanging="360"/>
      </w:pPr>
      <w:rPr>
        <w:rFonts w:ascii="Wingdings" w:hAnsi="Wingdings" w:hint="default"/>
      </w:rPr>
    </w:lvl>
    <w:lvl w:ilvl="3" w:tplc="04070001" w:tentative="1">
      <w:start w:val="1"/>
      <w:numFmt w:val="bullet"/>
      <w:lvlText w:val=""/>
      <w:lvlJc w:val="left"/>
      <w:pPr>
        <w:tabs>
          <w:tab w:val="num" w:pos="3280"/>
        </w:tabs>
        <w:ind w:left="3280" w:hanging="360"/>
      </w:pPr>
      <w:rPr>
        <w:rFonts w:ascii="Symbol" w:hAnsi="Symbol" w:hint="default"/>
      </w:rPr>
    </w:lvl>
    <w:lvl w:ilvl="4" w:tplc="04070003" w:tentative="1">
      <w:start w:val="1"/>
      <w:numFmt w:val="bullet"/>
      <w:lvlText w:val="o"/>
      <w:lvlJc w:val="left"/>
      <w:pPr>
        <w:tabs>
          <w:tab w:val="num" w:pos="4000"/>
        </w:tabs>
        <w:ind w:left="4000" w:hanging="360"/>
      </w:pPr>
      <w:rPr>
        <w:rFonts w:ascii="Courier New" w:hAnsi="Courier New" w:hint="default"/>
      </w:rPr>
    </w:lvl>
    <w:lvl w:ilvl="5" w:tplc="04070005" w:tentative="1">
      <w:start w:val="1"/>
      <w:numFmt w:val="bullet"/>
      <w:lvlText w:val=""/>
      <w:lvlJc w:val="left"/>
      <w:pPr>
        <w:tabs>
          <w:tab w:val="num" w:pos="4720"/>
        </w:tabs>
        <w:ind w:left="4720" w:hanging="360"/>
      </w:pPr>
      <w:rPr>
        <w:rFonts w:ascii="Wingdings" w:hAnsi="Wingdings" w:hint="default"/>
      </w:rPr>
    </w:lvl>
    <w:lvl w:ilvl="6" w:tplc="04070001" w:tentative="1">
      <w:start w:val="1"/>
      <w:numFmt w:val="bullet"/>
      <w:lvlText w:val=""/>
      <w:lvlJc w:val="left"/>
      <w:pPr>
        <w:tabs>
          <w:tab w:val="num" w:pos="5440"/>
        </w:tabs>
        <w:ind w:left="5440" w:hanging="360"/>
      </w:pPr>
      <w:rPr>
        <w:rFonts w:ascii="Symbol" w:hAnsi="Symbol" w:hint="default"/>
      </w:rPr>
    </w:lvl>
    <w:lvl w:ilvl="7" w:tplc="04070003" w:tentative="1">
      <w:start w:val="1"/>
      <w:numFmt w:val="bullet"/>
      <w:lvlText w:val="o"/>
      <w:lvlJc w:val="left"/>
      <w:pPr>
        <w:tabs>
          <w:tab w:val="num" w:pos="6160"/>
        </w:tabs>
        <w:ind w:left="6160" w:hanging="360"/>
      </w:pPr>
      <w:rPr>
        <w:rFonts w:ascii="Courier New" w:hAnsi="Courier New" w:hint="default"/>
      </w:rPr>
    </w:lvl>
    <w:lvl w:ilvl="8" w:tplc="04070005" w:tentative="1">
      <w:start w:val="1"/>
      <w:numFmt w:val="bullet"/>
      <w:lvlText w:val=""/>
      <w:lvlJc w:val="left"/>
      <w:pPr>
        <w:tabs>
          <w:tab w:val="num" w:pos="6880"/>
        </w:tabs>
        <w:ind w:left="6880" w:hanging="360"/>
      </w:pPr>
      <w:rPr>
        <w:rFonts w:ascii="Wingdings" w:hAnsi="Wingdings" w:hint="default"/>
      </w:rPr>
    </w:lvl>
  </w:abstractNum>
  <w:abstractNum w:abstractNumId="1" w15:restartNumberingAfterBreak="0">
    <w:nsid w:val="0EF50AEC"/>
    <w:multiLevelType w:val="hybridMultilevel"/>
    <w:tmpl w:val="DB6A1B7E"/>
    <w:lvl w:ilvl="0" w:tplc="B19096C2">
      <w:start w:val="1"/>
      <w:numFmt w:val="bullet"/>
      <w:lvlText w:val=""/>
      <w:lvlJc w:val="left"/>
      <w:pPr>
        <w:tabs>
          <w:tab w:val="num" w:pos="504"/>
        </w:tabs>
        <w:ind w:left="50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NDS0MDcxMTM2MbJU0lEKTi0uzszPAykwrAUAftMBMywAAAA="/>
  </w:docVars>
  <w:rsids>
    <w:rsidRoot w:val="008840A1"/>
    <w:rsid w:val="00000833"/>
    <w:rsid w:val="0003114B"/>
    <w:rsid w:val="0008340F"/>
    <w:rsid w:val="0009317C"/>
    <w:rsid w:val="000A27A5"/>
    <w:rsid w:val="000F080A"/>
    <w:rsid w:val="00107F14"/>
    <w:rsid w:val="00122ABE"/>
    <w:rsid w:val="002C43B1"/>
    <w:rsid w:val="003C1874"/>
    <w:rsid w:val="00461AD4"/>
    <w:rsid w:val="00493155"/>
    <w:rsid w:val="00495C35"/>
    <w:rsid w:val="004A0C8C"/>
    <w:rsid w:val="004F50F1"/>
    <w:rsid w:val="005442CA"/>
    <w:rsid w:val="0055408C"/>
    <w:rsid w:val="005F2348"/>
    <w:rsid w:val="0067749E"/>
    <w:rsid w:val="00677D65"/>
    <w:rsid w:val="006F59E1"/>
    <w:rsid w:val="007A5A2F"/>
    <w:rsid w:val="00854D7E"/>
    <w:rsid w:val="008840A1"/>
    <w:rsid w:val="009415B4"/>
    <w:rsid w:val="009703CA"/>
    <w:rsid w:val="00992778"/>
    <w:rsid w:val="00A816E1"/>
    <w:rsid w:val="00C82E18"/>
    <w:rsid w:val="00E029AE"/>
    <w:rsid w:val="00E12E9F"/>
    <w:rsid w:val="00EA0D90"/>
    <w:rsid w:val="00F27697"/>
    <w:rsid w:val="00F52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FC5F"/>
  <w15:docId w15:val="{242BBC46-4E8D-4EB5-9285-D255833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2C43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C4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A0D90"/>
    <w:pPr>
      <w:ind w:left="720"/>
      <w:contextualSpacing/>
    </w:pPr>
  </w:style>
  <w:style w:type="character" w:customStyle="1" w:styleId="hgkelc">
    <w:name w:val="hgkelc"/>
    <w:basedOn w:val="DefaultParagraphFont"/>
    <w:rsid w:val="004A0C8C"/>
  </w:style>
  <w:style w:type="paragraph" w:styleId="BalloonText">
    <w:name w:val="Balloon Text"/>
    <w:basedOn w:val="Normal"/>
    <w:link w:val="BalloonTextChar"/>
    <w:uiPriority w:val="99"/>
    <w:semiHidden/>
    <w:unhideWhenUsed/>
    <w:rsid w:val="0010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14"/>
    <w:rPr>
      <w:rFonts w:ascii="Tahoma" w:hAnsi="Tahoma" w:cs="Tahoma"/>
      <w:sz w:val="16"/>
      <w:szCs w:val="16"/>
    </w:rPr>
  </w:style>
  <w:style w:type="paragraph" w:styleId="Revision">
    <w:name w:val="Revision"/>
    <w:hidden/>
    <w:uiPriority w:val="99"/>
    <w:semiHidden/>
    <w:rsid w:val="00E1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3CE3-42EB-4763-80EE-4BCB60EA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2328</Words>
  <Characters>13270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von der Grün</dc:creator>
  <cp:keywords/>
  <dc:description/>
  <cp:lastModifiedBy>Alessandro Sbordoni</cp:lastModifiedBy>
  <cp:revision>18</cp:revision>
  <dcterms:created xsi:type="dcterms:W3CDTF">2021-09-14T09:17:00Z</dcterms:created>
  <dcterms:modified xsi:type="dcterms:W3CDTF">2022-03-02T10:40:00Z</dcterms:modified>
</cp:coreProperties>
</file>