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420" w:rsidRDefault="00444420" w:rsidP="00444420">
      <w:pPr>
        <w:jc w:val="center"/>
        <w:rPr>
          <w:sz w:val="36"/>
          <w:szCs w:val="36"/>
        </w:rPr>
      </w:pPr>
      <w:r>
        <w:rPr>
          <w:noProof/>
          <w:sz w:val="36"/>
          <w:szCs w:val="36"/>
        </w:rPr>
        <w:drawing>
          <wp:inline distT="0" distB="0" distL="0" distR="0" wp14:anchorId="3F0EE28C" wp14:editId="3915E46F">
            <wp:extent cx="3200400" cy="609600"/>
            <wp:effectExtent l="0" t="0" r="0" b="0"/>
            <wp:docPr id="4" name="Picture 4"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rsidR="00444420" w:rsidRPr="00BF1BF9" w:rsidRDefault="00444420" w:rsidP="00444420">
      <w:pPr>
        <w:spacing w:before="100" w:beforeAutospacing="1" w:after="100" w:afterAutospacing="1"/>
        <w:jc w:val="center"/>
        <w:rPr>
          <w:rFonts w:ascii="Myriad Pro" w:hAnsi="Myriad Pro"/>
          <w:i/>
          <w:sz w:val="22"/>
          <w:szCs w:val="22"/>
        </w:rPr>
      </w:pPr>
      <w:r>
        <w:rPr>
          <w:rFonts w:ascii="Myriad Pro" w:hAnsi="Myriad Pro"/>
          <w:i/>
          <w:sz w:val="22"/>
          <w:szCs w:val="22"/>
        </w:rPr>
        <w:t>Geochemistry, Geophysics, Geosystems</w:t>
      </w:r>
    </w:p>
    <w:p w:rsidR="00444420" w:rsidRPr="00CE6EAA" w:rsidRDefault="00444420" w:rsidP="00444420">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rsidR="00444420" w:rsidRPr="005873FB" w:rsidRDefault="00444420" w:rsidP="00444420">
      <w:pPr>
        <w:spacing w:before="100" w:beforeAutospacing="1" w:after="100" w:afterAutospacing="1"/>
        <w:jc w:val="center"/>
        <w:rPr>
          <w:rFonts w:ascii="Myriad Pro" w:hAnsi="Myriad Pro"/>
          <w:b/>
          <w:bCs/>
          <w:sz w:val="22"/>
          <w:szCs w:val="22"/>
        </w:rPr>
      </w:pPr>
      <w:r w:rsidRPr="005873FB">
        <w:rPr>
          <w:rFonts w:ascii="Myriad Pro" w:hAnsi="Myriad Pro"/>
          <w:b/>
          <w:bCs/>
          <w:sz w:val="22"/>
          <w:szCs w:val="22"/>
        </w:rPr>
        <w:t xml:space="preserve">Fluid-mediated Mass Transfer between Mafic and Ultramafic rocks in Subduction Zones </w:t>
      </w:r>
    </w:p>
    <w:p w:rsidR="00444420" w:rsidRPr="005873FB" w:rsidRDefault="00444420" w:rsidP="00444420">
      <w:pPr>
        <w:spacing w:before="100" w:beforeAutospacing="1" w:after="100" w:afterAutospacing="1"/>
        <w:jc w:val="center"/>
        <w:rPr>
          <w:rFonts w:ascii="Myriad Pro" w:hAnsi="Myriad Pro"/>
          <w:sz w:val="22"/>
          <w:szCs w:val="22"/>
        </w:rPr>
      </w:pPr>
      <w:r w:rsidRPr="005873FB">
        <w:rPr>
          <w:rFonts w:ascii="Myriad Pro" w:hAnsi="Myriad Pro"/>
          <w:sz w:val="22"/>
          <w:szCs w:val="22"/>
        </w:rPr>
        <w:t>E. A. Codillo</w:t>
      </w:r>
      <w:r w:rsidRPr="005873FB">
        <w:rPr>
          <w:rFonts w:ascii="Myriad Pro" w:hAnsi="Myriad Pro"/>
          <w:sz w:val="22"/>
          <w:szCs w:val="22"/>
          <w:vertAlign w:val="superscript"/>
        </w:rPr>
        <w:t>*1</w:t>
      </w:r>
      <w:proofErr w:type="gramStart"/>
      <w:r w:rsidRPr="005873FB">
        <w:rPr>
          <w:rFonts w:ascii="Myriad Pro" w:hAnsi="Myriad Pro"/>
          <w:sz w:val="22"/>
          <w:szCs w:val="22"/>
          <w:vertAlign w:val="superscript"/>
        </w:rPr>
        <w:t>,3</w:t>
      </w:r>
      <w:proofErr w:type="gramEnd"/>
      <w:r w:rsidRPr="005873FB">
        <w:rPr>
          <w:rFonts w:ascii="Myriad Pro" w:hAnsi="Myriad Pro"/>
          <w:sz w:val="22"/>
          <w:szCs w:val="22"/>
        </w:rPr>
        <w:t>, F. Klein</w:t>
      </w:r>
      <w:r w:rsidRPr="005873FB">
        <w:rPr>
          <w:rFonts w:ascii="Myriad Pro" w:hAnsi="Myriad Pro"/>
          <w:sz w:val="22"/>
          <w:szCs w:val="22"/>
          <w:vertAlign w:val="superscript"/>
        </w:rPr>
        <w:t>2</w:t>
      </w:r>
      <w:r w:rsidRPr="005873FB">
        <w:rPr>
          <w:rFonts w:ascii="Myriad Pro" w:hAnsi="Myriad Pro"/>
          <w:sz w:val="22"/>
          <w:szCs w:val="22"/>
        </w:rPr>
        <w:t>, B. Dragovic</w:t>
      </w:r>
      <w:r w:rsidRPr="005873FB">
        <w:rPr>
          <w:rFonts w:ascii="Myriad Pro" w:hAnsi="Myriad Pro"/>
          <w:sz w:val="22"/>
          <w:szCs w:val="22"/>
          <w:vertAlign w:val="superscript"/>
        </w:rPr>
        <w:t>4</w:t>
      </w:r>
      <w:r w:rsidRPr="005873FB">
        <w:rPr>
          <w:rFonts w:ascii="Myriad Pro" w:hAnsi="Myriad Pro"/>
          <w:sz w:val="22"/>
          <w:szCs w:val="22"/>
        </w:rPr>
        <w:t>, H. R. Marschall</w:t>
      </w:r>
      <w:r w:rsidRPr="005873FB">
        <w:rPr>
          <w:rFonts w:ascii="Myriad Pro" w:hAnsi="Myriad Pro"/>
          <w:sz w:val="22"/>
          <w:szCs w:val="22"/>
          <w:vertAlign w:val="superscript"/>
        </w:rPr>
        <w:t>3,5</w:t>
      </w:r>
      <w:r w:rsidRPr="005873FB">
        <w:rPr>
          <w:rFonts w:ascii="Myriad Pro" w:hAnsi="Myriad Pro"/>
          <w:sz w:val="22"/>
          <w:szCs w:val="22"/>
        </w:rPr>
        <w:t>, E. Baxter</w:t>
      </w:r>
      <w:r w:rsidRPr="005873FB">
        <w:rPr>
          <w:rFonts w:ascii="Myriad Pro" w:hAnsi="Myriad Pro"/>
          <w:sz w:val="22"/>
          <w:szCs w:val="22"/>
          <w:vertAlign w:val="superscript"/>
        </w:rPr>
        <w:t>6</w:t>
      </w:r>
      <w:r w:rsidRPr="005873FB">
        <w:rPr>
          <w:rFonts w:ascii="Myriad Pro" w:hAnsi="Myriad Pro"/>
          <w:sz w:val="22"/>
          <w:szCs w:val="22"/>
        </w:rPr>
        <w:t>, M. Scambelluri</w:t>
      </w:r>
      <w:r w:rsidRPr="005873FB">
        <w:rPr>
          <w:rFonts w:ascii="Myriad Pro" w:hAnsi="Myriad Pro"/>
          <w:sz w:val="22"/>
          <w:szCs w:val="22"/>
          <w:vertAlign w:val="superscript"/>
        </w:rPr>
        <w:t>7</w:t>
      </w:r>
      <w:r w:rsidRPr="005873FB">
        <w:rPr>
          <w:rFonts w:ascii="Myriad Pro" w:hAnsi="Myriad Pro"/>
          <w:sz w:val="22"/>
          <w:szCs w:val="22"/>
        </w:rPr>
        <w:t>, E. Schwarzenbach</w:t>
      </w:r>
      <w:r w:rsidRPr="005873FB">
        <w:rPr>
          <w:rFonts w:ascii="Myriad Pro" w:hAnsi="Myriad Pro"/>
          <w:sz w:val="22"/>
          <w:szCs w:val="22"/>
        </w:rPr>
        <w:t>‬</w:t>
      </w:r>
      <w:r w:rsidRPr="005873FB">
        <w:rPr>
          <w:rFonts w:ascii="Myriad Pro" w:hAnsi="Myriad Pro"/>
          <w:sz w:val="22"/>
          <w:szCs w:val="22"/>
          <w:vertAlign w:val="superscript"/>
        </w:rPr>
        <w:t>8</w:t>
      </w:r>
    </w:p>
    <w:p w:rsidR="00444420" w:rsidRPr="005873FB" w:rsidRDefault="00444420" w:rsidP="00444420">
      <w:pPr>
        <w:spacing w:before="100" w:beforeAutospacing="1" w:after="100" w:afterAutospacing="1"/>
        <w:jc w:val="both"/>
        <w:rPr>
          <w:rFonts w:ascii="Myriad Pro" w:hAnsi="Myriad Pro"/>
          <w:sz w:val="18"/>
          <w:szCs w:val="18"/>
        </w:rPr>
      </w:pPr>
      <w:r w:rsidRPr="005873FB">
        <w:rPr>
          <w:rFonts w:ascii="Myriad Pro" w:hAnsi="Myriad Pro"/>
          <w:sz w:val="18"/>
          <w:szCs w:val="18"/>
          <w:vertAlign w:val="superscript"/>
        </w:rPr>
        <w:t>1</w:t>
      </w:r>
      <w:r w:rsidRPr="005873FB">
        <w:rPr>
          <w:rFonts w:ascii="Myriad Pro" w:hAnsi="Myriad Pro"/>
          <w:sz w:val="18"/>
          <w:szCs w:val="18"/>
        </w:rPr>
        <w:t xml:space="preserve">Massachusetts Institute of Technology-Woods Hole Oceanographic Institution Joint Program in Oceanography/Applied Ocean Science and Engineering, Woods Hole, Massachusetts 02543, USA, </w:t>
      </w:r>
      <w:r w:rsidRPr="005873FB">
        <w:rPr>
          <w:rFonts w:ascii="Myriad Pro" w:hAnsi="Myriad Pro"/>
          <w:sz w:val="18"/>
          <w:szCs w:val="18"/>
          <w:vertAlign w:val="superscript"/>
        </w:rPr>
        <w:t>2</w:t>
      </w:r>
      <w:r w:rsidRPr="005873FB">
        <w:rPr>
          <w:rFonts w:ascii="Myriad Pro" w:hAnsi="Myriad Pro"/>
          <w:sz w:val="18"/>
          <w:szCs w:val="18"/>
        </w:rPr>
        <w:t xml:space="preserve">Department of Marine Chemistry and Geochemistry, Woods Hole Oceanographic Institution, 266 Woods Hole Road, Woods Hole Massachusetts 02543, USA, </w:t>
      </w:r>
      <w:r w:rsidRPr="005873FB">
        <w:rPr>
          <w:rFonts w:ascii="Myriad Pro" w:hAnsi="Myriad Pro"/>
          <w:sz w:val="18"/>
          <w:szCs w:val="18"/>
          <w:vertAlign w:val="superscript"/>
        </w:rPr>
        <w:t>3</w:t>
      </w:r>
      <w:r w:rsidRPr="005873FB">
        <w:rPr>
          <w:rFonts w:ascii="Myriad Pro" w:hAnsi="Myriad Pro"/>
          <w:sz w:val="18"/>
          <w:szCs w:val="18"/>
        </w:rPr>
        <w:t xml:space="preserve">Department of Geology and Geophysics, Woods Hole Oceanographic Institution, 266 Woods Hole Road, Woods Hole Massachusetts 02543, USA, </w:t>
      </w:r>
      <w:r w:rsidRPr="005873FB">
        <w:rPr>
          <w:rFonts w:ascii="Myriad Pro" w:hAnsi="Myriad Pro"/>
          <w:sz w:val="18"/>
          <w:szCs w:val="18"/>
          <w:vertAlign w:val="superscript"/>
        </w:rPr>
        <w:t>4</w:t>
      </w:r>
      <w:r w:rsidRPr="005873FB">
        <w:rPr>
          <w:rFonts w:ascii="Myriad Pro" w:hAnsi="Myriad Pro"/>
          <w:sz w:val="18"/>
          <w:szCs w:val="18"/>
        </w:rPr>
        <w:t xml:space="preserve">School of the Earth, Ocean &amp; Environment, University of South Carolina, Columbia, SC 29208, USA, </w:t>
      </w:r>
      <w:r w:rsidRPr="005873FB">
        <w:rPr>
          <w:rFonts w:ascii="Myriad Pro" w:hAnsi="Myriad Pro"/>
          <w:sz w:val="18"/>
          <w:szCs w:val="18"/>
          <w:vertAlign w:val="superscript"/>
        </w:rPr>
        <w:t>5</w:t>
      </w:r>
      <w:r w:rsidRPr="005873FB">
        <w:rPr>
          <w:rFonts w:ascii="Myriad Pro" w:hAnsi="Myriad Pro"/>
          <w:sz w:val="18"/>
          <w:szCs w:val="18"/>
        </w:rPr>
        <w:t xml:space="preserve">Institut </w:t>
      </w:r>
      <w:proofErr w:type="spellStart"/>
      <w:r w:rsidRPr="005873FB">
        <w:rPr>
          <w:rFonts w:ascii="Myriad Pro" w:hAnsi="Myriad Pro"/>
          <w:sz w:val="18"/>
          <w:szCs w:val="18"/>
        </w:rPr>
        <w:t>für</w:t>
      </w:r>
      <w:proofErr w:type="spellEnd"/>
      <w:r w:rsidRPr="005873FB">
        <w:rPr>
          <w:rFonts w:ascii="Myriad Pro" w:hAnsi="Myriad Pro"/>
          <w:sz w:val="18"/>
          <w:szCs w:val="18"/>
        </w:rPr>
        <w:t xml:space="preserve"> </w:t>
      </w:r>
      <w:proofErr w:type="spellStart"/>
      <w:r w:rsidRPr="005873FB">
        <w:rPr>
          <w:rFonts w:ascii="Myriad Pro" w:hAnsi="Myriad Pro"/>
          <w:sz w:val="18"/>
          <w:szCs w:val="18"/>
        </w:rPr>
        <w:t>Geowissenschaften</w:t>
      </w:r>
      <w:proofErr w:type="spellEnd"/>
      <w:r w:rsidRPr="005873FB">
        <w:rPr>
          <w:rFonts w:ascii="Myriad Pro" w:hAnsi="Myriad Pro"/>
          <w:sz w:val="18"/>
          <w:szCs w:val="18"/>
        </w:rPr>
        <w:t xml:space="preserve">, Goethe </w:t>
      </w:r>
      <w:proofErr w:type="spellStart"/>
      <w:r w:rsidRPr="005873FB">
        <w:rPr>
          <w:rFonts w:ascii="Myriad Pro" w:hAnsi="Myriad Pro"/>
          <w:sz w:val="18"/>
          <w:szCs w:val="18"/>
        </w:rPr>
        <w:t>Universität</w:t>
      </w:r>
      <w:proofErr w:type="spellEnd"/>
      <w:r w:rsidRPr="005873FB">
        <w:rPr>
          <w:rFonts w:ascii="Myriad Pro" w:hAnsi="Myriad Pro"/>
          <w:sz w:val="18"/>
          <w:szCs w:val="18"/>
        </w:rPr>
        <w:t xml:space="preserve"> Frankfurt, </w:t>
      </w:r>
      <w:proofErr w:type="spellStart"/>
      <w:r w:rsidRPr="005873FB">
        <w:rPr>
          <w:rFonts w:ascii="Myriad Pro" w:hAnsi="Myriad Pro"/>
          <w:sz w:val="18"/>
          <w:szCs w:val="18"/>
        </w:rPr>
        <w:t>Altenhöferalle</w:t>
      </w:r>
      <w:proofErr w:type="spellEnd"/>
      <w:r w:rsidRPr="005873FB">
        <w:rPr>
          <w:rFonts w:ascii="Myriad Pro" w:hAnsi="Myriad Pro"/>
          <w:sz w:val="18"/>
          <w:szCs w:val="18"/>
        </w:rPr>
        <w:t xml:space="preserve"> 1, 60438 Frankfurt am Main, Germany, </w:t>
      </w:r>
      <w:r w:rsidRPr="005873FB">
        <w:rPr>
          <w:rFonts w:ascii="Myriad Pro" w:hAnsi="Myriad Pro"/>
          <w:sz w:val="18"/>
          <w:szCs w:val="18"/>
          <w:vertAlign w:val="superscript"/>
        </w:rPr>
        <w:t>6</w:t>
      </w:r>
      <w:r w:rsidRPr="005873FB">
        <w:rPr>
          <w:rFonts w:ascii="Myriad Pro" w:hAnsi="Myriad Pro"/>
          <w:sz w:val="18"/>
          <w:szCs w:val="18"/>
        </w:rPr>
        <w:t xml:space="preserve">Department of Earth and Environmental Sciences, Boston College, Chestnut Hill, Massachusetts 02467, USA, </w:t>
      </w:r>
      <w:r w:rsidRPr="005873FB">
        <w:rPr>
          <w:rFonts w:ascii="Myriad Pro" w:hAnsi="Myriad Pro"/>
          <w:sz w:val="18"/>
          <w:szCs w:val="18"/>
          <w:vertAlign w:val="superscript"/>
        </w:rPr>
        <w:t>7</w:t>
      </w:r>
      <w:r w:rsidRPr="005873FB">
        <w:rPr>
          <w:rFonts w:ascii="Myriad Pro" w:hAnsi="Myriad Pro"/>
          <w:sz w:val="18"/>
          <w:szCs w:val="18"/>
        </w:rPr>
        <w:t xml:space="preserve">Department of Earth Sciences, University of Genova, Corso Europa 26, 16132 Genova, Italy, </w:t>
      </w:r>
      <w:r w:rsidRPr="005873FB">
        <w:rPr>
          <w:rFonts w:ascii="Myriad Pro" w:hAnsi="Myriad Pro"/>
          <w:sz w:val="18"/>
          <w:szCs w:val="18"/>
          <w:vertAlign w:val="superscript"/>
        </w:rPr>
        <w:t>8</w:t>
      </w:r>
      <w:r w:rsidRPr="005873FB">
        <w:rPr>
          <w:rFonts w:ascii="Myriad Pro" w:hAnsi="Myriad Pro"/>
          <w:sz w:val="18"/>
          <w:szCs w:val="18"/>
        </w:rPr>
        <w:t xml:space="preserve">Institut </w:t>
      </w:r>
      <w:proofErr w:type="spellStart"/>
      <w:r w:rsidRPr="005873FB">
        <w:rPr>
          <w:rFonts w:ascii="Myriad Pro" w:hAnsi="Myriad Pro"/>
          <w:sz w:val="18"/>
          <w:szCs w:val="18"/>
        </w:rPr>
        <w:t>für</w:t>
      </w:r>
      <w:proofErr w:type="spellEnd"/>
      <w:r w:rsidRPr="005873FB">
        <w:rPr>
          <w:rFonts w:ascii="Myriad Pro" w:hAnsi="Myriad Pro"/>
          <w:sz w:val="18"/>
          <w:szCs w:val="18"/>
        </w:rPr>
        <w:t xml:space="preserve"> </w:t>
      </w:r>
      <w:proofErr w:type="spellStart"/>
      <w:r w:rsidRPr="005873FB">
        <w:rPr>
          <w:rFonts w:ascii="Myriad Pro" w:hAnsi="Myriad Pro"/>
          <w:sz w:val="18"/>
          <w:szCs w:val="18"/>
        </w:rPr>
        <w:t>Geologische</w:t>
      </w:r>
      <w:proofErr w:type="spellEnd"/>
      <w:r w:rsidRPr="005873FB">
        <w:rPr>
          <w:rFonts w:ascii="Myriad Pro" w:hAnsi="Myriad Pro"/>
          <w:sz w:val="18"/>
          <w:szCs w:val="18"/>
        </w:rPr>
        <w:t xml:space="preserve"> </w:t>
      </w:r>
      <w:proofErr w:type="spellStart"/>
      <w:r w:rsidRPr="005873FB">
        <w:rPr>
          <w:rFonts w:ascii="Myriad Pro" w:hAnsi="Myriad Pro"/>
          <w:sz w:val="18"/>
          <w:szCs w:val="18"/>
        </w:rPr>
        <w:t>Wissenschaften</w:t>
      </w:r>
      <w:proofErr w:type="spellEnd"/>
      <w:r w:rsidRPr="005873FB">
        <w:rPr>
          <w:rFonts w:ascii="Myriad Pro" w:hAnsi="Myriad Pro"/>
          <w:sz w:val="18"/>
          <w:szCs w:val="18"/>
        </w:rPr>
        <w:t xml:space="preserve">, </w:t>
      </w:r>
      <w:proofErr w:type="spellStart"/>
      <w:r w:rsidRPr="005873FB">
        <w:rPr>
          <w:rFonts w:ascii="Myriad Pro" w:hAnsi="Myriad Pro"/>
          <w:sz w:val="18"/>
          <w:szCs w:val="18"/>
        </w:rPr>
        <w:t>Freie</w:t>
      </w:r>
      <w:proofErr w:type="spellEnd"/>
      <w:r w:rsidRPr="005873FB">
        <w:rPr>
          <w:rFonts w:ascii="Myriad Pro" w:hAnsi="Myriad Pro"/>
          <w:sz w:val="18"/>
          <w:szCs w:val="18"/>
        </w:rPr>
        <w:t xml:space="preserve"> </w:t>
      </w:r>
      <w:proofErr w:type="spellStart"/>
      <w:r w:rsidRPr="005873FB">
        <w:rPr>
          <w:rFonts w:ascii="Myriad Pro" w:hAnsi="Myriad Pro"/>
          <w:sz w:val="18"/>
          <w:szCs w:val="18"/>
        </w:rPr>
        <w:t>Universität</w:t>
      </w:r>
      <w:proofErr w:type="spellEnd"/>
      <w:r w:rsidRPr="005873FB">
        <w:rPr>
          <w:rFonts w:ascii="Myriad Pro" w:hAnsi="Myriad Pro"/>
          <w:sz w:val="18"/>
          <w:szCs w:val="18"/>
        </w:rPr>
        <w:t xml:space="preserve"> Berlin, </w:t>
      </w:r>
      <w:proofErr w:type="spellStart"/>
      <w:r w:rsidRPr="005873FB">
        <w:rPr>
          <w:rFonts w:ascii="Myriad Pro" w:hAnsi="Myriad Pro"/>
          <w:sz w:val="18"/>
          <w:szCs w:val="18"/>
        </w:rPr>
        <w:t>Malteserstr</w:t>
      </w:r>
      <w:proofErr w:type="spellEnd"/>
      <w:r w:rsidRPr="005873FB">
        <w:rPr>
          <w:rFonts w:ascii="Myriad Pro" w:hAnsi="Myriad Pro"/>
          <w:sz w:val="18"/>
          <w:szCs w:val="18"/>
        </w:rPr>
        <w:t>. 74–100, 12249 Berlin, Germany</w:t>
      </w:r>
    </w:p>
    <w:p w:rsidR="00444420" w:rsidRDefault="00444420" w:rsidP="00444420">
      <w:pPr>
        <w:rPr>
          <w:rFonts w:ascii="Myriad Pro" w:hAnsi="Myriad Pro"/>
          <w:b/>
        </w:rPr>
      </w:pPr>
    </w:p>
    <w:p w:rsidR="00444420" w:rsidRDefault="00444420" w:rsidP="00444420">
      <w:pPr>
        <w:rPr>
          <w:rFonts w:ascii="Myriad Pro" w:hAnsi="Myriad Pro"/>
          <w:b/>
        </w:rPr>
      </w:pPr>
      <w:r w:rsidRPr="00CE6EAA">
        <w:rPr>
          <w:rFonts w:ascii="Myriad Pro" w:hAnsi="Myriad Pro"/>
          <w:b/>
        </w:rPr>
        <w:t>Contents of this file</w:t>
      </w:r>
      <w:r>
        <w:rPr>
          <w:rFonts w:ascii="Myriad Pro" w:hAnsi="Myriad Pro"/>
          <w:b/>
        </w:rPr>
        <w:t xml:space="preserve"> </w:t>
      </w:r>
    </w:p>
    <w:p w:rsidR="00444420" w:rsidRDefault="00444420" w:rsidP="00444420">
      <w:pPr>
        <w:rPr>
          <w:rFonts w:ascii="Myriad Pro" w:hAnsi="Myriad Pro"/>
          <w:sz w:val="22"/>
          <w:szCs w:val="22"/>
        </w:rPr>
      </w:pPr>
      <w:r w:rsidRPr="00491248">
        <w:rPr>
          <w:rFonts w:ascii="Myriad Pro" w:hAnsi="Myriad Pro"/>
          <w:sz w:val="22"/>
          <w:szCs w:val="22"/>
        </w:rPr>
        <w:tab/>
        <w:t>Method</w:t>
      </w:r>
      <w:r>
        <w:rPr>
          <w:rFonts w:ascii="Myriad Pro" w:hAnsi="Myriad Pro"/>
          <w:sz w:val="22"/>
          <w:szCs w:val="22"/>
        </w:rPr>
        <w:t>s with references</w:t>
      </w:r>
    </w:p>
    <w:p w:rsidR="00444420" w:rsidRDefault="00444420" w:rsidP="00444420">
      <w:pPr>
        <w:rPr>
          <w:rFonts w:ascii="Myriad Pro" w:hAnsi="Myriad Pro"/>
          <w:sz w:val="22"/>
          <w:szCs w:val="22"/>
        </w:rPr>
      </w:pPr>
      <w:r>
        <w:rPr>
          <w:rFonts w:ascii="Myriad Pro" w:hAnsi="Myriad Pro"/>
          <w:sz w:val="22"/>
          <w:szCs w:val="22"/>
        </w:rPr>
        <w:tab/>
      </w:r>
      <w:r>
        <w:rPr>
          <w:rFonts w:ascii="Myriad Pro" w:hAnsi="Myriad Pro"/>
          <w:sz w:val="22"/>
          <w:szCs w:val="22"/>
        </w:rPr>
        <w:tab/>
      </w:r>
      <w:r w:rsidRPr="00857A03">
        <w:rPr>
          <w:rFonts w:ascii="Myriad Pro" w:hAnsi="Myriad Pro"/>
          <w:sz w:val="22"/>
          <w:szCs w:val="22"/>
        </w:rPr>
        <w:t>Mineralogy, geochemistry, and petrophysical properties</w:t>
      </w:r>
    </w:p>
    <w:p w:rsidR="00444420" w:rsidRDefault="00444420" w:rsidP="00444420">
      <w:pPr>
        <w:rPr>
          <w:rFonts w:ascii="Myriad Pro" w:hAnsi="Myriad Pro"/>
          <w:sz w:val="22"/>
          <w:szCs w:val="22"/>
        </w:rPr>
      </w:pPr>
      <w:r>
        <w:rPr>
          <w:rFonts w:ascii="Myriad Pro" w:hAnsi="Myriad Pro"/>
          <w:sz w:val="22"/>
          <w:szCs w:val="22"/>
        </w:rPr>
        <w:tab/>
      </w:r>
      <w:r>
        <w:rPr>
          <w:rFonts w:ascii="Myriad Pro" w:hAnsi="Myriad Pro"/>
          <w:sz w:val="22"/>
          <w:szCs w:val="22"/>
        </w:rPr>
        <w:tab/>
      </w:r>
      <w:r w:rsidRPr="00857A03">
        <w:rPr>
          <w:rFonts w:ascii="Myriad Pro" w:hAnsi="Myriad Pro"/>
          <w:sz w:val="22"/>
          <w:szCs w:val="22"/>
        </w:rPr>
        <w:t>Phase equilibria and reaction-path modeling</w:t>
      </w:r>
    </w:p>
    <w:p w:rsidR="00C77A11" w:rsidRPr="00491248" w:rsidRDefault="00C77A11" w:rsidP="00105115">
      <w:pPr>
        <w:ind w:left="720" w:firstLine="720"/>
        <w:rPr>
          <w:rFonts w:ascii="Myriad Pro" w:hAnsi="Myriad Pro"/>
          <w:sz w:val="22"/>
          <w:szCs w:val="22"/>
        </w:rPr>
      </w:pPr>
      <w:r w:rsidRPr="00C77A11">
        <w:rPr>
          <w:rFonts w:ascii="Myriad Pro" w:hAnsi="Myriad Pro"/>
          <w:sz w:val="22"/>
          <w:szCs w:val="22"/>
        </w:rPr>
        <w:t>Mass-balance calculations</w:t>
      </w:r>
    </w:p>
    <w:p w:rsidR="00444420" w:rsidRPr="00CE6EAA" w:rsidRDefault="00444420" w:rsidP="00444420">
      <w:pPr>
        <w:ind w:left="720"/>
        <w:rPr>
          <w:rFonts w:ascii="Myriad Pro" w:hAnsi="Myriad Pro"/>
          <w:sz w:val="22"/>
          <w:szCs w:val="22"/>
        </w:rPr>
      </w:pPr>
      <w:r w:rsidRPr="00CE6EAA">
        <w:rPr>
          <w:rFonts w:ascii="Myriad Pro" w:hAnsi="Myriad Pro"/>
          <w:sz w:val="22"/>
          <w:szCs w:val="22"/>
        </w:rPr>
        <w:t>Figures S1 to S</w:t>
      </w:r>
      <w:r w:rsidR="009F5CBE">
        <w:rPr>
          <w:rFonts w:ascii="Myriad Pro" w:hAnsi="Myriad Pro"/>
          <w:sz w:val="22"/>
          <w:szCs w:val="22"/>
        </w:rPr>
        <w:t>10</w:t>
      </w:r>
    </w:p>
    <w:p w:rsidR="00444420" w:rsidRDefault="00444420" w:rsidP="00444420">
      <w:pPr>
        <w:ind w:left="720"/>
        <w:rPr>
          <w:rFonts w:ascii="Myriad Pro" w:hAnsi="Myriad Pro"/>
          <w:sz w:val="22"/>
          <w:szCs w:val="22"/>
        </w:rPr>
      </w:pPr>
    </w:p>
    <w:p w:rsidR="00444420" w:rsidRPr="00CE6EAA" w:rsidRDefault="00444420" w:rsidP="00444420">
      <w:pPr>
        <w:rPr>
          <w:rFonts w:ascii="Myriad Pro" w:hAnsi="Myriad Pro"/>
          <w:b/>
        </w:rPr>
      </w:pPr>
      <w:r w:rsidRPr="00CE6EAA">
        <w:rPr>
          <w:rFonts w:ascii="Myriad Pro" w:hAnsi="Myriad Pro"/>
          <w:b/>
        </w:rPr>
        <w:t xml:space="preserve">Additional Supporting Information </w:t>
      </w:r>
    </w:p>
    <w:p w:rsidR="00444420" w:rsidRPr="00D122BA" w:rsidRDefault="00444420" w:rsidP="00444420">
      <w:pPr>
        <w:jc w:val="both"/>
        <w:rPr>
          <w:rFonts w:ascii="Myriad Pro" w:hAnsi="Myriad Pro"/>
          <w:sz w:val="22"/>
        </w:rPr>
      </w:pPr>
      <w:r w:rsidRPr="00D122BA">
        <w:rPr>
          <w:rFonts w:ascii="Myriad Pro" w:hAnsi="Myriad Pro"/>
          <w:sz w:val="22"/>
        </w:rPr>
        <w:t>Table S1. Bulk-rock major, trace elements, and Sr isotope compositions, and petrophysical properties.</w:t>
      </w:r>
    </w:p>
    <w:p w:rsidR="00444420" w:rsidRPr="00D122BA" w:rsidRDefault="00444420" w:rsidP="00444420">
      <w:pPr>
        <w:jc w:val="both"/>
        <w:rPr>
          <w:rFonts w:ascii="Myriad Pro" w:hAnsi="Myriad Pro"/>
          <w:sz w:val="22"/>
        </w:rPr>
      </w:pPr>
      <w:r w:rsidRPr="00D122BA">
        <w:rPr>
          <w:rFonts w:ascii="Myriad Pro" w:hAnsi="Myriad Pro"/>
          <w:sz w:val="22"/>
        </w:rPr>
        <w:t>Table S2. Thermal analysis of representative samples from each zone measured by TGA-DSC.</w:t>
      </w:r>
    </w:p>
    <w:p w:rsidR="00444420" w:rsidRPr="00D122BA" w:rsidRDefault="00444420" w:rsidP="00444420">
      <w:pPr>
        <w:jc w:val="both"/>
        <w:rPr>
          <w:rFonts w:ascii="Myriad Pro" w:hAnsi="Myriad Pro"/>
          <w:sz w:val="22"/>
        </w:rPr>
      </w:pPr>
      <w:r w:rsidRPr="00D122BA">
        <w:rPr>
          <w:rFonts w:ascii="Myriad Pro" w:hAnsi="Myriad Pro"/>
          <w:sz w:val="22"/>
        </w:rPr>
        <w:t>Table S3. Representative garnet core and rim compositions in each zone measured by EPMA</w:t>
      </w:r>
    </w:p>
    <w:p w:rsidR="00444420" w:rsidRPr="00D122BA" w:rsidRDefault="00444420" w:rsidP="00444420">
      <w:pPr>
        <w:jc w:val="both"/>
        <w:rPr>
          <w:rFonts w:ascii="Myriad Pro" w:hAnsi="Myriad Pro"/>
          <w:sz w:val="22"/>
        </w:rPr>
      </w:pPr>
      <w:r w:rsidRPr="00D122BA">
        <w:rPr>
          <w:rFonts w:ascii="Myriad Pro" w:hAnsi="Myriad Pro"/>
          <w:sz w:val="22"/>
        </w:rPr>
        <w:t>Tabl</w:t>
      </w:r>
      <w:r>
        <w:rPr>
          <w:rFonts w:ascii="Myriad Pro" w:hAnsi="Myriad Pro"/>
          <w:sz w:val="22"/>
        </w:rPr>
        <w:t>e S4. Representative garnet rim-to-</w:t>
      </w:r>
      <w:r w:rsidRPr="00D122BA">
        <w:rPr>
          <w:rFonts w:ascii="Myriad Pro" w:hAnsi="Myriad Pro"/>
          <w:sz w:val="22"/>
        </w:rPr>
        <w:t>rim compositions along line transect</w:t>
      </w:r>
      <w:r>
        <w:rPr>
          <w:rFonts w:ascii="Myriad Pro" w:hAnsi="Myriad Pro"/>
          <w:sz w:val="22"/>
        </w:rPr>
        <w:t>s</w:t>
      </w:r>
      <w:r w:rsidRPr="00D122BA">
        <w:rPr>
          <w:rFonts w:ascii="Myriad Pro" w:hAnsi="Myriad Pro"/>
          <w:sz w:val="22"/>
        </w:rPr>
        <w:t xml:space="preserve"> measured by EPMA.</w:t>
      </w:r>
    </w:p>
    <w:p w:rsidR="00444420" w:rsidRPr="00D122BA" w:rsidRDefault="00444420" w:rsidP="00444420">
      <w:pPr>
        <w:jc w:val="both"/>
        <w:rPr>
          <w:rFonts w:ascii="Myriad Pro" w:hAnsi="Myriad Pro"/>
          <w:sz w:val="22"/>
        </w:rPr>
      </w:pPr>
      <w:r w:rsidRPr="00D122BA">
        <w:rPr>
          <w:rFonts w:ascii="Myriad Pro" w:hAnsi="Myriad Pro"/>
          <w:sz w:val="22"/>
        </w:rPr>
        <w:t>Table S5. Composition of amphiboles determined by EPMA.</w:t>
      </w:r>
    </w:p>
    <w:p w:rsidR="00444420" w:rsidRPr="00D122BA" w:rsidRDefault="00444420" w:rsidP="00444420">
      <w:pPr>
        <w:jc w:val="both"/>
        <w:rPr>
          <w:rFonts w:ascii="Myriad Pro" w:hAnsi="Myriad Pro"/>
          <w:sz w:val="22"/>
        </w:rPr>
      </w:pPr>
      <w:r w:rsidRPr="00D122BA">
        <w:rPr>
          <w:rFonts w:ascii="Myriad Pro" w:hAnsi="Myriad Pro"/>
          <w:sz w:val="22"/>
        </w:rPr>
        <w:t>Table S6. Composition of clinopyroxene determined by EPMA.</w:t>
      </w:r>
    </w:p>
    <w:p w:rsidR="00444420" w:rsidRDefault="00444420" w:rsidP="00444420">
      <w:pPr>
        <w:jc w:val="both"/>
        <w:rPr>
          <w:rFonts w:ascii="Myriad Pro" w:hAnsi="Myriad Pro"/>
          <w:sz w:val="22"/>
        </w:rPr>
      </w:pPr>
      <w:r w:rsidRPr="00D122BA">
        <w:rPr>
          <w:rFonts w:ascii="Myriad Pro" w:hAnsi="Myriad Pro"/>
          <w:sz w:val="22"/>
        </w:rPr>
        <w:t>Table S7. Composition of chlorite determined by EPMA.</w:t>
      </w:r>
    </w:p>
    <w:p w:rsidR="00444420" w:rsidRDefault="00444420" w:rsidP="00444420">
      <w:pPr>
        <w:jc w:val="both"/>
        <w:rPr>
          <w:rFonts w:ascii="Myriad Pro" w:hAnsi="Myriad Pro"/>
          <w:sz w:val="22"/>
        </w:rPr>
      </w:pPr>
      <w:r w:rsidRPr="00D122BA">
        <w:rPr>
          <w:rFonts w:ascii="Myriad Pro" w:hAnsi="Myriad Pro"/>
          <w:sz w:val="22"/>
        </w:rPr>
        <w:t>Table S8. Composition of epidote determined by EPMA.</w:t>
      </w:r>
    </w:p>
    <w:p w:rsidR="00444420" w:rsidRDefault="00444420" w:rsidP="00444420">
      <w:pPr>
        <w:jc w:val="both"/>
        <w:rPr>
          <w:rFonts w:ascii="Myriad Pro" w:hAnsi="Myriad Pro"/>
          <w:sz w:val="22"/>
        </w:rPr>
      </w:pPr>
      <w:r w:rsidRPr="008D2997">
        <w:rPr>
          <w:rFonts w:ascii="Myriad Pro" w:hAnsi="Myriad Pro"/>
          <w:sz w:val="22"/>
        </w:rPr>
        <w:t>Table S9. Compositions of serpenti</w:t>
      </w:r>
      <w:r>
        <w:rPr>
          <w:rFonts w:ascii="Myriad Pro" w:hAnsi="Myriad Pro"/>
          <w:sz w:val="22"/>
        </w:rPr>
        <w:t>ne and talc determined by EPMA.</w:t>
      </w:r>
    </w:p>
    <w:p w:rsidR="00444420" w:rsidRDefault="00444420" w:rsidP="00444420">
      <w:pPr>
        <w:jc w:val="both"/>
        <w:rPr>
          <w:rFonts w:ascii="Myriad Pro" w:hAnsi="Myriad Pro"/>
          <w:sz w:val="22"/>
        </w:rPr>
      </w:pPr>
      <w:r w:rsidRPr="00DE45D6">
        <w:rPr>
          <w:rFonts w:ascii="Myriad Pro" w:hAnsi="Myriad Pro"/>
          <w:sz w:val="22"/>
        </w:rPr>
        <w:t>Table S10. Compositions of ilmenite and titanite determined by EPMA.</w:t>
      </w:r>
    </w:p>
    <w:p w:rsidR="006A24C6" w:rsidRDefault="006A24C6" w:rsidP="006A24C6">
      <w:pPr>
        <w:jc w:val="both"/>
        <w:rPr>
          <w:rFonts w:ascii="Myriad Pro" w:hAnsi="Myriad Pro"/>
          <w:sz w:val="22"/>
        </w:rPr>
      </w:pPr>
      <w:r w:rsidRPr="00DE45D6">
        <w:rPr>
          <w:rFonts w:ascii="Myriad Pro" w:hAnsi="Myriad Pro"/>
          <w:sz w:val="22"/>
        </w:rPr>
        <w:t>Table S1</w:t>
      </w:r>
      <w:r>
        <w:rPr>
          <w:rFonts w:ascii="Myriad Pro" w:hAnsi="Myriad Pro"/>
          <w:sz w:val="22"/>
        </w:rPr>
        <w:t>1</w:t>
      </w:r>
      <w:r w:rsidRPr="00DE45D6">
        <w:rPr>
          <w:rFonts w:ascii="Myriad Pro" w:hAnsi="Myriad Pro"/>
          <w:sz w:val="22"/>
        </w:rPr>
        <w:t>.</w:t>
      </w:r>
      <w:r>
        <w:rPr>
          <w:rFonts w:ascii="Myriad Pro" w:hAnsi="Myriad Pro"/>
          <w:sz w:val="22"/>
        </w:rPr>
        <w:t xml:space="preserve"> </w:t>
      </w:r>
      <w:r w:rsidRPr="006A24C6">
        <w:rPr>
          <w:rFonts w:ascii="Myriad Pro" w:hAnsi="Myriad Pro"/>
          <w:sz w:val="22"/>
        </w:rPr>
        <w:t>Modal mineralogy of representative simple rock-types used in the reaction-path modelling.</w:t>
      </w:r>
    </w:p>
    <w:p w:rsidR="006A24C6" w:rsidRPr="00D122BA" w:rsidRDefault="006A24C6" w:rsidP="00444420">
      <w:pPr>
        <w:jc w:val="both"/>
        <w:rPr>
          <w:rFonts w:ascii="Myriad Pro" w:hAnsi="Myriad Pro"/>
          <w:sz w:val="22"/>
        </w:rPr>
      </w:pPr>
    </w:p>
    <w:p w:rsidR="00444420" w:rsidRDefault="00444420" w:rsidP="00B66DFD">
      <w:pPr>
        <w:pStyle w:val="FigureorTableCaption"/>
        <w:jc w:val="both"/>
        <w:rPr>
          <w:rFonts w:ascii="Myriad Pro" w:hAnsi="Myriad Pro"/>
          <w:b/>
        </w:rPr>
      </w:pPr>
    </w:p>
    <w:p w:rsidR="00444420" w:rsidRDefault="00444420" w:rsidP="00B66DFD">
      <w:pPr>
        <w:pStyle w:val="FigureorTableCaption"/>
        <w:jc w:val="both"/>
        <w:rPr>
          <w:rFonts w:ascii="Myriad Pro" w:hAnsi="Myriad Pro"/>
          <w:b/>
        </w:rPr>
      </w:pPr>
    </w:p>
    <w:p w:rsidR="00E96C24" w:rsidRDefault="00E96C24" w:rsidP="00B66DFD">
      <w:pPr>
        <w:pStyle w:val="NoSpacing"/>
        <w:jc w:val="both"/>
        <w:rPr>
          <w:rFonts w:ascii="Myriad Pro" w:hAnsi="Myriad Pro"/>
          <w:b/>
        </w:rPr>
      </w:pPr>
    </w:p>
    <w:p w:rsidR="00B66DFD" w:rsidRPr="00146D53" w:rsidRDefault="00E96C24" w:rsidP="00B66DFD">
      <w:pPr>
        <w:pStyle w:val="NoSpacing"/>
        <w:jc w:val="both"/>
        <w:rPr>
          <w:rFonts w:ascii="Myriad Pro" w:hAnsi="Myriad Pro"/>
          <w:b/>
        </w:rPr>
      </w:pPr>
      <w:r>
        <w:rPr>
          <w:rFonts w:ascii="Myriad Pro" w:hAnsi="Myriad Pro"/>
          <w:b/>
        </w:rPr>
        <w:lastRenderedPageBreak/>
        <w:t>Methods</w:t>
      </w:r>
      <w:r>
        <w:rPr>
          <w:rFonts w:ascii="Myriad Pro" w:hAnsi="Myriad Pro"/>
          <w:b/>
        </w:rPr>
        <w:br/>
      </w:r>
      <w:r w:rsidR="00B66DFD" w:rsidRPr="00146D53">
        <w:rPr>
          <w:rFonts w:ascii="Myriad Pro" w:hAnsi="Myriad Pro"/>
          <w:b/>
        </w:rPr>
        <w:t>Mineralogy, geochemistry, and petrophysical properties</w:t>
      </w:r>
    </w:p>
    <w:p w:rsidR="00B66DFD" w:rsidRPr="00146D53" w:rsidRDefault="00B66DFD" w:rsidP="00B66DFD">
      <w:pPr>
        <w:pStyle w:val="NoSpacing"/>
        <w:ind w:firstLine="720"/>
        <w:jc w:val="both"/>
        <w:rPr>
          <w:rFonts w:ascii="Myriad Pro" w:hAnsi="Myriad Pro"/>
        </w:rPr>
      </w:pPr>
      <w:r w:rsidRPr="00146D53">
        <w:rPr>
          <w:rFonts w:ascii="Myriad Pro" w:hAnsi="Myriad Pro"/>
        </w:rPr>
        <w:t xml:space="preserve">Samples were inspected in transmitted and reflected light using a Zeiss </w:t>
      </w:r>
      <w:proofErr w:type="spellStart"/>
      <w:r w:rsidRPr="00146D53">
        <w:rPr>
          <w:rFonts w:ascii="Myriad Pro" w:hAnsi="Myriad Pro"/>
        </w:rPr>
        <w:t>AxioImager</w:t>
      </w:r>
      <w:proofErr w:type="spellEnd"/>
      <w:r w:rsidRPr="00146D53">
        <w:rPr>
          <w:rFonts w:ascii="Myriad Pro" w:hAnsi="Myriad Pro"/>
        </w:rPr>
        <w:t xml:space="preserve"> 2 microscope, with mineral identification complemented by scanning electron microscopy, confocal Raman spectroscopy, and electron microprobe</w:t>
      </w:r>
      <w:r w:rsidR="00C5546E">
        <w:rPr>
          <w:rFonts w:ascii="Myriad Pro" w:hAnsi="Myriad Pro"/>
        </w:rPr>
        <w:t xml:space="preserve"> analyses</w:t>
      </w:r>
      <w:r w:rsidRPr="00146D53">
        <w:rPr>
          <w:rFonts w:ascii="Myriad Pro" w:hAnsi="Myriad Pro"/>
        </w:rPr>
        <w:t xml:space="preserve"> (EPMA). Bulk-rock LOI translates to bulk H</w:t>
      </w:r>
      <w:r w:rsidRPr="00146D53">
        <w:rPr>
          <w:rFonts w:ascii="Myriad Pro" w:hAnsi="Myriad Pro"/>
          <w:vertAlign w:val="subscript"/>
        </w:rPr>
        <w:t>2</w:t>
      </w:r>
      <w:r w:rsidRPr="00146D53">
        <w:rPr>
          <w:rFonts w:ascii="Myriad Pro" w:hAnsi="Myriad Pro"/>
        </w:rPr>
        <w:t xml:space="preserve">O from TG-DSC measurements (Figure S2-S3; Supplementary Table). </w:t>
      </w:r>
    </w:p>
    <w:p w:rsidR="00B66DFD" w:rsidRPr="00D95A7D" w:rsidRDefault="00B66DFD" w:rsidP="00B66DFD">
      <w:pPr>
        <w:pStyle w:val="NoSpacing"/>
        <w:ind w:firstLine="720"/>
        <w:jc w:val="both"/>
        <w:rPr>
          <w:rFonts w:ascii="Myriad Pro" w:hAnsi="Myriad Pro"/>
        </w:rPr>
      </w:pPr>
      <w:r w:rsidRPr="00146D53">
        <w:rPr>
          <w:rFonts w:ascii="Myriad Pro" w:hAnsi="Myriad Pro"/>
        </w:rPr>
        <w:t xml:space="preserve">Analyses were performed at Woods Hole Oceanographic Institution (Woods Hole, MA) unless noted otherwise. Raman spectroscopy was carried out using a Horiba </w:t>
      </w:r>
      <w:proofErr w:type="spellStart"/>
      <w:r w:rsidRPr="00146D53">
        <w:rPr>
          <w:rFonts w:ascii="Myriad Pro" w:hAnsi="Myriad Pro"/>
        </w:rPr>
        <w:t>LabRam</w:t>
      </w:r>
      <w:proofErr w:type="spellEnd"/>
      <w:r w:rsidRPr="00146D53">
        <w:rPr>
          <w:rFonts w:ascii="Myriad Pro" w:hAnsi="Myriad Pro"/>
        </w:rPr>
        <w:t xml:space="preserve"> HR confocal Raman microscopy system. Analyses were conducted using a 100x objective with a numerical aperture of 0.9, a blue laser with a wavelength of 473 nm, and a 100 µm confocal </w:t>
      </w:r>
      <w:proofErr w:type="gramStart"/>
      <w:r w:rsidRPr="00146D53">
        <w:rPr>
          <w:rFonts w:ascii="Myriad Pro" w:hAnsi="Myriad Pro"/>
        </w:rPr>
        <w:t>hole</w:t>
      </w:r>
      <w:proofErr w:type="gramEnd"/>
      <w:r w:rsidRPr="00146D53">
        <w:rPr>
          <w:rFonts w:ascii="Myriad Pro" w:hAnsi="Myriad Pro"/>
        </w:rPr>
        <w:t xml:space="preserve"> diameter. The lateral spatial resolution was approximately 1 µm. We chose a grating with 600 grooves per mm and a slit size of 100 µm for most analyses. Raman spectra were collected between 100–2200 cm</w:t>
      </w:r>
      <w:r w:rsidRPr="00146D53">
        <w:rPr>
          <w:rFonts w:ascii="Myriad Pro" w:hAnsi="Myriad Pro"/>
          <w:vertAlign w:val="superscript"/>
        </w:rPr>
        <w:t>-1</w:t>
      </w:r>
      <w:r w:rsidRPr="00146D53">
        <w:rPr>
          <w:rFonts w:ascii="Myriad Pro" w:hAnsi="Myriad Pro"/>
        </w:rPr>
        <w:t xml:space="preserve"> (5 s and five accumulations for most analyses) for most silicate phases, and 3500–3800 cm</w:t>
      </w:r>
      <w:r w:rsidRPr="00146D53">
        <w:rPr>
          <w:rFonts w:ascii="Myriad Pro" w:hAnsi="Myriad Pro"/>
          <w:vertAlign w:val="superscript"/>
        </w:rPr>
        <w:t>-1</w:t>
      </w:r>
      <w:r w:rsidRPr="00146D53">
        <w:rPr>
          <w:rFonts w:ascii="Myriad Pro" w:hAnsi="Myriad Pro"/>
        </w:rPr>
        <w:t xml:space="preserve"> for serpentine minerals (10 s and five accumulations). The collected spectra were processed with the </w:t>
      </w:r>
      <w:proofErr w:type="spellStart"/>
      <w:r w:rsidRPr="00146D53">
        <w:rPr>
          <w:rFonts w:ascii="Myriad Pro" w:hAnsi="Myriad Pro"/>
        </w:rPr>
        <w:t>LabSpec</w:t>
      </w:r>
      <w:proofErr w:type="spellEnd"/>
      <w:r w:rsidRPr="00146D53">
        <w:rPr>
          <w:rFonts w:ascii="Myriad Pro" w:hAnsi="Myriad Pro"/>
        </w:rPr>
        <w:t xml:space="preserve"> 6 software for background subtraction and were compared with reference spectra</w:t>
      </w:r>
      <w:r w:rsidR="00A075D2" w:rsidRPr="00146D53">
        <w:rPr>
          <w:rFonts w:ascii="Myriad Pro" w:hAnsi="Myriad Pro"/>
        </w:rPr>
        <w:t xml:space="preserve"> </w:t>
      </w:r>
      <w:r w:rsidR="00A075D2" w:rsidRPr="00E73F02">
        <w:rPr>
          <w:rFonts w:ascii="Myriad Pro" w:hAnsi="Myriad Pro"/>
        </w:rPr>
        <w:fldChar w:fldCharType="begin"/>
      </w:r>
      <w:r w:rsidR="00021C8F" w:rsidRPr="00D95A7D">
        <w:rPr>
          <w:rFonts w:ascii="Myriad Pro" w:hAnsi="Myriad Pro"/>
        </w:rPr>
        <w:instrText xml:space="preserve"> ADDIN ZOTERO_ITEM CSL_CITATION {"citationID":"a6sp7tjr8v","properties":{"formattedCitation":"(Downs, 2006; Lafuente et al., 2015; Petriglieri et al., 2015)","plainCitation":"(Downs, 2006; Lafuente et al., 2015; Petriglieri et al., 2015)","noteIndex":0},"citationItems":[{"id":783,"uris":["http://zotero.org/users/3840662/items/AHGLJX4Y"],"uri":["http://zotero.org/users/3840662/items/AHGLJX4Y"],"itemData":{"id":783,"type":"article-journal","container-title":"Program and Abstracts of the 19th General Meeting of the International Mineralogical Association in Kobe, Japan","DOI":"O03-13","title":"The RRUFF Project: an integrated study of the chemistry, crystallography, Raman and infrared spectroscopy of minerals","author":[{"family":"Downs","given":"R. T."}],"issued":{"date-parts":[["2006"]]}}},{"id":782,"uris":["http://zotero.org/users/3840662/items/EA3BSGJH"],"uri":["http://zotero.org/users/3840662/items/EA3BSGJH"],"itemData":{"id":782,"type":"chapter","note":"DOI: 10.1515/9783110417104-003","page":"1-30","publisher":"De Gruyter (O)","title":"Highlights in Mineralogical Crystallography","URL":"https://doi.org/10.1515/9783110417104-003","author":[{"family":"Lafuente","given":"Barbara"},{"family":"Downs","given":"R. T."},{"family":"Yang","given":"H."},{"family":"Stone","given":"N."}],"editor":[{"family":"Armbruster","given":"Thomas"},{"family":"Danisi","given":"Rosa Micaela"}],"issued":{"date-parts":[["2015"]]}}},{"id":439,"uris":["http://zotero.org/users/3840662/items/6ZDI9GJB"],"uri":["http://zotero.org/users/3840662/items/6ZDI9GJB"],"itemData":{"id":439,"type":"article-journal","abstract":"Serpentinites are rocks, often used in buildings, formed in large extent by minerals of the serpentine group: chrysotile, antigorite, lizardite, and polygonal serpentine. The fibrous type (e.g. chrysotile) of serpentine group minerals, along with several amphibole varieties (e.g. actinolite and tremolite), are the major components of asbestos family. The exposure to fine fibrous asbestos powder is linked to diseases such as pleural mesothelioma and asbestosis. The identification of the main varieties of the serpentine group, laminated or fibrous, becomes an issue of great interest for public health. This work introduces an analytical strategy able to distinguish the different serpentine polymorphs directly on the sample, allowing the analysis within their textural environment, evidencing at the micrometer scale the mineral reactions of the phases. Samples coming from the Koniambo massif (Grande Terre Island, New Caledonia) were studied by means of optical microscopy, scanning electron microscopy?energy dispersive X-ray spectroscopy, and Raman spectroscopy. Raman peaks observed in the high wavenumber spectral range of 3550?3850?cm?1, associated with OH stretching vibrations, allow the discrimination of the all four serpentine varieties. The relationship between the different varieties of serpentine, at a micrometric scale, in complex samples, has been investigated by two-dimensional Raman mapping. Copyright ? 2015 John Wiley &amp; Sons, Ltd.","container-title":"Journal of Raman Spectroscopy","DOI":"10.1002/jrs.4695","ISSN":"0377-0486","issue":"10","journalAbbreviation":"Journal of Raman Spectroscopy","page":"953-958","title":"Micro-Raman mapping of the polymorphs of serpentine","volume":"46","author":[{"family":"Petriglieri","given":"J. R."},{"family":"Salvioli-Mariani","given":"E."},{"family":"Mantovani","given":"L."},{"family":"Tribaudino","given":"M."},{"family":"Lottici","given":"P. P."},{"family":"Laporte-Magoni","given":"C."},{"family":"Bersani","given":"D."}],"issued":{"date-parts":[["2015",10,1]]}}}],"schema":"https://github.com/citation-style-language/schema/raw/master/csl-citation.json"} </w:instrText>
      </w:r>
      <w:r w:rsidR="00A075D2" w:rsidRPr="00E73F02">
        <w:rPr>
          <w:rFonts w:ascii="Myriad Pro" w:hAnsi="Myriad Pro"/>
        </w:rPr>
        <w:fldChar w:fldCharType="separate"/>
      </w:r>
      <w:r w:rsidR="00021C8F" w:rsidRPr="00D95A7D">
        <w:rPr>
          <w:rFonts w:ascii="Myriad Pro" w:hAnsi="Myriad Pro"/>
          <w:szCs w:val="24"/>
        </w:rPr>
        <w:t>(Downs, 2006; Lafuente et al., 2015; Petriglieri et al., 2015)</w:t>
      </w:r>
      <w:r w:rsidR="00A075D2" w:rsidRPr="00E73F02">
        <w:rPr>
          <w:rFonts w:ascii="Myriad Pro" w:hAnsi="Myriad Pro"/>
        </w:rPr>
        <w:fldChar w:fldCharType="end"/>
      </w:r>
      <w:r w:rsidR="00021C8F" w:rsidRPr="00D95A7D">
        <w:rPr>
          <w:rFonts w:ascii="Myriad Pro" w:hAnsi="Myriad Pro"/>
        </w:rPr>
        <w:t>.</w:t>
      </w:r>
    </w:p>
    <w:p w:rsidR="00B66DFD" w:rsidRPr="00D95A7D" w:rsidRDefault="00B66DFD" w:rsidP="00B66DFD">
      <w:pPr>
        <w:pStyle w:val="NoSpacing"/>
        <w:ind w:firstLine="720"/>
        <w:jc w:val="both"/>
        <w:rPr>
          <w:rFonts w:ascii="Myriad Pro" w:hAnsi="Myriad Pro"/>
        </w:rPr>
      </w:pPr>
      <w:r w:rsidRPr="00D95A7D">
        <w:rPr>
          <w:rFonts w:ascii="Myriad Pro" w:hAnsi="Myriad Pro"/>
        </w:rPr>
        <w:t xml:space="preserve">Compositions of minerals were determined using a JEOL JXA-8200 </w:t>
      </w:r>
      <w:proofErr w:type="spellStart"/>
      <w:r w:rsidRPr="00D95A7D">
        <w:rPr>
          <w:rFonts w:ascii="Myriad Pro" w:hAnsi="Myriad Pro"/>
        </w:rPr>
        <w:t>SuperProbe</w:t>
      </w:r>
      <w:proofErr w:type="spellEnd"/>
      <w:r w:rsidRPr="00D95A7D">
        <w:rPr>
          <w:rFonts w:ascii="Myriad Pro" w:hAnsi="Myriad Pro"/>
        </w:rPr>
        <w:t xml:space="preserve"> (Massachusetts Institute of Technology) and a JEOL-JXA-8530F ‘</w:t>
      </w:r>
      <w:proofErr w:type="spellStart"/>
      <w:r w:rsidRPr="00D95A7D">
        <w:rPr>
          <w:rFonts w:ascii="Myriad Pro" w:hAnsi="Myriad Pro"/>
        </w:rPr>
        <w:t>HyperProbe</w:t>
      </w:r>
      <w:proofErr w:type="spellEnd"/>
      <w:r w:rsidRPr="00D95A7D">
        <w:rPr>
          <w:rFonts w:ascii="Myriad Pro" w:hAnsi="Myriad Pro"/>
        </w:rPr>
        <w:t xml:space="preserve">’ field-emission (Yale University) electron probe </w:t>
      </w:r>
      <w:proofErr w:type="spellStart"/>
      <w:r w:rsidRPr="00D95A7D">
        <w:rPr>
          <w:rFonts w:ascii="Myriad Pro" w:hAnsi="Myriad Pro"/>
        </w:rPr>
        <w:t>microanalyzer</w:t>
      </w:r>
      <w:proofErr w:type="spellEnd"/>
      <w:r w:rsidRPr="00D95A7D">
        <w:rPr>
          <w:rFonts w:ascii="Myriad Pro" w:hAnsi="Myriad Pro"/>
        </w:rPr>
        <w:t xml:space="preserve">. Analyses were performed using a 15 kV accelerating voltage and a 10 </w:t>
      </w:r>
      <w:proofErr w:type="spellStart"/>
      <w:proofErr w:type="gramStart"/>
      <w:r w:rsidRPr="00D95A7D">
        <w:rPr>
          <w:rFonts w:ascii="Myriad Pro" w:hAnsi="Myriad Pro"/>
        </w:rPr>
        <w:t>nA</w:t>
      </w:r>
      <w:proofErr w:type="spellEnd"/>
      <w:proofErr w:type="gramEnd"/>
      <w:r w:rsidRPr="00D95A7D">
        <w:rPr>
          <w:rFonts w:ascii="Myriad Pro" w:hAnsi="Myriad Pro"/>
        </w:rPr>
        <w:t xml:space="preserve"> beam current. The beam was fully focused for nominally-anhydrous minerals and defocused to 10 </w:t>
      </w:r>
      <w:proofErr w:type="spellStart"/>
      <w:r w:rsidRPr="00D95A7D">
        <w:rPr>
          <w:rFonts w:ascii="Myriad Pro" w:hAnsi="Myriad Pro"/>
        </w:rPr>
        <w:t>μm</w:t>
      </w:r>
      <w:proofErr w:type="spellEnd"/>
      <w:r w:rsidRPr="00D95A7D">
        <w:rPr>
          <w:rFonts w:ascii="Myriad Pro" w:hAnsi="Myriad Pro"/>
        </w:rPr>
        <w:t xml:space="preserve"> diameter for hydrous minerals. Data reduction was done using the CITZAF package. Counting times were 40 seconds on peak, and 20 seconds on background except for Na, which was analyzed first for 10 seconds on peak and 5 seconds on background. All the minerals (i.e. silicates, oxides, sulfides) were quantified using natural silicate and oxide standards.</w:t>
      </w:r>
    </w:p>
    <w:p w:rsidR="00B66DFD" w:rsidRPr="00D95A7D" w:rsidRDefault="00B66DFD" w:rsidP="00B66DFD">
      <w:pPr>
        <w:pStyle w:val="NoSpacing"/>
        <w:ind w:firstLine="720"/>
        <w:jc w:val="both"/>
        <w:rPr>
          <w:rFonts w:ascii="Myriad Pro" w:hAnsi="Myriad Pro"/>
        </w:rPr>
      </w:pPr>
      <w:r w:rsidRPr="00D95A7D">
        <w:rPr>
          <w:rFonts w:ascii="Myriad Pro" w:hAnsi="Myriad Pro"/>
        </w:rPr>
        <w:t xml:space="preserve">To constrain mineral abundances on a thin section scale, mineral distribution maps were constructed on whole thin sections using a Zeiss Gemini Sigma 300VP Scanning Electron microscope (SEM) with a silicon drift detector (SDD) Bruker </w:t>
      </w:r>
      <w:proofErr w:type="spellStart"/>
      <w:r w:rsidRPr="00D95A7D">
        <w:rPr>
          <w:rFonts w:ascii="Myriad Pro" w:hAnsi="Myriad Pro"/>
        </w:rPr>
        <w:t>Qantax</w:t>
      </w:r>
      <w:proofErr w:type="spellEnd"/>
      <w:r w:rsidRPr="00D95A7D">
        <w:rPr>
          <w:rFonts w:ascii="Myriad Pro" w:hAnsi="Myriad Pro"/>
        </w:rPr>
        <w:t xml:space="preserve"> </w:t>
      </w:r>
      <w:proofErr w:type="spellStart"/>
      <w:r w:rsidRPr="00D95A7D">
        <w:rPr>
          <w:rFonts w:ascii="Myriad Pro" w:hAnsi="Myriad Pro"/>
        </w:rPr>
        <w:t>XFlash</w:t>
      </w:r>
      <w:proofErr w:type="spellEnd"/>
      <w:r w:rsidRPr="00D95A7D">
        <w:rPr>
          <w:rFonts w:ascii="Myriad Pro" w:hAnsi="Myriad Pro"/>
        </w:rPr>
        <w:t xml:space="preserve"> 6|60 and the </w:t>
      </w:r>
      <w:proofErr w:type="spellStart"/>
      <w:r w:rsidRPr="00D95A7D">
        <w:rPr>
          <w:rFonts w:ascii="Myriad Pro" w:hAnsi="Myriad Pro"/>
        </w:rPr>
        <w:t>mineralogic</w:t>
      </w:r>
      <w:proofErr w:type="spellEnd"/>
      <w:r w:rsidRPr="00D95A7D">
        <w:rPr>
          <w:rFonts w:ascii="Myriad Pro" w:hAnsi="Myriad Pro"/>
        </w:rPr>
        <w:t xml:space="preserve"> software from Zeiss at the </w:t>
      </w:r>
      <w:proofErr w:type="spellStart"/>
      <w:r w:rsidRPr="00D95A7D">
        <w:rPr>
          <w:rFonts w:ascii="Myriad Pro" w:hAnsi="Myriad Pro"/>
        </w:rPr>
        <w:t>Freie</w:t>
      </w:r>
      <w:proofErr w:type="spellEnd"/>
      <w:r w:rsidRPr="00D95A7D">
        <w:rPr>
          <w:rFonts w:ascii="Myriad Pro" w:hAnsi="Myriad Pro"/>
        </w:rPr>
        <w:t xml:space="preserve"> </w:t>
      </w:r>
      <w:proofErr w:type="spellStart"/>
      <w:r w:rsidRPr="00D95A7D">
        <w:rPr>
          <w:rFonts w:ascii="Myriad Pro" w:hAnsi="Myriad Pro"/>
        </w:rPr>
        <w:t>Universität</w:t>
      </w:r>
      <w:proofErr w:type="spellEnd"/>
      <w:r w:rsidRPr="00D95A7D">
        <w:rPr>
          <w:rFonts w:ascii="Myriad Pro" w:hAnsi="Myriad Pro"/>
        </w:rPr>
        <w:t xml:space="preserve"> Berlin. The measurements were carried out at an acceleration voltage of 20 kV, an aperture size of 120 µm and a dwell time of 0.008 s at a pixel size of 0.5 µm</w:t>
      </w:r>
      <w:r w:rsidRPr="00105115">
        <w:rPr>
          <w:rFonts w:ascii="Myriad Pro" w:hAnsi="Myriad Pro"/>
          <w:vertAlign w:val="superscript"/>
        </w:rPr>
        <w:t>2</w:t>
      </w:r>
      <w:r w:rsidRPr="00D95A7D">
        <w:rPr>
          <w:rFonts w:ascii="Myriad Pro" w:hAnsi="Myriad Pro"/>
        </w:rPr>
        <w:t>. Average counts per pixel were on the order of 5000-6000 counts and the mineral evaluation was performed after EMP analyses on the same samples.</w:t>
      </w:r>
    </w:p>
    <w:p w:rsidR="00B66DFD" w:rsidRPr="00D95A7D" w:rsidRDefault="00B66DFD" w:rsidP="00B66DFD">
      <w:pPr>
        <w:pStyle w:val="NoSpacing"/>
        <w:ind w:firstLine="720"/>
        <w:jc w:val="both"/>
        <w:rPr>
          <w:rFonts w:ascii="Myriad Pro" w:hAnsi="Myriad Pro"/>
        </w:rPr>
      </w:pPr>
      <w:r w:rsidRPr="00D95A7D">
        <w:rPr>
          <w:rFonts w:ascii="Myriad Pro" w:hAnsi="Myriad Pro"/>
        </w:rPr>
        <w:t xml:space="preserve">The bulk-rock concentrations of the collected samples were analyzed using X-ray fluorescence (XRF) for major elements and inductively coupled plasma mass spectrometry (ICP-MS) technique for trace elements at </w:t>
      </w:r>
      <w:proofErr w:type="spellStart"/>
      <w:r w:rsidRPr="00D95A7D">
        <w:rPr>
          <w:rFonts w:ascii="Myriad Pro" w:hAnsi="Myriad Pro"/>
        </w:rPr>
        <w:t>GeoAnalytical</w:t>
      </w:r>
      <w:proofErr w:type="spellEnd"/>
      <w:r w:rsidRPr="00D95A7D">
        <w:rPr>
          <w:rFonts w:ascii="Myriad Pro" w:hAnsi="Myriad Pro"/>
        </w:rPr>
        <w:t xml:space="preserve"> Laboratory at Washington State University (Pullman, WA) following established procedures (Johnson et al., 1999). The bulk-rock Fe(III)</w:t>
      </w:r>
      <w:r w:rsidRPr="00D95A7D">
        <w:rPr>
          <w:rFonts w:ascii="Myriad Pro" w:hAnsi="Myriad Pro"/>
          <w:vertAlign w:val="superscript"/>
        </w:rPr>
        <w:t xml:space="preserve"> </w:t>
      </w:r>
      <w:r w:rsidRPr="00D95A7D">
        <w:rPr>
          <w:rFonts w:ascii="Myriad Pro" w:hAnsi="Myriad Pro"/>
        </w:rPr>
        <w:t>/</w:t>
      </w:r>
      <w:proofErr w:type="spellStart"/>
      <w:r w:rsidRPr="00D95A7D">
        <w:rPr>
          <w:rFonts w:ascii="Myriad Pro" w:hAnsi="Myriad Pro"/>
        </w:rPr>
        <w:t>Fe</w:t>
      </w:r>
      <w:r w:rsidRPr="00D95A7D">
        <w:rPr>
          <w:rFonts w:ascii="Myriad Pro" w:hAnsi="Myriad Pro"/>
          <w:vertAlign w:val="subscript"/>
        </w:rPr>
        <w:t>T</w:t>
      </w:r>
      <w:proofErr w:type="spellEnd"/>
      <w:r w:rsidRPr="00D95A7D">
        <w:rPr>
          <w:rFonts w:ascii="Myriad Pro" w:hAnsi="Myriad Pro"/>
        </w:rPr>
        <w:t xml:space="preserve"> (i.e. </w:t>
      </w:r>
      <w:proofErr w:type="spellStart"/>
      <w:r w:rsidRPr="00D95A7D">
        <w:rPr>
          <w:rFonts w:ascii="Myriad Pro" w:hAnsi="Myriad Pro"/>
        </w:rPr>
        <w:t>Fe</w:t>
      </w:r>
      <w:r w:rsidRPr="00D95A7D">
        <w:rPr>
          <w:rFonts w:ascii="Myriad Pro" w:hAnsi="Myriad Pro"/>
          <w:vertAlign w:val="subscript"/>
        </w:rPr>
        <w:t>T</w:t>
      </w:r>
      <w:proofErr w:type="spellEnd"/>
      <w:r w:rsidRPr="00D95A7D">
        <w:rPr>
          <w:rFonts w:ascii="Myriad Pro" w:hAnsi="Myriad Pro"/>
          <w:vertAlign w:val="subscript"/>
        </w:rPr>
        <w:t xml:space="preserve"> </w:t>
      </w:r>
      <w:r w:rsidRPr="00D95A7D">
        <w:rPr>
          <w:rFonts w:ascii="Myriad Pro" w:hAnsi="Myriad Pro"/>
        </w:rPr>
        <w:t xml:space="preserve">= Fe(II) + Fe(III)) was determined by mass balance from </w:t>
      </w:r>
      <w:proofErr w:type="spellStart"/>
      <w:r w:rsidRPr="00D95A7D">
        <w:rPr>
          <w:rFonts w:ascii="Myriad Pro" w:hAnsi="Myriad Pro"/>
        </w:rPr>
        <w:t>Fe</w:t>
      </w:r>
      <w:r w:rsidRPr="00D95A7D">
        <w:rPr>
          <w:rFonts w:ascii="Myriad Pro" w:hAnsi="Myriad Pro"/>
          <w:vertAlign w:val="subscript"/>
        </w:rPr>
        <w:t>T</w:t>
      </w:r>
      <w:proofErr w:type="spellEnd"/>
      <w:r w:rsidRPr="00D95A7D">
        <w:rPr>
          <w:rFonts w:ascii="Myriad Pro" w:hAnsi="Myriad Pro"/>
        </w:rPr>
        <w:t xml:space="preserve"> contents measured using XRF and acid titration of Fe(II) conducted at Activation Laboratories (</w:t>
      </w:r>
      <w:proofErr w:type="spellStart"/>
      <w:r w:rsidRPr="00D95A7D">
        <w:rPr>
          <w:rFonts w:ascii="Myriad Pro" w:hAnsi="Myriad Pro"/>
        </w:rPr>
        <w:t>Ancaster</w:t>
      </w:r>
      <w:proofErr w:type="spellEnd"/>
      <w:r w:rsidRPr="00D95A7D">
        <w:rPr>
          <w:rFonts w:ascii="Myriad Pro" w:hAnsi="Myriad Pro"/>
        </w:rPr>
        <w:t>, Canada) following standard protocols (Wilson, 1955). Bulk-rock Sr isotope measurements were performed</w:t>
      </w:r>
      <w:r w:rsidR="00060EF2" w:rsidRPr="00D95A7D">
        <w:rPr>
          <w:rFonts w:ascii="Myriad Pro" w:hAnsi="Myriad Pro"/>
        </w:rPr>
        <w:t xml:space="preserve"> on selected samples</w:t>
      </w:r>
      <w:r w:rsidRPr="00D95A7D">
        <w:rPr>
          <w:rFonts w:ascii="Myriad Pro" w:hAnsi="Myriad Pro"/>
        </w:rPr>
        <w:t xml:space="preserve"> using an </w:t>
      </w:r>
      <w:proofErr w:type="spellStart"/>
      <w:r w:rsidRPr="00D95A7D">
        <w:rPr>
          <w:rFonts w:ascii="Myriad Pro" w:hAnsi="Myriad Pro"/>
        </w:rPr>
        <w:t>IsotopX</w:t>
      </w:r>
      <w:proofErr w:type="spellEnd"/>
      <w:r w:rsidRPr="00D95A7D">
        <w:rPr>
          <w:rFonts w:ascii="Myriad Pro" w:hAnsi="Myriad Pro"/>
        </w:rPr>
        <w:t xml:space="preserve"> Phoenix thermal ionization mass spectrometer (TIMS) at Boston College (Boston, MA) following the protocols of Baxter and </w:t>
      </w:r>
      <w:proofErr w:type="spellStart"/>
      <w:r w:rsidRPr="00D95A7D">
        <w:rPr>
          <w:rFonts w:ascii="Myriad Pro" w:hAnsi="Myriad Pro"/>
        </w:rPr>
        <w:t>DePaolo</w:t>
      </w:r>
      <w:proofErr w:type="spellEnd"/>
      <w:r w:rsidRPr="00D95A7D">
        <w:rPr>
          <w:rFonts w:ascii="Myriad Pro" w:hAnsi="Myriad Pro"/>
        </w:rPr>
        <w:t xml:space="preserve"> </w:t>
      </w:r>
      <w:r w:rsidR="00A075D2" w:rsidRPr="00E73F02">
        <w:rPr>
          <w:rFonts w:ascii="Myriad Pro" w:hAnsi="Myriad Pro"/>
        </w:rPr>
        <w:fldChar w:fldCharType="begin"/>
      </w:r>
      <w:r w:rsidR="00FF08C4" w:rsidRPr="00D95A7D">
        <w:rPr>
          <w:rFonts w:ascii="Myriad Pro" w:hAnsi="Myriad Pro"/>
        </w:rPr>
        <w:instrText xml:space="preserve"> ADDIN ZOTERO_ITEM CSL_CITATION {"citationID":"a1t7ik6u9ae","properties":{"formattedCitation":"\\uldash{(Baxter and DePaolo, 2002)}","plainCitation":"(Baxter and DePaolo, 2002)","dontUpdate":true,"noteIndex":0},"citationItems":[{"id":453,"uris":["http://zotero.org/users/3840662/items/XA9VD2B5"],"uri":["http://zotero.org/users/3840662/items/XA9VD2B5"],"itemData":{"id":453,"type":"article-journal","abstract":"Bulk metamorphic reaction rates have been measured using Sr isotopes as tracers of reactive transport processes at a field site near Simplon Pass, Switzerland, employing the technique described in Part I of this study (Baxter and DePaolo, 2002a). The reaction rate, R, inferred, similar to the value first reported in Baxter and DePaolo (2000), is 1.4−0.4+1.1 × 10−7 yr−1 (or R</w:instrText>
      </w:r>
      <w:r w:rsidR="00FF08C4" w:rsidRPr="00D95A7D">
        <w:rPr>
          <w:rFonts w:ascii="Arial" w:hAnsi="Arial" w:cs="Arial"/>
        </w:rPr>
        <w:instrText>̄</w:instrText>
      </w:r>
      <w:r w:rsidR="00FF08C4" w:rsidRPr="00D95A7D">
        <w:rPr>
          <w:rFonts w:ascii="Myriad Pro" w:hAnsi="Myriad Pro"/>
        </w:rPr>
        <w:instrText xml:space="preserve"> = 7.0</w:instrText>
      </w:r>
      <w:r w:rsidR="00FF08C4" w:rsidRPr="00D95A7D">
        <w:rPr>
          <w:rFonts w:ascii="Myriad Pro" w:hAnsi="Myriad Pro" w:cs="Myriad Pro"/>
        </w:rPr>
        <w:instrText>−</w:instrText>
      </w:r>
      <w:r w:rsidR="00FF08C4" w:rsidRPr="00D95A7D">
        <w:rPr>
          <w:rFonts w:ascii="Myriad Pro" w:hAnsi="Myriad Pro"/>
        </w:rPr>
        <w:instrText xml:space="preserve">2.0+5.5 </w:instrText>
      </w:r>
      <w:r w:rsidR="00FF08C4" w:rsidRPr="00D95A7D">
        <w:rPr>
          <w:rFonts w:ascii="Myriad Pro" w:hAnsi="Myriad Pro" w:cs="Myriad Pro"/>
        </w:rPr>
        <w:instrText>×</w:instrText>
      </w:r>
      <w:r w:rsidR="00FF08C4" w:rsidRPr="00D95A7D">
        <w:rPr>
          <w:rFonts w:ascii="Myriad Pro" w:hAnsi="Myriad Pro"/>
        </w:rPr>
        <w:instrText xml:space="preserve"> 10</w:instrText>
      </w:r>
      <w:r w:rsidR="00FF08C4" w:rsidRPr="00D95A7D">
        <w:rPr>
          <w:rFonts w:ascii="Myriad Pro" w:hAnsi="Myriad Pro" w:cs="Myriad Pro"/>
        </w:rPr>
        <w:instrText>−</w:instrText>
      </w:r>
      <w:r w:rsidR="00FF08C4" w:rsidRPr="00D95A7D">
        <w:rPr>
          <w:rFonts w:ascii="Myriad Pro" w:hAnsi="Myriad Pro"/>
        </w:rPr>
        <w:instrText xml:space="preserve">9 g/cm2/yr normalized to the geometric surface area of plagioclase) which is several orders of magnitude slower than extrapolations of laboratory data. This rate suggests that attainment of local equilibrium may require 10’s of millions of years, and consequently equilibrium may not be closely approached in dynamic metamorphic systems if significant changes in P-T-X occur over shorter timescales. These data suggest that there is a problem in current extrapolations or applicability of laboratory kinetic data to natural high-temperature systems. Possible reasons for this discrepancy include differences in reactive surface area, reactant supply limited by slow diffusion of major elements, or an armoring effect by which access to grain interiors is limited. On the basis of microchemical patterns in plagioclase, we identify grain boundary migration (GBM) as the rate limiting process for accessing grain interiors, and thus for bulk reaction. Calculation of reaction quotients for six balanced mineral reactions suggests local disequilibrium for garnet with respect to its Ca content. The characteristic equilibrium lengthscales (Le) for Sr and Ca are both about 1 meter. Equilibrium based geochemical tools such as isochron geochronology or geothermobarometry are compromised within a distance Le of the lithologic contact. Bulk Sr diffusivity measured at the field site changes from 10−9 to 10−7 m2/yr, suggesting that the characteristics of the intergranular transporting medium (ITM) changed significantly during the early retrograde history of the field site.","container-title":"American Journal of Science","DOI":"10.2475/ajs.302.6.465","issue":"6","journalAbbreviation":"American Journal of Science","page":"465-516","title":"Field measurement of high temperature bulk reaction rates II: Interpretation of results from a field site near Simplon Pass, Switzerland","volume":"302","author":[{"family":"Baxter","given":"Ethan F."},{"family":"DePaolo","given":"Donald J."}],"issued":{"date-parts":[["2002",6,1]]}}}],"schema":"https://github.com/citation-style-language/schema/raw/master/csl-citation.json"} </w:instrText>
      </w:r>
      <w:r w:rsidR="00A075D2" w:rsidRPr="00E73F02">
        <w:rPr>
          <w:rFonts w:ascii="Myriad Pro" w:hAnsi="Myriad Pro"/>
        </w:rPr>
        <w:fldChar w:fldCharType="separate"/>
      </w:r>
      <w:r w:rsidR="00A075D2" w:rsidRPr="00D95A7D">
        <w:rPr>
          <w:rFonts w:ascii="Myriad Pro" w:hAnsi="Myriad Pro"/>
          <w:szCs w:val="24"/>
          <w:u w:val="dash"/>
        </w:rPr>
        <w:t>(2002)</w:t>
      </w:r>
      <w:r w:rsidR="00A075D2" w:rsidRPr="00E73F02">
        <w:rPr>
          <w:rFonts w:ascii="Myriad Pro" w:hAnsi="Myriad Pro"/>
        </w:rPr>
        <w:fldChar w:fldCharType="end"/>
      </w:r>
      <w:r w:rsidRPr="00D95A7D">
        <w:rPr>
          <w:rFonts w:ascii="Myriad Pro" w:hAnsi="Myriad Pro"/>
        </w:rPr>
        <w:t xml:space="preserve">. The bulk-rock Rb concentrations were taken from the trace element measurements at WSU. An age correction of 40 Ma </w:t>
      </w:r>
      <w:r w:rsidRPr="00E73F02">
        <w:rPr>
          <w:rFonts w:ascii="Myriad Pro" w:hAnsi="Myriad Pro"/>
        </w:rPr>
        <w:fldChar w:fldCharType="begin"/>
      </w:r>
      <w:r w:rsidR="00FF08C4" w:rsidRPr="00D95A7D">
        <w:rPr>
          <w:rFonts w:ascii="Myriad Pro" w:hAnsi="Myriad Pro"/>
        </w:rPr>
        <w:instrText xml:space="preserve"> ADDIN ZOTERO_ITEM CSL_CITATION {"citationID":"a2m2pi384jp","properties":{"formattedCitation":"(Starr et al., 2020)","plainCitation":"(Starr et al., 2020)","noteIndex":0},"citationItems":[{"id":525,"uris":["http://zotero.org/users/3840662/items/BC4T752T"],"uri":["http://zotero.org/users/3840662/items/BC4T752T"],"itemData":{"id":525,"type":"article-journal","abstract":"The problem of how dense high- (HP) and ultrahigh-pressure (UHP) metamorphosed oceanic mafic and ultramafic rocks are exhumed from deep within subduction zones is crucial to understanding processes occurring at the interface between the subducting slab and the overlying plate and mantle wedge. In this study, we use the P-T-t evolution of metamorphosed FeTi gabbros hosted in meta-serpentinite from the Voltri Ophiolite (Ligurian Alps, Italy) to evaluate potential exhumation mechanisms and assess whether HP mafic rocks were exhumed as blocks within a complex serpentinite-hosted mélange or as coherent sections of oceanic lithosphere. A number of observations provide evidence for subduction and exhumation of the central portion of Voltri Ophiolite as a coherent package of ultramafic and mafic material: (1) a similar evolution in mineral assemblages, textures and compositions suggesting peak metamorphism in the eclogite-facies, followed by a retrograde evolution through blueschist-, amphibolite- and greenschist-facies conditions; (2) uniform P-T conditions of both initial garnet growth (~475–480 °C and 2.0–2.2 GPa) and peak metamorphism (~500–525 °C and 2.3–2.5 GPa); and (3) bulk SmNd garnet ages that reveal a very tight grouping of ages for four well-equilibrated foliated FeTi meta-gabbros clustering at 39.98 ± 0.84 Ma. A massive undeformed gabbro also from the central Voltri area gave a slightly younger age of 38.15 ± 0.89 Ma, which is interpreted to reflect kinetic overstepping and delayed growth of garnet. By contrast, an SmNd garnet age from the NW portion of the Voltri Ophiolite indicates peak eclogite-facies metamorphism occurring ~10–12 Ma earlier at 49.68 ± 0.35 Ma. A compilation of the current geochronological data suggests that the NW portion of the Voltri Ophiolite underwent peak eclogite-facies metamorphism first at ~50 Ma, the sedimentary portion of the Voltri Unit (the Voltri-Rossiglione meta-sediments) experienced peak metamorphism around ~47–44 Ma, whilst subduction and peak metamorphism of the central part of the ophiolite occurred later at 41–38 Ma. Alongside recent studies of other Alpine ophiolites (Zermatt Saas, Monviso, Alpine Corsica), this study suggests that detachment and buoyant exhumation of large kilometric-scale coherent sections of slab material, rather than exhumation within a chaotic serpentinite mélange, is the dominant mechanism of preserving and returning eclogite-facies metamorphic rocks to the surface in the Western Alps. In the case of the Voltri Ophiolite, which lacks any associated continental massif, this exhumation was likely aided by the buoyancy of the serpentinite-dominated oceanic lithosphere, rather than by coupling to continental crust.","container-title":"Lithos","DOI":"10.1016/j.lithos.2020.105767","ISSN":"0024-4937","journalAbbreviation":"Lithos","page":"105767","title":"The subduction and exhumation history of the Voltri Ophiolite, Italy: Evaluating exhumation mechanisms for high-pressure metamorphic massifs","volume":"376-377","author":[{"family":"Starr","given":"Paul G."},{"family":"Broadwell","given":"Kirkland S."},{"family":"Dragovic","given":"Besim"},{"family":"Scambelluri","given":"Marco"},{"family":"Haws","given":"Anne A."},{"family":"Caddick","given":"Mark J."},{"family":"Smye","given":"Andrew J."},{"family":"Baxter","given":"Ethan F."}],"issued":{"date-parts":[["2020",12,1]]}}}],"schema":"https://github.com/citation-style-language/schema/raw/master/csl-citation.json"} </w:instrText>
      </w:r>
      <w:r w:rsidRPr="00E73F02">
        <w:rPr>
          <w:rFonts w:ascii="Myriad Pro" w:hAnsi="Myriad Pro"/>
        </w:rPr>
        <w:fldChar w:fldCharType="separate"/>
      </w:r>
      <w:r w:rsidR="00FF08C4" w:rsidRPr="00D95A7D">
        <w:rPr>
          <w:rFonts w:ascii="Myriad Pro" w:hAnsi="Myriad Pro"/>
          <w:szCs w:val="24"/>
        </w:rPr>
        <w:t>(Starr et al., 2020)</w:t>
      </w:r>
      <w:r w:rsidRPr="00E73F02">
        <w:rPr>
          <w:rFonts w:ascii="Myriad Pro" w:hAnsi="Myriad Pro"/>
        </w:rPr>
        <w:fldChar w:fldCharType="end"/>
      </w:r>
      <w:r w:rsidRPr="00D95A7D">
        <w:rPr>
          <w:rFonts w:ascii="Myriad Pro" w:hAnsi="Myriad Pro"/>
        </w:rPr>
        <w:t xml:space="preserve"> was applied.</w:t>
      </w:r>
    </w:p>
    <w:p w:rsidR="00B66DFD" w:rsidRPr="00D95A7D" w:rsidRDefault="00B66DFD" w:rsidP="00B66DFD">
      <w:pPr>
        <w:pStyle w:val="NoSpacing"/>
        <w:ind w:firstLine="720"/>
        <w:jc w:val="both"/>
        <w:rPr>
          <w:rFonts w:ascii="Myriad Pro" w:hAnsi="Myriad Pro"/>
        </w:rPr>
      </w:pPr>
      <w:r w:rsidRPr="00D95A7D">
        <w:rPr>
          <w:rFonts w:ascii="Myriad Pro" w:hAnsi="Myriad Pro"/>
        </w:rPr>
        <w:lastRenderedPageBreak/>
        <w:t>To determine the individual contribution of each hydrous phase to the bulk-rock volatile budget, we performed simultaneous thermogravimetric analysis (TGA) and differential scanning calorimetry (DSC) of rock powders using a TA Instruments SDT Q600 instrument. Approximately 20–40 mg of homogenous rock powder was heated in N</w:t>
      </w:r>
      <w:r w:rsidRPr="00D95A7D">
        <w:rPr>
          <w:rFonts w:ascii="Myriad Pro" w:hAnsi="Myriad Pro"/>
          <w:vertAlign w:val="subscript"/>
        </w:rPr>
        <w:t>2</w:t>
      </w:r>
      <w:r w:rsidRPr="00D95A7D">
        <w:rPr>
          <w:rFonts w:ascii="Myriad Pro" w:hAnsi="Myriad Pro"/>
        </w:rPr>
        <w:t xml:space="preserve"> gas atmosphere at a rate of 10°C/min from 50 to 1100°C and a flow rate of 50 ml/min to determine the mass loss and heat flow, both of which reflect the formation and/or breakdown of specific minerals during heating. The skeletal density (pre-dried at 105 °C for 24 h) of samples was determined using helium-</w:t>
      </w:r>
      <w:proofErr w:type="spellStart"/>
      <w:r w:rsidRPr="00D95A7D">
        <w:rPr>
          <w:rFonts w:ascii="Myriad Pro" w:hAnsi="Myriad Pro"/>
        </w:rPr>
        <w:t>pycnometry</w:t>
      </w:r>
      <w:proofErr w:type="spellEnd"/>
      <w:r w:rsidRPr="00D95A7D">
        <w:rPr>
          <w:rFonts w:ascii="Myriad Pro" w:hAnsi="Myriad Pro"/>
        </w:rPr>
        <w:t xml:space="preserve"> (Micromeritics </w:t>
      </w:r>
      <w:proofErr w:type="spellStart"/>
      <w:r w:rsidRPr="00D95A7D">
        <w:rPr>
          <w:rFonts w:ascii="Myriad Pro" w:hAnsi="Myriad Pro"/>
        </w:rPr>
        <w:t>AccuPyc</w:t>
      </w:r>
      <w:proofErr w:type="spellEnd"/>
      <w:r w:rsidRPr="00D95A7D">
        <w:rPr>
          <w:rFonts w:ascii="Myriad Pro" w:hAnsi="Myriad Pro"/>
        </w:rPr>
        <w:t xml:space="preserve"> II). The magnetic susceptibility (K) was measured using a </w:t>
      </w:r>
      <w:proofErr w:type="spellStart"/>
      <w:r w:rsidRPr="00D95A7D">
        <w:rPr>
          <w:rFonts w:ascii="Myriad Pro" w:hAnsi="Myriad Pro"/>
        </w:rPr>
        <w:t>Bartington</w:t>
      </w:r>
      <w:proofErr w:type="spellEnd"/>
      <w:r w:rsidRPr="00D95A7D">
        <w:rPr>
          <w:rFonts w:ascii="Myriad Pro" w:hAnsi="Myriad Pro"/>
        </w:rPr>
        <w:t xml:space="preserve"> MS2B sensor with a </w:t>
      </w:r>
      <w:proofErr w:type="spellStart"/>
      <w:r w:rsidRPr="00D95A7D">
        <w:rPr>
          <w:rFonts w:ascii="Myriad Pro" w:hAnsi="Myriad Pro"/>
        </w:rPr>
        <w:t>Bartington</w:t>
      </w:r>
      <w:proofErr w:type="spellEnd"/>
      <w:r w:rsidRPr="00D95A7D">
        <w:rPr>
          <w:rFonts w:ascii="Myriad Pro" w:hAnsi="Myriad Pro"/>
        </w:rPr>
        <w:t xml:space="preserve"> MS2 magnetic susceptibility meter.</w:t>
      </w:r>
    </w:p>
    <w:p w:rsidR="00B66DFD" w:rsidRPr="00D95A7D" w:rsidRDefault="00B66DFD" w:rsidP="00B66DFD">
      <w:pPr>
        <w:pStyle w:val="NoSpacing"/>
        <w:jc w:val="both"/>
        <w:rPr>
          <w:rFonts w:ascii="Myriad Pro" w:hAnsi="Myriad Pro"/>
        </w:rPr>
      </w:pPr>
    </w:p>
    <w:p w:rsidR="00B66DFD" w:rsidRPr="00D95A7D" w:rsidRDefault="00B66DFD" w:rsidP="00B66DFD">
      <w:pPr>
        <w:pStyle w:val="NoSpacing"/>
        <w:jc w:val="both"/>
        <w:rPr>
          <w:rFonts w:ascii="Myriad Pro" w:hAnsi="Myriad Pro"/>
          <w:b/>
        </w:rPr>
      </w:pPr>
      <w:r w:rsidRPr="00D95A7D">
        <w:rPr>
          <w:rFonts w:ascii="Myriad Pro" w:hAnsi="Myriad Pro"/>
          <w:b/>
        </w:rPr>
        <w:t xml:space="preserve">Phase equilibria and reaction-path modeling </w:t>
      </w:r>
    </w:p>
    <w:p w:rsidR="00B66DFD" w:rsidRPr="00D95A7D" w:rsidRDefault="00B66DFD" w:rsidP="00B66DFD">
      <w:pPr>
        <w:pStyle w:val="NoSpacing"/>
        <w:ind w:firstLine="720"/>
        <w:jc w:val="both"/>
        <w:rPr>
          <w:rFonts w:ascii="Myriad Pro" w:hAnsi="Myriad Pro"/>
        </w:rPr>
      </w:pPr>
      <w:r w:rsidRPr="00D95A7D">
        <w:rPr>
          <w:rFonts w:ascii="Myriad Pro" w:hAnsi="Myriad Pro"/>
          <w:iCs/>
        </w:rPr>
        <w:t xml:space="preserve">In order to provide constraints on the pressure and temperature conditions of mass transfer and rock hybridization, equilibrium thermodynamic modeling of representative bulk compositions was performed. </w:t>
      </w:r>
      <w:r w:rsidRPr="00D95A7D">
        <w:rPr>
          <w:rFonts w:ascii="Myriad Pro" w:hAnsi="Myriad Pro"/>
          <w:i/>
        </w:rPr>
        <w:t>P-T</w:t>
      </w:r>
      <w:r w:rsidRPr="00D95A7D">
        <w:rPr>
          <w:rFonts w:ascii="Myriad Pro" w:hAnsi="Myriad Pro"/>
          <w:iCs/>
        </w:rPr>
        <w:t xml:space="preserve"> </w:t>
      </w:r>
      <w:proofErr w:type="spellStart"/>
      <w:r w:rsidRPr="00D95A7D">
        <w:rPr>
          <w:rFonts w:ascii="Myriad Pro" w:hAnsi="Myriad Pro"/>
          <w:iCs/>
        </w:rPr>
        <w:t>pseudosections</w:t>
      </w:r>
      <w:proofErr w:type="spellEnd"/>
      <w:r w:rsidRPr="00D95A7D">
        <w:rPr>
          <w:rFonts w:ascii="Myriad Pro" w:hAnsi="Myriad Pro"/>
          <w:iCs/>
        </w:rPr>
        <w:t xml:space="preserve"> were computed using the program </w:t>
      </w:r>
      <w:proofErr w:type="spellStart"/>
      <w:r w:rsidRPr="00D95A7D">
        <w:rPr>
          <w:rFonts w:ascii="Myriad Pro" w:hAnsi="Myriad Pro"/>
          <w:iCs/>
        </w:rPr>
        <w:t>Perple_X</w:t>
      </w:r>
      <w:proofErr w:type="spellEnd"/>
      <w:r w:rsidRPr="00D95A7D">
        <w:rPr>
          <w:rFonts w:ascii="Myriad Pro" w:hAnsi="Myriad Pro"/>
          <w:iCs/>
        </w:rPr>
        <w:t xml:space="preserve"> </w:t>
      </w:r>
      <w:r w:rsidR="00762CE5" w:rsidRPr="00E73F02">
        <w:rPr>
          <w:rFonts w:ascii="Myriad Pro" w:hAnsi="Myriad Pro"/>
          <w:iCs/>
        </w:rPr>
        <w:fldChar w:fldCharType="begin"/>
      </w:r>
      <w:r w:rsidR="00FF08C4" w:rsidRPr="00D95A7D">
        <w:rPr>
          <w:rFonts w:ascii="Myriad Pro" w:hAnsi="Myriad Pro"/>
          <w:iCs/>
        </w:rPr>
        <w:instrText xml:space="preserve"> ADDIN ZOTERO_ITEM CSL_CITATION {"citationID":"a2f3mdu81ar","properties":{"formattedCitation":"\\uldash{(Connolly, 2009)}","plainCitation":"(Connolly, 2009)","dontUpdate":true,"noteIndex":0},"citationItems":[{"id":365,"uris":["http://zotero.org/users/3840662/items/5JQ6STBC"],"uri":["http://zotero.org/users/3840662/items/5JQ6STBC"],"itemData":{"id":365,"type":"article-journal","abstract":"Geodynamic models commonly assume equations of state as a function of pressure and temperature. This form is legitimate for homogenous materials, but it is impossible to formulate a general equation of state for a polyphase aggregate, e.g., a rock, as a function of pressure and temperature because these variables cannot distinguish all possible states of the aggregate. In consequence, the governing equations of a geodynamic model based on a pressure-temperature equation of state are singular at the conditions of low-order phase transformations. An equation of state as a function of specific entropy, specific volume, and chemical composition eliminates this difficulty and, additionally, leads to a robust formulation of the energy and mass conservation equations. In this formulation, energy and mass conservation furnish evolution equations for entropy and volume and the equation of state serves as an update rule for temperature and pressure. Although this formulation is straightforward, the computation of phase equilibria as a function of entropy and volume is challenging because the equations of state for individual phases are usually expressed as a function of temperature and pressure. This challenge can be met by an algorithm in which continuous equations of state are approximated by a series of discrete states: a representation that reduces the phase equilibrium problem to a linear optimization problem that is independent of the functional form used for the equations of state of individual phases. Because the efficiency of the optimization decays as an exponential function of the dimension of the function to be optimized, direct solution of the linearized optimization problem is impractical. Successive linear programming alleviates this difficulty. A pragmatic alternative to optimization as an explicit function of entropy and volume is to calculate phase relations over the range of pressure-temperature conditions of interest. Numerical interpolation can then be used to generate tables for any thermodynamic property as a function of any choice of independent variables. Regardless of the independent variables of the governing equations, a consistent definition of pressure, and the coupling of equilibrium kinetics to deformation, is only possible if the continuity equation accounts for dilational strain.","container-title":"Geochemistry, Geophysics, Geosystems","DOI":"10.1029/2009GC002540","issue":"10","title":"The geodynamic equation of state: What and how","URL":"https://agupubs.onlinelibrary.wiley.com/doi/abs/10.1029/2009GC002540","volume":"10","author":[{"family":"Connolly","given":"J. A. D."}],"issued":{"date-parts":[["2009"]]}}}],"schema":"https://github.com/citation-style-language/schema/raw/master/csl-citation.json"} </w:instrText>
      </w:r>
      <w:r w:rsidR="00762CE5" w:rsidRPr="00E73F02">
        <w:rPr>
          <w:rFonts w:ascii="Myriad Pro" w:hAnsi="Myriad Pro"/>
          <w:iCs/>
        </w:rPr>
        <w:fldChar w:fldCharType="separate"/>
      </w:r>
      <w:r w:rsidR="00762CE5" w:rsidRPr="00D95A7D">
        <w:rPr>
          <w:rFonts w:ascii="Myriad Pro" w:hAnsi="Myriad Pro"/>
          <w:szCs w:val="24"/>
          <w:u w:val="dash"/>
        </w:rPr>
        <w:t>(</w:t>
      </w:r>
      <w:r w:rsidR="003F69FE" w:rsidRPr="00D95A7D">
        <w:rPr>
          <w:rFonts w:ascii="Myriad Pro" w:hAnsi="Myriad Pro"/>
          <w:iCs/>
        </w:rPr>
        <w:t xml:space="preserve">version 6.9.0; </w:t>
      </w:r>
      <w:r w:rsidR="00762CE5" w:rsidRPr="00D95A7D">
        <w:rPr>
          <w:rFonts w:ascii="Myriad Pro" w:hAnsi="Myriad Pro"/>
          <w:szCs w:val="24"/>
          <w:u w:val="dash"/>
        </w:rPr>
        <w:t>Connolly, 2009)</w:t>
      </w:r>
      <w:r w:rsidR="00762CE5" w:rsidRPr="00E73F02">
        <w:rPr>
          <w:rFonts w:ascii="Myriad Pro" w:hAnsi="Myriad Pro"/>
          <w:iCs/>
        </w:rPr>
        <w:fldChar w:fldCharType="end"/>
      </w:r>
      <w:r w:rsidRPr="00D95A7D">
        <w:rPr>
          <w:rFonts w:ascii="Myriad Pro" w:hAnsi="Myriad Pro"/>
          <w:iCs/>
        </w:rPr>
        <w:t xml:space="preserve"> and the internally consistent dataset (</w:t>
      </w:r>
      <w:r w:rsidR="00C31A64" w:rsidRPr="00D95A7D">
        <w:rPr>
          <w:rFonts w:ascii="Myriad Pro" w:hAnsi="Myriad Pro"/>
          <w:iCs/>
        </w:rPr>
        <w:t>db</w:t>
      </w:r>
      <w:r w:rsidRPr="00D95A7D">
        <w:rPr>
          <w:rFonts w:ascii="Myriad Pro" w:hAnsi="Myriad Pro"/>
          <w:iCs/>
        </w:rPr>
        <w:t>5.5</w:t>
      </w:r>
      <w:r w:rsidR="00C31A64" w:rsidRPr="00D95A7D">
        <w:rPr>
          <w:rFonts w:ascii="Myriad Pro" w:hAnsi="Myriad Pro"/>
          <w:iCs/>
        </w:rPr>
        <w:t>; 2003</w:t>
      </w:r>
      <w:r w:rsidRPr="00D95A7D">
        <w:rPr>
          <w:rFonts w:ascii="Myriad Pro" w:hAnsi="Myriad Pro"/>
          <w:iCs/>
        </w:rPr>
        <w:t xml:space="preserve">) of Holland and Powell </w:t>
      </w:r>
      <w:r w:rsidR="003F69FE" w:rsidRPr="00E73F02">
        <w:rPr>
          <w:rFonts w:ascii="Myriad Pro" w:hAnsi="Myriad Pro"/>
          <w:iCs/>
          <w:highlight w:val="yellow"/>
        </w:rPr>
        <w:fldChar w:fldCharType="begin"/>
      </w:r>
      <w:r w:rsidR="00FF08C4" w:rsidRPr="00D95A7D">
        <w:rPr>
          <w:rFonts w:ascii="Myriad Pro" w:hAnsi="Myriad Pro"/>
          <w:iCs/>
          <w:highlight w:val="yellow"/>
        </w:rPr>
        <w:instrText xml:space="preserve"> ADDIN ZOTERO_ITEM CSL_CITATION {"citationID":"a2okb96gekq","properties":{"formattedCitation":"\\uldash{(Holland and Powell, 1998)}","plainCitation":"(Holland and Powell, 1998)","dontUpdate":true,"noteIndex":0},"citationItems":[{"id":593,"uris":["http://zotero.org/users/3840662/items/X4EA33SK"],"uri":["http://zotero.org/users/3840662/items/X4EA33SK"],"itemData":{"id":593,"type":"article-journal","abstract":"The thermodynamic properties of 154 mineral end-members, 13 silicate liquid end-members and 22 aqueous fluid species are presented in a revised and updated data set. The use of a temperature-dependent thermal expansion and bulk modulus, and the use of high-pressure equations of state for solids and fluids, allows calculation of mineral?fluid equilibria to 100?kbar pressure or higher. A pressure-dependent Landau model for order?disorder permits extension of disordering transitions to high pressures, and, in particular, allows the alpha?beta quartz transition to be handled more satisfactorily. Several melt end-members have been included to enable calculation of simple phase equilibria and as a first stage in developing melt mixing models in NCKFMASH. The simple aqueous species density model has been extended to enable speciation calculations and mineral solubility determination involving minerals and aqueous species at high temperatures and pressures. The data set has also been improved by incorporation of many new phase equilibrium constraints, calorimetric studies and new measurements of molar volume, thermal expansion and compressibility. This has led to a significant improvement in the level of agreement with the available experimental phase equilibria, and to greater flexibility in calculation of complex mineral equilibria. It is also shown that there is very good agreement between the data set and the most recent available calorimetric data.","container-title":"Journal of Metamorphic Geology","DOI":"10.1111/j.1525-1314.1998.00140.x","ISSN":"0263-4929","issue":"3","journalAbbreviation":"Journal of Metamorphic Geology","note":"publisher: John Wiley &amp; Sons, Ltd","page":"309-343","title":"An internally consistent thermodynamic data set for phases of petrological interest","volume":"16","author":[{"family":"Holland","given":"T. J. B."},{"family":"Powell","given":"R."}],"issued":{"date-parts":[["1998",5,1]]}}}],"schema":"https://github.com/citation-style-language/schema/raw/master/csl-citation.json"} </w:instrText>
      </w:r>
      <w:r w:rsidR="003F69FE" w:rsidRPr="00E73F02">
        <w:rPr>
          <w:rFonts w:ascii="Myriad Pro" w:hAnsi="Myriad Pro"/>
          <w:iCs/>
          <w:highlight w:val="yellow"/>
        </w:rPr>
        <w:fldChar w:fldCharType="separate"/>
      </w:r>
      <w:r w:rsidR="003F69FE" w:rsidRPr="00D95A7D">
        <w:rPr>
          <w:rFonts w:ascii="Myriad Pro" w:hAnsi="Myriad Pro"/>
          <w:szCs w:val="24"/>
          <w:u w:val="dash"/>
        </w:rPr>
        <w:t>(1998)</w:t>
      </w:r>
      <w:r w:rsidR="003F69FE" w:rsidRPr="00E73F02">
        <w:rPr>
          <w:rFonts w:ascii="Myriad Pro" w:hAnsi="Myriad Pro"/>
          <w:iCs/>
          <w:highlight w:val="yellow"/>
        </w:rPr>
        <w:fldChar w:fldCharType="end"/>
      </w:r>
      <w:r w:rsidRPr="00D95A7D">
        <w:rPr>
          <w:rFonts w:ascii="Myriad Pro" w:hAnsi="Myriad Pro"/>
          <w:iCs/>
        </w:rPr>
        <w:t xml:space="preserve"> in the </w:t>
      </w:r>
      <w:r w:rsidRPr="00D95A7D">
        <w:rPr>
          <w:rFonts w:ascii="Myriad Pro" w:hAnsi="Myriad Pro"/>
        </w:rPr>
        <w:t>MnO-Na</w:t>
      </w:r>
      <w:r w:rsidRPr="00D95A7D">
        <w:rPr>
          <w:rFonts w:ascii="Myriad Pro" w:hAnsi="Myriad Pro"/>
          <w:vertAlign w:val="subscript"/>
        </w:rPr>
        <w:t>2</w:t>
      </w:r>
      <w:r w:rsidRPr="00D95A7D">
        <w:rPr>
          <w:rFonts w:ascii="Myriad Pro" w:hAnsi="Myriad Pro"/>
        </w:rPr>
        <w:t>O-CaO-FeO-MgO-Al</w:t>
      </w:r>
      <w:r w:rsidRPr="00D95A7D">
        <w:rPr>
          <w:rFonts w:ascii="Myriad Pro" w:hAnsi="Myriad Pro"/>
          <w:vertAlign w:val="subscript"/>
        </w:rPr>
        <w:t>2</w:t>
      </w:r>
      <w:r w:rsidRPr="00D95A7D">
        <w:rPr>
          <w:rFonts w:ascii="Myriad Pro" w:hAnsi="Myriad Pro"/>
        </w:rPr>
        <w:t>O</w:t>
      </w:r>
      <w:r w:rsidRPr="00D95A7D">
        <w:rPr>
          <w:rFonts w:ascii="Myriad Pro" w:hAnsi="Myriad Pro"/>
          <w:vertAlign w:val="subscript"/>
        </w:rPr>
        <w:t>3</w:t>
      </w:r>
      <w:r w:rsidRPr="00D95A7D">
        <w:rPr>
          <w:rFonts w:ascii="Myriad Pro" w:hAnsi="Myriad Pro"/>
        </w:rPr>
        <w:t>-SiO</w:t>
      </w:r>
      <w:r w:rsidRPr="00D95A7D">
        <w:rPr>
          <w:rFonts w:ascii="Myriad Pro" w:hAnsi="Myriad Pro"/>
          <w:vertAlign w:val="subscript"/>
        </w:rPr>
        <w:t>2</w:t>
      </w:r>
      <w:r w:rsidRPr="00D95A7D">
        <w:rPr>
          <w:rFonts w:ascii="Myriad Pro" w:hAnsi="Myriad Pro"/>
        </w:rPr>
        <w:t>-H</w:t>
      </w:r>
      <w:r w:rsidRPr="00D95A7D">
        <w:rPr>
          <w:rFonts w:ascii="Myriad Pro" w:hAnsi="Myriad Pro"/>
          <w:vertAlign w:val="subscript"/>
        </w:rPr>
        <w:t>2</w:t>
      </w:r>
      <w:r w:rsidRPr="00D95A7D">
        <w:rPr>
          <w:rFonts w:ascii="Myriad Pro" w:hAnsi="Myriad Pro"/>
        </w:rPr>
        <w:t>O-TiO</w:t>
      </w:r>
      <w:r w:rsidRPr="00D95A7D">
        <w:rPr>
          <w:rFonts w:ascii="Myriad Pro" w:hAnsi="Myriad Pro"/>
          <w:vertAlign w:val="subscript"/>
        </w:rPr>
        <w:t>2</w:t>
      </w:r>
      <w:r w:rsidRPr="00D95A7D">
        <w:rPr>
          <w:rFonts w:ascii="Myriad Pro" w:hAnsi="Myriad Pro"/>
        </w:rPr>
        <w:t>-O</w:t>
      </w:r>
      <w:r w:rsidRPr="00D95A7D">
        <w:rPr>
          <w:rFonts w:ascii="Myriad Pro" w:hAnsi="Myriad Pro"/>
          <w:vertAlign w:val="subscript"/>
        </w:rPr>
        <w:t>2</w:t>
      </w:r>
      <w:r w:rsidRPr="00D95A7D">
        <w:rPr>
          <w:rFonts w:ascii="Myriad Pro" w:hAnsi="Myriad Pro"/>
        </w:rPr>
        <w:t xml:space="preserve"> (</w:t>
      </w:r>
      <w:proofErr w:type="spellStart"/>
      <w:r w:rsidRPr="00D95A7D">
        <w:rPr>
          <w:rFonts w:ascii="Myriad Pro" w:hAnsi="Myriad Pro"/>
        </w:rPr>
        <w:t>MnNCFMASHTO</w:t>
      </w:r>
      <w:proofErr w:type="spellEnd"/>
      <w:r w:rsidRPr="00D95A7D">
        <w:rPr>
          <w:rFonts w:ascii="Myriad Pro" w:hAnsi="Myriad Pro"/>
        </w:rPr>
        <w:t xml:space="preserve">) chemical system. </w:t>
      </w:r>
      <w:r w:rsidRPr="00D95A7D">
        <w:rPr>
          <w:rFonts w:ascii="Myriad Pro" w:hAnsi="Myriad Pro"/>
          <w:iCs/>
        </w:rPr>
        <w:t>Activity-composition models were used for the following phases: feldspar</w:t>
      </w:r>
      <w:r w:rsidR="00FF08C4" w:rsidRPr="00D95A7D">
        <w:rPr>
          <w:rFonts w:ascii="Myriad Pro" w:hAnsi="Myriad Pro"/>
          <w:iCs/>
        </w:rPr>
        <w:t xml:space="preserve"> </w:t>
      </w:r>
      <w:r w:rsidR="00FF08C4" w:rsidRPr="00E73F02">
        <w:rPr>
          <w:rFonts w:ascii="Myriad Pro" w:hAnsi="Myriad Pro"/>
          <w:iCs/>
        </w:rPr>
        <w:fldChar w:fldCharType="begin"/>
      </w:r>
      <w:r w:rsidR="00FF08C4" w:rsidRPr="00D95A7D">
        <w:rPr>
          <w:rFonts w:ascii="Myriad Pro" w:hAnsi="Myriad Pro"/>
          <w:iCs/>
        </w:rPr>
        <w:instrText xml:space="preserve"> ADDIN ZOTERO_ITEM CSL_CITATION {"citationID":"a2akn9ms1tq","properties":{"formattedCitation":"(Holland and Powell, 2003)","plainCitation":"(Holland and Powell, 2003)","noteIndex":0},"citationItems":[{"id":772,"uris":["http://zotero.org/users/3840662/items/LE6EATN4"],"uri":["http://zotero.org/users/3840662/items/LE6EATN4"],"itemData":{"id":772,"type":"article-journal","abstract":"For petrological calculations, including geothermobarometry and the calculation of phase diagrams (for example, P–T petrogenetic grids and pseudosections), it is necessary to be able to express the activity–composition (a–x) relations of minerals, melt and fluid in multicomponent systems. Although the symmetric formalism—a macroscopic regular model approach to a–x relations—is an easy-to-formulate, general way of doing this, the energetic relationships are a symmetric function of composition. We allow asymmetric energetics to be accommodated via a simple extension to the symmetric formalism which turns it into a macroscopic van Laar formulation. We term this the asymmetric formalism (ASF). In the symmetric formalism, the a–x relations are specified by an interaction energy for each of the constituent binaries amongst the independent set of end members used to represent the phase. In the asymmetric formalism, there is additionally a \"size parameter\" for each of the end members in the independent set, with size parameter differences between end members accounting for asymmetry. In the case of fluid mixtures, for example, H2O–CO2, the volumes of the end members as a function of pressure and temperature serve as the size parameters, providing an excellent fit to the a–x relations. In the case of minerals and silicate liquid, the size parameters are empirical parameters to be determined along with the interaction energies as part of the calibration of the a–x relations. In this way, we determine the a–x relations for feldspars in the systems KAlSi3O8–NaAlSi3O8 and KAlSi3O8–NaAlSi3O8–CaAl2Si2O8, for carbonates in the system CaCO3–MgCO3, for melt in the melting relationships involving forsterite, protoenstatite and cristobalite in the system Mg2SiO4–SiO2, as well as for fluids in the system H2O–CO2. In each case the a–x relations allow the corresponding, experimentally determined phase diagrams to be reproduced faithfully. The asymmetric formalism provides a powerful and flexible way of handling a–x relations of complex phases in multicomponent systems for petrological calculations.","container-title":"Contributions to Mineralogy and Petrology","DOI":"10.1007/s00410-003-0464-z","ISSN":"1432-0967","issue":"4","journalAbbreviation":"Contributions to Mineralogy and Petrology","page":"492-501","title":"Activity–composition relations for phases in petrological calculations: an asymmetric multicomponent formulation","volume":"145","author":[{"family":"Holland","given":"Tim"},{"family":"Powell","given":"Roger"}],"issued":{"date-parts":[["2003",7,1]]}}}],"schema":"https://github.com/citation-style-language/schema/raw/master/csl-citation.json"} </w:instrText>
      </w:r>
      <w:r w:rsidR="00FF08C4" w:rsidRPr="00E73F02">
        <w:rPr>
          <w:rFonts w:ascii="Myriad Pro" w:hAnsi="Myriad Pro"/>
          <w:iCs/>
        </w:rPr>
        <w:fldChar w:fldCharType="separate"/>
      </w:r>
      <w:r w:rsidR="00FF08C4" w:rsidRPr="00D95A7D">
        <w:rPr>
          <w:rFonts w:ascii="Myriad Pro" w:hAnsi="Myriad Pro"/>
          <w:szCs w:val="24"/>
        </w:rPr>
        <w:t>(Holland and Powell, 2003)</w:t>
      </w:r>
      <w:r w:rsidR="00FF08C4" w:rsidRPr="00E73F02">
        <w:rPr>
          <w:rFonts w:ascii="Myriad Pro" w:hAnsi="Myriad Pro"/>
          <w:iCs/>
        </w:rPr>
        <w:fldChar w:fldCharType="end"/>
      </w:r>
      <w:r w:rsidRPr="00D95A7D">
        <w:rPr>
          <w:rFonts w:ascii="Myriad Pro" w:hAnsi="Myriad Pro"/>
          <w:iCs/>
        </w:rPr>
        <w:t xml:space="preserve">, spinel </w:t>
      </w:r>
      <w:r w:rsidR="002B7636" w:rsidRPr="00105115">
        <w:rPr>
          <w:rFonts w:ascii="Myriad Pro" w:hAnsi="Myriad Pro"/>
          <w:iCs/>
        </w:rPr>
        <w:fldChar w:fldCharType="begin"/>
      </w:r>
      <w:r w:rsidR="00E323C2" w:rsidRPr="00D95A7D">
        <w:rPr>
          <w:rFonts w:ascii="Myriad Pro" w:hAnsi="Myriad Pro"/>
          <w:iCs/>
        </w:rPr>
        <w:instrText xml:space="preserve"> ADDIN ZOTERO_ITEM CSL_CITATION {"citationID":"a1sfpbe86j9","properties":{"formattedCitation":"(White et al., 2002)","plainCitation":"(White et al., 2002)","noteIndex":0},"citationItems":[{"id":780,"uris":["http://zotero.org/users/3840662/items/HH5DXMAC"],"uri":["http://zotero.org/users/3840662/items/HH5DXMAC"],"itemData":{"id":780,"type":"article-journal","abstract":"Abstract Fe-rich metapelitic granulites of the Musgrave Block, central Australia, contain several symplectic and coronal reaction textures that post-date a peak S2 metamorphic assemblage involving garnet, sillimanite, spinel, ilmenite, K-feldspar and quartz. The earliest reaction textures involve spinel- and quartz-bearing symplectites that enclose garnet and to a lesser extent sillimanite. The symplectic spinel and quartz are in places separated by later garnet and/or sillimanite coronas. The metamorphic effects of a later, D3, event are restricted to zones of moderate to high strain where a metamorphic assemblage of garnet, sillimanite, K-feldspar, magnetite, ilmenite, quartz and biotite is preserved. Quantitative mineral equilibria calculations in the system K2O?FeO?MgO?Al2O3?SiO2?H2O?TiO2?Fe2O3 (KFMASHTO) using Thermocalc 3.0 and the accompanying internally consistent dataset provide important constraints on the influence of TiO2 and Fe2O3 on biotite-bearing and spinel-bearing equilibria, respectively. Biotite-bearing equilibria are shifted to higher temperatures and spinel-bearing equilibria to higher pressures and lower temperatures in comparison to the equivalent equilibria in K2O?FeO?MgO?Al2O3?SiO2?H2O (KFMASH). The sequence of reaction textures involving spinel is consistent with a D2 P?T path that involved a small amount of decompression followed predominantly by cooling within a single mineral assemblage stability field. Thus, the reaction textures reflect changes in modal proportions within an equilibrium assemblage rather than the crossing of a univariant reaction. The D3 metamorphic assemblage is consistent with lower temperatures than those inferred for D2.","container-title":"Journal of Metamorphic Geology","DOI":"10.1046/j.0263-4929.2001.00349.x","ISSN":"0263-4929","issue":"1","journalAbbreviation":"Journal of Metamorphic Geology","note":"publisher: John Wiley &amp; Sons, Ltd","page":"41-55","title":"The interpretation of reaction textures in Fe-rich metapelitic granulites of the Musgrave Block, central Australia: constraints from mineral equilibria calculations in the system K2O–FeO–MgO–Al2O3–SiO2–H2O–TiO2–Fe2O3","volume":"20","author":[{"family":"White","given":"R. W."},{"family":"Powell","given":"Roger"},{"family":"Clarke","given":"G. L."}],"issued":{"date-parts":[["2002",1,1]]}}}],"schema":"https://github.com/citation-style-language/schema/raw/master/csl-citation.json"} </w:instrText>
      </w:r>
      <w:r w:rsidR="002B7636" w:rsidRPr="00105115">
        <w:rPr>
          <w:rFonts w:ascii="Myriad Pro" w:hAnsi="Myriad Pro"/>
          <w:iCs/>
        </w:rPr>
        <w:fldChar w:fldCharType="separate"/>
      </w:r>
      <w:r w:rsidR="00E323C2" w:rsidRPr="00D95A7D">
        <w:rPr>
          <w:rFonts w:ascii="Myriad Pro" w:hAnsi="Myriad Pro"/>
          <w:szCs w:val="24"/>
        </w:rPr>
        <w:t>(White et al., 2002)</w:t>
      </w:r>
      <w:r w:rsidR="002B7636" w:rsidRPr="00105115">
        <w:rPr>
          <w:rFonts w:ascii="Myriad Pro" w:hAnsi="Myriad Pro"/>
          <w:iCs/>
        </w:rPr>
        <w:fldChar w:fldCharType="end"/>
      </w:r>
      <w:r w:rsidR="002B7636" w:rsidRPr="00105115">
        <w:rPr>
          <w:rFonts w:ascii="Myriad Pro" w:hAnsi="Myriad Pro"/>
          <w:iCs/>
        </w:rPr>
        <w:t xml:space="preserve"> </w:t>
      </w:r>
      <w:r w:rsidRPr="00D95A7D">
        <w:rPr>
          <w:rFonts w:ascii="Myriad Pro" w:hAnsi="Myriad Pro"/>
          <w:iCs/>
        </w:rPr>
        <w:t xml:space="preserve">, chlorite, garnet, epidote and </w:t>
      </w:r>
      <w:proofErr w:type="spellStart"/>
      <w:r w:rsidRPr="00D95A7D">
        <w:rPr>
          <w:rFonts w:ascii="Myriad Pro" w:hAnsi="Myriad Pro"/>
          <w:iCs/>
        </w:rPr>
        <w:t>chloritoid</w:t>
      </w:r>
      <w:proofErr w:type="spellEnd"/>
      <w:r w:rsidRPr="00D95A7D">
        <w:rPr>
          <w:rFonts w:ascii="Myriad Pro" w:hAnsi="Myriad Pro"/>
          <w:iCs/>
        </w:rPr>
        <w:t xml:space="preserve"> </w:t>
      </w:r>
      <w:r w:rsidR="003F69FE" w:rsidRPr="00E73F02">
        <w:rPr>
          <w:rFonts w:ascii="Myriad Pro" w:hAnsi="Myriad Pro"/>
          <w:iCs/>
        </w:rPr>
        <w:fldChar w:fldCharType="begin"/>
      </w:r>
      <w:r w:rsidR="00FF08C4" w:rsidRPr="00105115">
        <w:rPr>
          <w:rFonts w:ascii="Myriad Pro" w:hAnsi="Myriad Pro"/>
          <w:iCs/>
        </w:rPr>
        <w:instrText xml:space="preserve"> ADDIN ZOTERO_ITEM CSL_CITATION {"citationID":"a1hsnolb64c","properties":{"formattedCitation":"(Holland and Powell, 1998)","plainCitation":"(Holland and Powell, 1998)","noteIndex":0},"citationItems":[{"id":593,"uris":["http://zotero.org/users/3840662/items/X4EA33SK"],"uri":["http://zotero.org/users/3840662/items/X4EA33SK"],"itemData":{"id":593,"type":"article-journal","abstract":"The thermodynamic properties of 154 mineral end-members, 13 silicate liquid end-members and 22 aqueous fluid species are presented in a revised and updated data set. The use of a temperature-dependent thermal expansion and bulk modulus, and the use of high-pressure equations of state for solids and fluids, allows calculation of mineral?fluid equilibria to 100?kbar pressure or higher. A pressure-dependent Landau model for order?disorder permits extension of disordering transitions to high pressures, and, in particular, allows the alpha?beta quartz transition to be handled more satisfactorily. Several melt end-members have been included to enable calculation of simple phase equilibria and as a first stage in developing melt mixing models in NCKFMASH. The simple aqueous species density model has been extended to enable speciation calculations and mineral solubility determination involving minerals and aqueous species at high temperatures and pressures. The data set has also been improved by incorporation of many new phase equilibrium constraints, calorimetric studies and new measurements of molar volume, thermal expansion and compressibility. This has led to a significant improvement in the level of agreement with the available experimental phase equilibria, and to greater flexibility in calculation of complex mineral equilibria. It is also shown that there is very good agreement between the data set and the most recent available calorimetric data.","container-title":"Journal of Metamorphic Geology","DOI":"10.1111/j.1525-1314.1998.00140.x","ISSN":"0263-4929","issue":"3","journalAbbreviation":"Journal of Metamorphic Geology","note":"publisher: John Wiley &amp; Sons, Ltd","page":"309-343","title":"An internally consistent thermodynamic data set for phases of petrological interest","volume":"16","author":[{"family":"Holland","given":"T. J. B."},{"family":"Powell","given":"R."}],"issued":{"date-parts":[["1998",5,1]]}}}],"schema":"https://github.com/citation-style-language/schema/raw/master/csl-citation.json"} </w:instrText>
      </w:r>
      <w:r w:rsidR="003F69FE" w:rsidRPr="00E73F02">
        <w:rPr>
          <w:rFonts w:ascii="Myriad Pro" w:hAnsi="Myriad Pro"/>
          <w:iCs/>
        </w:rPr>
        <w:fldChar w:fldCharType="separate"/>
      </w:r>
      <w:r w:rsidR="00FF08C4" w:rsidRPr="00D95A7D">
        <w:rPr>
          <w:rFonts w:ascii="Myriad Pro" w:hAnsi="Myriad Pro"/>
          <w:szCs w:val="24"/>
        </w:rPr>
        <w:t>(Holland and Powell, 1998)</w:t>
      </w:r>
      <w:r w:rsidR="003F69FE" w:rsidRPr="00E73F02">
        <w:rPr>
          <w:rFonts w:ascii="Myriad Pro" w:hAnsi="Myriad Pro"/>
          <w:iCs/>
        </w:rPr>
        <w:fldChar w:fldCharType="end"/>
      </w:r>
      <w:r w:rsidRPr="00D95A7D">
        <w:rPr>
          <w:rFonts w:ascii="Myriad Pro" w:hAnsi="Myriad Pro"/>
          <w:iCs/>
        </w:rPr>
        <w:t>, clinopyroxene</w:t>
      </w:r>
      <w:r w:rsidR="003F69FE" w:rsidRPr="00D95A7D">
        <w:rPr>
          <w:rFonts w:ascii="Myriad Pro" w:hAnsi="Myriad Pro"/>
          <w:iCs/>
        </w:rPr>
        <w:t xml:space="preserve"> </w:t>
      </w:r>
      <w:r w:rsidR="002B7636" w:rsidRPr="00105115">
        <w:rPr>
          <w:rFonts w:ascii="Myriad Pro" w:hAnsi="Myriad Pro"/>
          <w:iCs/>
        </w:rPr>
        <w:fldChar w:fldCharType="begin"/>
      </w:r>
      <w:r w:rsidR="00E323C2" w:rsidRPr="00D95A7D">
        <w:rPr>
          <w:rFonts w:ascii="Myriad Pro" w:hAnsi="Myriad Pro"/>
          <w:iCs/>
        </w:rPr>
        <w:instrText xml:space="preserve"> ADDIN ZOTERO_ITEM CSL_CITATION {"citationID":"a4tep6526q","properties":{"formattedCitation":"(Green et al., 2007)","plainCitation":"(Green et al., 2007)","noteIndex":0},"citationItems":[{"id":779,"uris":["http://zotero.org/users/3840662/items/BS75XRI8"],"uri":["http://zotero.org/users/3840662/items/BS75XRI8"],"itemData":{"id":779,"type":"article-journal","abstract":"A new thermodynamic model for sodic pyroxenes involving jadeite-diopside-hedenbergite-acmite is presented. This model allows for ordering of Mg, Al, Fe2+, and Fe3+ on the M1 sites, with coupled Na and Ca ordering on the M2 sites. It is calibrated on the basis of experiments in three chemical subsystems together with available information on ordering in different pyroxenes and on the limited calorimetric data. Central to the determination of the parameters of the model is the use of relationships among the end-member Gibbs energies and the interaction energies in the various possible non-independent sets of end-members. An important aspect of this model, which uses the symmetric formalism, is that Fe-Mg (FM) and Al-Fe3+ (AF’) mixing is not assumed to be ideal. The model accounts successfully for the experiments at both 600 °C and at higher temperatures involving ordered and disordered pyroxenes coexisting with albite and quartz in NCMAS, NCFAS, NF’AS systems as well as the available calorimetry. It is also able to predict the positions and slopes of tielines in coexisting jadeite + omphacite and omphacite + augite found in nature at lower temperatures. Although the model requires a large number of energy parameters, some of these are not critical to the behavior of the model, while for others the constraints from experiment, calorimetry, ordering state and solvi lead to very limited allowable combinations. The model places some restrictive constraints on the shape of the phase relations in the jadeite–augite–acmite system. Petrological applications of the model are illustrated via a phase diagram example for a MORB bulk composition eclogite.","container-title":"American Mineralogist","DOI":"10.2138/am.2007.2401","ISSN":"0003-004X","issue":"7","journalAbbreviation":"American Mineralogist","page":"1181-1189","title":"An order-disorder model for omphacitic pyroxenes in the system jadeite-diopside-hedenbergite-acmite, with applications to eclogitic rocks","volume":"92","author":[{"family":"Green","given":"Eleanor"},{"family":"Holland","given":"Tim"},{"family":"Powell","given":"Roger"}],"issued":{"date-parts":[["2007",7,1]]}}}],"schema":"https://github.com/citation-style-language/schema/raw/master/csl-citation.json"} </w:instrText>
      </w:r>
      <w:r w:rsidR="002B7636" w:rsidRPr="00105115">
        <w:rPr>
          <w:rFonts w:ascii="Myriad Pro" w:hAnsi="Myriad Pro"/>
          <w:iCs/>
        </w:rPr>
        <w:fldChar w:fldCharType="separate"/>
      </w:r>
      <w:r w:rsidR="00E323C2" w:rsidRPr="00D95A7D">
        <w:rPr>
          <w:rFonts w:ascii="Myriad Pro" w:hAnsi="Myriad Pro"/>
          <w:szCs w:val="24"/>
        </w:rPr>
        <w:t>(Green et al., 2007)</w:t>
      </w:r>
      <w:r w:rsidR="002B7636" w:rsidRPr="00105115">
        <w:rPr>
          <w:rFonts w:ascii="Myriad Pro" w:hAnsi="Myriad Pro"/>
          <w:iCs/>
        </w:rPr>
        <w:fldChar w:fldCharType="end"/>
      </w:r>
      <w:r w:rsidR="002B7636" w:rsidRPr="00105115">
        <w:rPr>
          <w:rFonts w:ascii="Myriad Pro" w:hAnsi="Myriad Pro"/>
          <w:iCs/>
        </w:rPr>
        <w:t xml:space="preserve">, </w:t>
      </w:r>
      <w:r w:rsidRPr="00D95A7D">
        <w:rPr>
          <w:rFonts w:ascii="Myriad Pro" w:hAnsi="Myriad Pro"/>
          <w:iCs/>
        </w:rPr>
        <w:t>white mica</w:t>
      </w:r>
      <w:r w:rsidR="00FF08C4" w:rsidRPr="00105115">
        <w:rPr>
          <w:rFonts w:ascii="Myriad Pro" w:hAnsi="Myriad Pro"/>
          <w:iCs/>
        </w:rPr>
        <w:t xml:space="preserve"> </w:t>
      </w:r>
      <w:r w:rsidR="00FF08C4" w:rsidRPr="00105115">
        <w:rPr>
          <w:rFonts w:ascii="Myriad Pro" w:hAnsi="Myriad Pro"/>
          <w:iCs/>
        </w:rPr>
        <w:fldChar w:fldCharType="begin"/>
      </w:r>
      <w:r w:rsidR="00FF08C4" w:rsidRPr="00105115">
        <w:rPr>
          <w:rFonts w:ascii="Myriad Pro" w:hAnsi="Myriad Pro"/>
          <w:iCs/>
        </w:rPr>
        <w:instrText xml:space="preserve"> ADDIN ZOTERO_ITEM CSL_CITATION {"citationID":"aeqe6cu75s","properties":{"formattedCitation":"(Coggon and Holland, 2002)","plainCitation":"(Coggon and Holland, 2002)","noteIndex":0},"citationItems":[{"id":773,"uris":["http://zotero.org/users/3840662/items/8NUPL6QZ"],"uri":["http://zotero.org/users/3840662/items/8NUPL6QZ"],"itemData":{"id":773,"type":"article-journal","abstract":"Abstract Mixing properties for muscovite?celadonite?ferroceladonite solid solutions are derived from combining available experimental phase equilibrium data with tabulated thermodynamic data for mineral end-members. When a partially ordered solution model is assumed, the enthalpy of mixing among the end-members muscovite?celadonite?ferroceladonite is nearly ideal, although the Gibbs energies of muscovite?celadonite and muscovite?ferroceladonite solutions are asymmetric due to an asymmetry in the entropy of mixing. Thermodynamic consistency is achieved for data on phengite compositions inassemblages with (a) pyrope+kyanite+quartz/coesite (b) almandine+kyanite+quartz/coesite (c)talc+kyanite+quartz/coesite and (d) garnet?phengite pairs equilibrated both experimentally at high temperatures and natural pairs from low-grade schists. The muscovite?paragonite solvus has been reanalysed using the asymmetric van Laar model, and the effects of the phengite substitution into muscovite have been quantitatively addressed in order to complete the simple thermodynamic mixing model for the solid solution among the mica end-members. Results are applied to a natural pyrope?coesite?phengite?talc rock from the Western Alps, and to investigate the conditions under which biotite-bearing mica schists transform to whiteschist-like biotite-absent assemblages for average pelite bulk compositions.","container-title":"Journal of Metamorphic Geology","DOI":"10.1046/j.1525-1314.2002.00395.x","ISSN":"0263-4929","issue":"7","journalAbbreviation":"Journal of Metamorphic Geology","note":"publisher: John Wiley &amp; Sons, Ltd","page":"683-696","title":"Mixing properties of phengitic micas and revised garnet-phengite thermobarometers","volume":"20","author":[{"family":"Coggon","given":"R."},{"family":"Holland","given":"T. J. B."}],"issued":{"date-parts":[["2002",9,1]]}}}],"schema":"https://github.com/citation-style-language/schema/raw/master/csl-citation.json"} </w:instrText>
      </w:r>
      <w:r w:rsidR="00FF08C4" w:rsidRPr="00105115">
        <w:rPr>
          <w:rFonts w:ascii="Myriad Pro" w:hAnsi="Myriad Pro"/>
          <w:iCs/>
        </w:rPr>
        <w:fldChar w:fldCharType="separate"/>
      </w:r>
      <w:r w:rsidR="00FF08C4" w:rsidRPr="00D95A7D">
        <w:rPr>
          <w:rFonts w:ascii="Myriad Pro" w:hAnsi="Myriad Pro"/>
          <w:szCs w:val="24"/>
        </w:rPr>
        <w:t>(Coggon and Holland, 2002)</w:t>
      </w:r>
      <w:r w:rsidR="00FF08C4" w:rsidRPr="00105115">
        <w:rPr>
          <w:rFonts w:ascii="Myriad Pro" w:hAnsi="Myriad Pro"/>
          <w:iCs/>
        </w:rPr>
        <w:fldChar w:fldCharType="end"/>
      </w:r>
      <w:r w:rsidR="00FF08C4" w:rsidRPr="00105115">
        <w:rPr>
          <w:rFonts w:ascii="Myriad Pro" w:hAnsi="Myriad Pro"/>
          <w:iCs/>
        </w:rPr>
        <w:t>,</w:t>
      </w:r>
      <w:r w:rsidRPr="00D95A7D">
        <w:rPr>
          <w:rFonts w:ascii="Myriad Pro" w:hAnsi="Myriad Pro"/>
          <w:iCs/>
        </w:rPr>
        <w:t xml:space="preserve"> and amphibole</w:t>
      </w:r>
      <w:r w:rsidR="003F69FE" w:rsidRPr="00D95A7D">
        <w:rPr>
          <w:rFonts w:ascii="Myriad Pro" w:hAnsi="Myriad Pro"/>
          <w:iCs/>
        </w:rPr>
        <w:t xml:space="preserve"> </w:t>
      </w:r>
      <w:r w:rsidRPr="00D95A7D">
        <w:rPr>
          <w:rFonts w:ascii="Myriad Pro" w:hAnsi="Myriad Pro"/>
          <w:iCs/>
        </w:rPr>
        <w:t xml:space="preserve"> </w:t>
      </w:r>
      <w:r w:rsidR="00FF08C4" w:rsidRPr="00105115">
        <w:rPr>
          <w:rFonts w:ascii="Myriad Pro" w:hAnsi="Myriad Pro"/>
          <w:iCs/>
        </w:rPr>
        <w:fldChar w:fldCharType="begin"/>
      </w:r>
      <w:r w:rsidR="002B7636" w:rsidRPr="00105115">
        <w:rPr>
          <w:rFonts w:ascii="Myriad Pro" w:hAnsi="Myriad Pro"/>
          <w:iCs/>
        </w:rPr>
        <w:instrText xml:space="preserve"> ADDIN ZOTERO_ITEM CSL_CITATION {"citationID":"a2q2usmlu2q","properties":{"formattedCitation":"(Diener and Powell, 2012)","plainCitation":"(Diener and Powell, 2012)","noteIndex":0},"citationItems":[{"id":777,"uris":["http://zotero.org/users/3840662/items/EUFKGWAV"],"uri":["http://zotero.org/users/3840662/items/EUFKGWAV"],"itemData":{"id":777,"type":"article-journal","abstract":"Abstract Recent activity?composition models for clinopyroxene and amphibole are revised to provide better consistency with observed phase relations in natural rocks. For clinopyroxene, the calibration in NCFMAS is retained, but the incorporation of acmite is revised to improve the partitioning of ferric iron between coexisting clinopyroxenes. For amphibole, the NCFMASH calibration is retained, but the addition of ferric iron is changed to provide consistency with the clinopyroxenes. The thermodynamics of orthoamphibole (gedrite) is also adjusted to resolve an unrelated inconsistency. The effects of these improvements are illustrated through comparison of calculated pseudosections produced with the existing and new models with natural data from lawsonite eclogites.","container-title":"Journal of Metamorphic Geology","DOI":"10.1111/j.1525-1314.2011.00959.x","ISSN":"0263-4929","issue":"2","journalAbbreviation":"Journal of Metamorphic Geology","note":"publisher: John Wiley &amp; Sons, Ltd","page":"131-142","title":"Revised activity–composition models for clinopyroxene and amphibole","volume":"30","author":[{"family":"Diener","given":"J. F. A."},{"family":"Powell","given":"R."}],"issued":{"date-parts":[["2012",2,1]]}}}],"schema":"https://github.com/citation-style-language/schema/raw/master/csl-citation.json"} </w:instrText>
      </w:r>
      <w:r w:rsidR="00FF08C4" w:rsidRPr="00105115">
        <w:rPr>
          <w:rFonts w:ascii="Myriad Pro" w:hAnsi="Myriad Pro"/>
          <w:iCs/>
        </w:rPr>
        <w:fldChar w:fldCharType="separate"/>
      </w:r>
      <w:r w:rsidR="002B7636" w:rsidRPr="00D95A7D">
        <w:rPr>
          <w:rFonts w:ascii="Myriad Pro" w:hAnsi="Myriad Pro"/>
          <w:szCs w:val="24"/>
        </w:rPr>
        <w:t>(Diener and Powell, 2012)</w:t>
      </w:r>
      <w:r w:rsidR="00FF08C4" w:rsidRPr="00105115">
        <w:rPr>
          <w:rFonts w:ascii="Myriad Pro" w:hAnsi="Myriad Pro"/>
          <w:iCs/>
        </w:rPr>
        <w:fldChar w:fldCharType="end"/>
      </w:r>
      <w:r w:rsidR="00FF08C4" w:rsidRPr="00105115" w:rsidDel="00FF08C4">
        <w:rPr>
          <w:rFonts w:ascii="Myriad Pro" w:hAnsi="Myriad Pro"/>
          <w:iCs/>
        </w:rPr>
        <w:t xml:space="preserve"> </w:t>
      </w:r>
      <w:r w:rsidRPr="00D95A7D">
        <w:rPr>
          <w:rFonts w:ascii="Myriad Pro" w:hAnsi="Myriad Pro"/>
          <w:iCs/>
        </w:rPr>
        <w:t xml:space="preserve">. Quartz, lawsonite, rutile and titanite were assumed to be pure (stoichiometric) phases. </w:t>
      </w:r>
      <w:r w:rsidRPr="00D95A7D">
        <w:rPr>
          <w:rFonts w:ascii="Myriad Pro" w:hAnsi="Myriad Pro"/>
        </w:rPr>
        <w:t>The fluid phase was assumed to be pure H</w:t>
      </w:r>
      <w:r w:rsidRPr="00D95A7D">
        <w:rPr>
          <w:rFonts w:ascii="Myriad Pro" w:hAnsi="Myriad Pro"/>
          <w:vertAlign w:val="subscript"/>
        </w:rPr>
        <w:t>2</w:t>
      </w:r>
      <w:r w:rsidRPr="00D95A7D">
        <w:rPr>
          <w:rFonts w:ascii="Myriad Pro" w:hAnsi="Myriad Pro"/>
        </w:rPr>
        <w:t xml:space="preserve">O. </w:t>
      </w:r>
      <w:r w:rsidR="00596357">
        <w:rPr>
          <w:rFonts w:ascii="Myriad Pro" w:hAnsi="Myriad Pro"/>
        </w:rPr>
        <w:t xml:space="preserve">As the </w:t>
      </w:r>
      <w:r w:rsidR="008256D8">
        <w:rPr>
          <w:rFonts w:ascii="Myriad Pro" w:hAnsi="Myriad Pro"/>
        </w:rPr>
        <w:t>whole</w:t>
      </w:r>
      <w:r w:rsidR="00B63399">
        <w:rPr>
          <w:rFonts w:ascii="Myriad Pro" w:hAnsi="Myriad Pro"/>
        </w:rPr>
        <w:t xml:space="preserve"> </w:t>
      </w:r>
      <w:r w:rsidR="00596357" w:rsidRPr="00596357">
        <w:rPr>
          <w:rFonts w:ascii="Myriad Pro" w:hAnsi="Myriad Pro"/>
        </w:rPr>
        <w:t>rock water content can have a control on the mineral assemblage, T-M</w:t>
      </w:r>
      <w:r w:rsidR="00596357" w:rsidRPr="00105115">
        <w:rPr>
          <w:rFonts w:ascii="Myriad Pro" w:hAnsi="Myriad Pro"/>
          <w:vertAlign w:val="subscript"/>
        </w:rPr>
        <w:t>H2O</w:t>
      </w:r>
      <w:r w:rsidR="00596357" w:rsidRPr="00596357">
        <w:rPr>
          <w:rFonts w:ascii="Myriad Pro" w:hAnsi="Myriad Pro"/>
        </w:rPr>
        <w:t xml:space="preserve"> </w:t>
      </w:r>
      <w:proofErr w:type="spellStart"/>
      <w:r w:rsidR="00596357" w:rsidRPr="00596357">
        <w:rPr>
          <w:rFonts w:ascii="Myriad Pro" w:hAnsi="Myriad Pro"/>
        </w:rPr>
        <w:t>pseudosections</w:t>
      </w:r>
      <w:proofErr w:type="spellEnd"/>
      <w:r w:rsidR="00596357" w:rsidRPr="00596357">
        <w:rPr>
          <w:rFonts w:ascii="Myriad Pro" w:hAnsi="Myriad Pro"/>
        </w:rPr>
        <w:t xml:space="preserve"> were calculated. For all </w:t>
      </w:r>
      <w:proofErr w:type="spellStart"/>
      <w:r w:rsidR="00596357" w:rsidRPr="00596357">
        <w:rPr>
          <w:rFonts w:ascii="Myriad Pro" w:hAnsi="Myriad Pro"/>
        </w:rPr>
        <w:t>metagabbroic</w:t>
      </w:r>
      <w:proofErr w:type="spellEnd"/>
      <w:r w:rsidR="00596357" w:rsidRPr="00596357">
        <w:rPr>
          <w:rFonts w:ascii="Myriad Pro" w:hAnsi="Myriad Pro"/>
        </w:rPr>
        <w:t xml:space="preserve"> samples, the observed LOI content provided unrealistic mineral assemblages and </w:t>
      </w:r>
      <w:r w:rsidR="00596357" w:rsidRPr="00105115">
        <w:rPr>
          <w:rFonts w:ascii="Myriad Pro" w:hAnsi="Myriad Pro"/>
          <w:i/>
        </w:rPr>
        <w:t>P-T</w:t>
      </w:r>
      <w:r w:rsidR="00596357" w:rsidRPr="00596357">
        <w:rPr>
          <w:rFonts w:ascii="Myriad Pro" w:hAnsi="Myriad Pro"/>
        </w:rPr>
        <w:t xml:space="preserve"> stabilities, </w:t>
      </w:r>
      <w:r w:rsidR="00596357" w:rsidRPr="00105115">
        <w:rPr>
          <w:rFonts w:ascii="Myriad Pro" w:hAnsi="Myriad Pro"/>
          <w:i/>
        </w:rPr>
        <w:t>e.g</w:t>
      </w:r>
      <w:r w:rsidR="00596357" w:rsidRPr="00596357">
        <w:rPr>
          <w:rFonts w:ascii="Myriad Pro" w:hAnsi="Myriad Pro"/>
        </w:rPr>
        <w:t>. garnet is calculated to be stable at unrealistically low pressure and temperatures</w:t>
      </w:r>
      <w:r w:rsidR="00CD1603">
        <w:rPr>
          <w:rFonts w:ascii="Myriad Pro" w:hAnsi="Myriad Pro"/>
        </w:rPr>
        <w:t xml:space="preserve"> (~300 </w:t>
      </w:r>
      <w:r w:rsidR="00CD1603" w:rsidRPr="00CD1603">
        <w:rPr>
          <w:rFonts w:ascii="Myriad Pro" w:hAnsi="Myriad Pro"/>
        </w:rPr>
        <w:t>°</w:t>
      </w:r>
      <w:r w:rsidR="00CD1603">
        <w:rPr>
          <w:rFonts w:ascii="Myriad Pro" w:hAnsi="Myriad Pro"/>
        </w:rPr>
        <w:t xml:space="preserve">C and </w:t>
      </w:r>
      <w:r w:rsidR="0046797D">
        <w:rPr>
          <w:rFonts w:ascii="Myriad Pro" w:hAnsi="Myriad Pro"/>
        </w:rPr>
        <w:t>~</w:t>
      </w:r>
      <w:r w:rsidR="00CD1603">
        <w:rPr>
          <w:rFonts w:ascii="Myriad Pro" w:hAnsi="Myriad Pro"/>
        </w:rPr>
        <w:t xml:space="preserve">0.5 </w:t>
      </w:r>
      <w:proofErr w:type="gramStart"/>
      <w:r w:rsidR="00CD1603">
        <w:rPr>
          <w:rFonts w:ascii="Myriad Pro" w:hAnsi="Myriad Pro"/>
        </w:rPr>
        <w:t>GPa</w:t>
      </w:r>
      <w:proofErr w:type="gramEnd"/>
      <w:r w:rsidR="00CD1603">
        <w:rPr>
          <w:rFonts w:ascii="Myriad Pro" w:hAnsi="Myriad Pro"/>
        </w:rPr>
        <w:t>)</w:t>
      </w:r>
      <w:r w:rsidR="00596357" w:rsidRPr="00596357">
        <w:rPr>
          <w:rFonts w:ascii="Myriad Pro" w:hAnsi="Myriad Pro"/>
        </w:rPr>
        <w:t xml:space="preserve">. Additionally, </w:t>
      </w:r>
      <w:r w:rsidR="00CA2B9D">
        <w:rPr>
          <w:rFonts w:ascii="Myriad Pro" w:hAnsi="Myriad Pro"/>
        </w:rPr>
        <w:t>for the distal Fe-</w:t>
      </w:r>
      <w:proofErr w:type="spellStart"/>
      <w:r w:rsidR="00CA2B9D">
        <w:rPr>
          <w:rFonts w:ascii="Myriad Pro" w:hAnsi="Myriad Pro"/>
        </w:rPr>
        <w:t>Ti</w:t>
      </w:r>
      <w:proofErr w:type="spellEnd"/>
      <w:r w:rsidR="00CA2B9D">
        <w:rPr>
          <w:rFonts w:ascii="Myriad Pro" w:hAnsi="Myriad Pro"/>
        </w:rPr>
        <w:t xml:space="preserve"> gabbroic lithologies, </w:t>
      </w:r>
      <w:r w:rsidR="00596357" w:rsidRPr="00596357">
        <w:rPr>
          <w:rFonts w:ascii="Myriad Pro" w:hAnsi="Myriad Pro"/>
        </w:rPr>
        <w:t xml:space="preserve">it is likely that during prograde metamorphism and isothermal decompression, some degree of dehydration occurred. As such, we assumed water to be in excess. </w:t>
      </w:r>
      <w:r w:rsidRPr="00D95A7D">
        <w:rPr>
          <w:rFonts w:ascii="Myriad Pro" w:hAnsi="Myriad Pro"/>
          <w:iCs/>
        </w:rPr>
        <w:t xml:space="preserve">The measured whole rock chemistries of samples B06 (Zone IV) and B10 (Zone V) were utilized for modeling the prograde to peak portion of the </w:t>
      </w:r>
      <w:r w:rsidRPr="00D95A7D">
        <w:rPr>
          <w:rFonts w:ascii="Myriad Pro" w:hAnsi="Myriad Pro"/>
          <w:i/>
        </w:rPr>
        <w:t>P-T</w:t>
      </w:r>
      <w:r w:rsidRPr="00D95A7D">
        <w:rPr>
          <w:rFonts w:ascii="Myriad Pro" w:hAnsi="Myriad Pro"/>
          <w:iCs/>
        </w:rPr>
        <w:t xml:space="preserve"> evolution (i.e. the </w:t>
      </w:r>
      <w:r w:rsidRPr="00D95A7D">
        <w:rPr>
          <w:rFonts w:ascii="Myriad Pro" w:hAnsi="Myriad Pro"/>
          <w:i/>
        </w:rPr>
        <w:t>P-T</w:t>
      </w:r>
      <w:r w:rsidRPr="00D95A7D">
        <w:rPr>
          <w:rFonts w:ascii="Myriad Pro" w:hAnsi="Myriad Pro"/>
          <w:iCs/>
        </w:rPr>
        <w:t xml:space="preserve"> conditions of garnet growth initiation, where appropriate). Use of the whole rock chemistry in determining the peak </w:t>
      </w:r>
      <w:r w:rsidRPr="00D95A7D">
        <w:rPr>
          <w:rFonts w:ascii="Myriad Pro" w:hAnsi="Myriad Pro"/>
          <w:i/>
        </w:rPr>
        <w:t>P-T</w:t>
      </w:r>
      <w:r w:rsidRPr="00D95A7D">
        <w:rPr>
          <w:rFonts w:ascii="Myriad Pro" w:hAnsi="Myriad Pro"/>
          <w:iCs/>
        </w:rPr>
        <w:t xml:space="preserve"> conditions was deemed inappropriate, given the high abundance (up to 20% by volume) of chemically zoned garnet </w:t>
      </w:r>
      <w:proofErr w:type="spellStart"/>
      <w:r w:rsidRPr="00D95A7D">
        <w:rPr>
          <w:rFonts w:ascii="Myriad Pro" w:hAnsi="Myriad Pro"/>
          <w:iCs/>
        </w:rPr>
        <w:t>porphyroblasts</w:t>
      </w:r>
      <w:proofErr w:type="spellEnd"/>
      <w:r w:rsidRPr="00D95A7D">
        <w:rPr>
          <w:rFonts w:ascii="Myriad Pro" w:hAnsi="Myriad Pro"/>
          <w:iCs/>
        </w:rPr>
        <w:t xml:space="preserve"> </w:t>
      </w:r>
      <w:r w:rsidRPr="00E73F02">
        <w:rPr>
          <w:rFonts w:ascii="Myriad Pro" w:hAnsi="Myriad Pro"/>
          <w:iCs/>
        </w:rPr>
        <w:fldChar w:fldCharType="begin"/>
      </w:r>
      <w:r w:rsidR="00D10EBB" w:rsidRPr="00D95A7D">
        <w:rPr>
          <w:rFonts w:ascii="Myriad Pro" w:hAnsi="Myriad Pro"/>
          <w:iCs/>
        </w:rPr>
        <w:instrText xml:space="preserve"> ADDIN ZOTERO_ITEM CSL_CITATION {"citationID":"NLlD83rF","properties":{"formattedCitation":"(Lanari and Engi, 2017)","plainCitation":"(Lanari and Engi, 2017)","noteIndex":0},"citationItems":[{"id":584,"uris":["http://zotero.org/users/3840662/items/WSLE76PU"],"uri":["http://zotero.org/users/3840662/items/WSLE76PU"],"itemData":{"id":584,"type":"article-journal","container-title":"Reviews in Mineralogy and Geochemistry","DOI":"10.2138/rmg.2017.83.3","ISSN":"1529-6466","issue":"1","journalAbbreviation":"Reviews in Mineralogy and Geochemistry","page":"55-102","title":"Local Bulk Composition Effects on Metamorphic Mineral Assemblages","volume":"83","author":[{"family":"Lanari","given":"Pierre"},{"family":"Engi","given":"Martin"}],"issued":{"date-parts":[["2017",8,1]]}}}],"schema":"https://github.com/citation-style-language/schema/raw/master/csl-citation.json"} </w:instrText>
      </w:r>
      <w:r w:rsidRPr="00E73F02">
        <w:rPr>
          <w:rFonts w:ascii="Myriad Pro" w:hAnsi="Myriad Pro"/>
          <w:iCs/>
        </w:rPr>
        <w:fldChar w:fldCharType="separate"/>
      </w:r>
      <w:r w:rsidRPr="00D95A7D">
        <w:rPr>
          <w:rFonts w:ascii="Myriad Pro" w:hAnsi="Myriad Pro"/>
        </w:rPr>
        <w:t>(</w:t>
      </w:r>
      <w:proofErr w:type="spellStart"/>
      <w:r w:rsidRPr="00D95A7D">
        <w:rPr>
          <w:rFonts w:ascii="Myriad Pro" w:hAnsi="Myriad Pro"/>
        </w:rPr>
        <w:t>Lanari</w:t>
      </w:r>
      <w:proofErr w:type="spellEnd"/>
      <w:r w:rsidRPr="00D95A7D">
        <w:rPr>
          <w:rFonts w:ascii="Myriad Pro" w:hAnsi="Myriad Pro"/>
        </w:rPr>
        <w:t xml:space="preserve"> and </w:t>
      </w:r>
      <w:proofErr w:type="spellStart"/>
      <w:r w:rsidRPr="00D95A7D">
        <w:rPr>
          <w:rFonts w:ascii="Myriad Pro" w:hAnsi="Myriad Pro"/>
        </w:rPr>
        <w:t>Engi</w:t>
      </w:r>
      <w:proofErr w:type="spellEnd"/>
      <w:r w:rsidRPr="00D95A7D">
        <w:rPr>
          <w:rFonts w:ascii="Myriad Pro" w:hAnsi="Myriad Pro"/>
        </w:rPr>
        <w:t>, 2017)</w:t>
      </w:r>
      <w:r w:rsidRPr="00E73F02">
        <w:rPr>
          <w:rFonts w:ascii="Myriad Pro" w:hAnsi="Myriad Pro"/>
          <w:iCs/>
        </w:rPr>
        <w:fldChar w:fldCharType="end"/>
      </w:r>
      <w:r w:rsidRPr="00D95A7D">
        <w:rPr>
          <w:rFonts w:ascii="Myriad Pro" w:hAnsi="Myriad Pro"/>
          <w:iCs/>
        </w:rPr>
        <w:t xml:space="preserve">, and as such, the matrix chemistry was used. The matrix compositions for these samples were calculated by subtracting volumetrically-average garnet compositions (determined by EPMA traverse), at volume abundances of ~15 and 10% (inferred by SEM mineral maps), respectively, from the whole rock composition. For the matrix compositions, phase equilibria were calculated in the </w:t>
      </w:r>
      <w:r w:rsidRPr="00D95A7D">
        <w:rPr>
          <w:rFonts w:ascii="Myriad Pro" w:hAnsi="Myriad Pro"/>
        </w:rPr>
        <w:t>Na</w:t>
      </w:r>
      <w:r w:rsidRPr="00D95A7D">
        <w:rPr>
          <w:rFonts w:ascii="Myriad Pro" w:hAnsi="Myriad Pro"/>
          <w:vertAlign w:val="subscript"/>
        </w:rPr>
        <w:t>2</w:t>
      </w:r>
      <w:r w:rsidRPr="00D95A7D">
        <w:rPr>
          <w:rFonts w:ascii="Myriad Pro" w:hAnsi="Myriad Pro"/>
        </w:rPr>
        <w:t>O-CaO-FeO-MgO-Al</w:t>
      </w:r>
      <w:r w:rsidRPr="00D95A7D">
        <w:rPr>
          <w:rFonts w:ascii="Myriad Pro" w:hAnsi="Myriad Pro"/>
          <w:vertAlign w:val="subscript"/>
        </w:rPr>
        <w:t>2</w:t>
      </w:r>
      <w:r w:rsidRPr="00D95A7D">
        <w:rPr>
          <w:rFonts w:ascii="Myriad Pro" w:hAnsi="Myriad Pro"/>
        </w:rPr>
        <w:t>O</w:t>
      </w:r>
      <w:r w:rsidRPr="00D95A7D">
        <w:rPr>
          <w:rFonts w:ascii="Myriad Pro" w:hAnsi="Myriad Pro"/>
          <w:vertAlign w:val="subscript"/>
        </w:rPr>
        <w:t>3</w:t>
      </w:r>
      <w:r w:rsidRPr="00D95A7D">
        <w:rPr>
          <w:rFonts w:ascii="Myriad Pro" w:hAnsi="Myriad Pro"/>
        </w:rPr>
        <w:t>-SiO</w:t>
      </w:r>
      <w:r w:rsidRPr="00D95A7D">
        <w:rPr>
          <w:rFonts w:ascii="Myriad Pro" w:hAnsi="Myriad Pro"/>
          <w:vertAlign w:val="subscript"/>
        </w:rPr>
        <w:t>2</w:t>
      </w:r>
      <w:r w:rsidRPr="00D95A7D">
        <w:rPr>
          <w:rFonts w:ascii="Myriad Pro" w:hAnsi="Myriad Pro"/>
        </w:rPr>
        <w:t>-H</w:t>
      </w:r>
      <w:r w:rsidRPr="00D95A7D">
        <w:rPr>
          <w:rFonts w:ascii="Myriad Pro" w:hAnsi="Myriad Pro"/>
          <w:vertAlign w:val="subscript"/>
        </w:rPr>
        <w:t>2</w:t>
      </w:r>
      <w:r w:rsidRPr="00D95A7D">
        <w:rPr>
          <w:rFonts w:ascii="Myriad Pro" w:hAnsi="Myriad Pro"/>
        </w:rPr>
        <w:t>O-TiO</w:t>
      </w:r>
      <w:r w:rsidRPr="00D95A7D">
        <w:rPr>
          <w:rFonts w:ascii="Myriad Pro" w:hAnsi="Myriad Pro"/>
          <w:vertAlign w:val="subscript"/>
        </w:rPr>
        <w:t>2</w:t>
      </w:r>
      <w:r w:rsidRPr="00D95A7D">
        <w:rPr>
          <w:rFonts w:ascii="Myriad Pro" w:hAnsi="Myriad Pro"/>
        </w:rPr>
        <w:t>-O</w:t>
      </w:r>
      <w:r w:rsidRPr="00D95A7D">
        <w:rPr>
          <w:rFonts w:ascii="Myriad Pro" w:hAnsi="Myriad Pro"/>
          <w:vertAlign w:val="subscript"/>
        </w:rPr>
        <w:t>2</w:t>
      </w:r>
      <w:r w:rsidRPr="00D95A7D">
        <w:rPr>
          <w:rFonts w:ascii="Myriad Pro" w:hAnsi="Myriad Pro"/>
        </w:rPr>
        <w:t xml:space="preserve"> (NCFMASHTO) chemical system, assuming all </w:t>
      </w:r>
      <w:proofErr w:type="spellStart"/>
      <w:r w:rsidRPr="00D95A7D">
        <w:rPr>
          <w:rFonts w:ascii="Myriad Pro" w:hAnsi="Myriad Pro"/>
        </w:rPr>
        <w:t>MnO</w:t>
      </w:r>
      <w:proofErr w:type="spellEnd"/>
      <w:r w:rsidRPr="00D95A7D">
        <w:rPr>
          <w:rFonts w:ascii="Myriad Pro" w:hAnsi="Myriad Pro"/>
        </w:rPr>
        <w:t xml:space="preserve"> was sequestered to form garnet. </w:t>
      </w:r>
      <w:r w:rsidR="005369E8" w:rsidRPr="005369E8">
        <w:rPr>
          <w:rFonts w:ascii="Myriad Pro" w:hAnsi="Myriad Pro"/>
        </w:rPr>
        <w:t>The Fe</w:t>
      </w:r>
      <w:r w:rsidR="005369E8" w:rsidRPr="00105115">
        <w:rPr>
          <w:rFonts w:ascii="Myriad Pro" w:hAnsi="Myriad Pro"/>
          <w:vertAlign w:val="subscript"/>
        </w:rPr>
        <w:t>2</w:t>
      </w:r>
      <w:r w:rsidR="005369E8" w:rsidRPr="005369E8">
        <w:rPr>
          <w:rFonts w:ascii="Myriad Pro" w:hAnsi="Myriad Pro"/>
        </w:rPr>
        <w:t>O</w:t>
      </w:r>
      <w:r w:rsidR="005369E8" w:rsidRPr="00105115">
        <w:rPr>
          <w:rFonts w:ascii="Myriad Pro" w:hAnsi="Myriad Pro"/>
          <w:vertAlign w:val="subscript"/>
        </w:rPr>
        <w:t>3</w:t>
      </w:r>
      <w:r w:rsidR="005369E8" w:rsidRPr="005369E8">
        <w:rPr>
          <w:rFonts w:ascii="Myriad Pro" w:hAnsi="Myriad Pro"/>
        </w:rPr>
        <w:t xml:space="preserve"> contents for the whole rock compositions were take</w:t>
      </w:r>
      <w:r w:rsidR="005369E8">
        <w:rPr>
          <w:rFonts w:ascii="Myriad Pro" w:hAnsi="Myriad Pro"/>
        </w:rPr>
        <w:t>n from the Fe titration results</w:t>
      </w:r>
      <w:r w:rsidR="00B33379">
        <w:rPr>
          <w:rFonts w:ascii="Myriad Pro" w:hAnsi="Myriad Pro"/>
        </w:rPr>
        <w:t xml:space="preserve">, </w:t>
      </w:r>
      <w:r w:rsidR="00B33379" w:rsidRPr="00B33379">
        <w:rPr>
          <w:rFonts w:ascii="Myriad Pro" w:hAnsi="Myriad Pro"/>
        </w:rPr>
        <w:t>and are taken to be maximum values for Fe</w:t>
      </w:r>
      <w:r w:rsidR="00B33379" w:rsidRPr="00105115">
        <w:rPr>
          <w:rFonts w:ascii="Myriad Pro" w:hAnsi="Myriad Pro"/>
          <w:vertAlign w:val="superscript"/>
        </w:rPr>
        <w:t>3+</w:t>
      </w:r>
      <w:r w:rsidR="00B33379" w:rsidRPr="00B33379">
        <w:rPr>
          <w:rFonts w:ascii="Myriad Pro" w:hAnsi="Myriad Pro"/>
        </w:rPr>
        <w:t>/</w:t>
      </w:r>
      <w:proofErr w:type="spellStart"/>
      <w:r w:rsidR="00B33379" w:rsidRPr="00B33379">
        <w:rPr>
          <w:rFonts w:ascii="Myriad Pro" w:hAnsi="Myriad Pro"/>
        </w:rPr>
        <w:t>Fe</w:t>
      </w:r>
      <w:r w:rsidR="00B33379" w:rsidRPr="00105115">
        <w:rPr>
          <w:rFonts w:ascii="Myriad Pro" w:hAnsi="Myriad Pro"/>
          <w:vertAlign w:val="subscript"/>
        </w:rPr>
        <w:t>total</w:t>
      </w:r>
      <w:proofErr w:type="spellEnd"/>
      <w:r w:rsidR="00B33379" w:rsidRPr="00B33379">
        <w:rPr>
          <w:rFonts w:ascii="Myriad Pro" w:hAnsi="Myriad Pro"/>
        </w:rPr>
        <w:t>.</w:t>
      </w:r>
      <w:r w:rsidR="00B33379">
        <w:rPr>
          <w:rFonts w:ascii="Myriad Pro" w:hAnsi="Myriad Pro"/>
        </w:rPr>
        <w:t xml:space="preserve"> The</w:t>
      </w:r>
      <w:r w:rsidR="00B33379" w:rsidRPr="00B33379">
        <w:rPr>
          <w:rFonts w:ascii="Myriad Pro" w:hAnsi="Myriad Pro"/>
        </w:rPr>
        <w:t xml:space="preserve"> Fe</w:t>
      </w:r>
      <w:r w:rsidR="00B33379" w:rsidRPr="00105115">
        <w:rPr>
          <w:rFonts w:ascii="Myriad Pro" w:hAnsi="Myriad Pro"/>
          <w:vertAlign w:val="subscript"/>
        </w:rPr>
        <w:t>2</w:t>
      </w:r>
      <w:r w:rsidR="00B33379" w:rsidRPr="00B33379">
        <w:rPr>
          <w:rFonts w:ascii="Myriad Pro" w:hAnsi="Myriad Pro"/>
        </w:rPr>
        <w:t>O</w:t>
      </w:r>
      <w:r w:rsidR="00B33379" w:rsidRPr="00105115">
        <w:rPr>
          <w:rFonts w:ascii="Myriad Pro" w:hAnsi="Myriad Pro"/>
          <w:vertAlign w:val="subscript"/>
        </w:rPr>
        <w:t>3</w:t>
      </w:r>
      <w:r w:rsidR="00B33379" w:rsidRPr="00B33379">
        <w:rPr>
          <w:rFonts w:ascii="Myriad Pro" w:hAnsi="Myriad Pro"/>
        </w:rPr>
        <w:t xml:space="preserve"> contents used for the </w:t>
      </w:r>
      <w:r w:rsidR="00B33379" w:rsidRPr="00105115">
        <w:rPr>
          <w:rFonts w:ascii="Myriad Pro" w:hAnsi="Myriad Pro"/>
          <w:i/>
        </w:rPr>
        <w:t>P-T</w:t>
      </w:r>
      <w:r w:rsidR="00B33379" w:rsidRPr="00B33379">
        <w:rPr>
          <w:rFonts w:ascii="Myriad Pro" w:hAnsi="Myriad Pro"/>
        </w:rPr>
        <w:t xml:space="preserve"> pseudosection calculations were further constrained by estimation using T-M</w:t>
      </w:r>
      <w:r w:rsidR="00B33379" w:rsidRPr="00105115">
        <w:rPr>
          <w:rFonts w:ascii="Myriad Pro" w:hAnsi="Myriad Pro"/>
          <w:vertAlign w:val="subscript"/>
        </w:rPr>
        <w:t>Fe2O3</w:t>
      </w:r>
      <w:r w:rsidR="00B33379" w:rsidRPr="00B33379">
        <w:rPr>
          <w:rFonts w:ascii="Myriad Pro" w:hAnsi="Myriad Pro"/>
        </w:rPr>
        <w:t xml:space="preserve"> </w:t>
      </w:r>
      <w:proofErr w:type="spellStart"/>
      <w:r w:rsidR="00B33379" w:rsidRPr="00B33379">
        <w:rPr>
          <w:rFonts w:ascii="Myriad Pro" w:hAnsi="Myriad Pro"/>
        </w:rPr>
        <w:t>pseudosections</w:t>
      </w:r>
      <w:proofErr w:type="spellEnd"/>
      <w:r w:rsidR="00B33379" w:rsidRPr="00B33379">
        <w:rPr>
          <w:rFonts w:ascii="Myriad Pro" w:hAnsi="Myriad Pro"/>
        </w:rPr>
        <w:t xml:space="preserve">. </w:t>
      </w:r>
      <w:r w:rsidRPr="00D95A7D">
        <w:rPr>
          <w:rFonts w:ascii="Myriad Pro" w:hAnsi="Myriad Pro"/>
        </w:rPr>
        <w:t xml:space="preserve">Finally, representative compositions from Zones I (sample B13) and III (samples B01 and B03) were modelled, using the same parameters above (where appropriate) and coupled with petrographic observations and SEM </w:t>
      </w:r>
      <w:r w:rsidRPr="00D95A7D">
        <w:rPr>
          <w:rFonts w:ascii="Myriad Pro" w:hAnsi="Myriad Pro"/>
        </w:rPr>
        <w:lastRenderedPageBreak/>
        <w:t xml:space="preserve">mineral maps (where applicable), to determine the portion of the inferred </w:t>
      </w:r>
      <w:r w:rsidRPr="00D95A7D">
        <w:rPr>
          <w:rFonts w:ascii="Myriad Pro" w:hAnsi="Myriad Pro"/>
          <w:i/>
          <w:iCs/>
        </w:rPr>
        <w:t>P-T</w:t>
      </w:r>
      <w:r w:rsidRPr="00D95A7D">
        <w:rPr>
          <w:rFonts w:ascii="Myriad Pro" w:hAnsi="Myriad Pro"/>
        </w:rPr>
        <w:t xml:space="preserve"> path (i.e. peak to post-peak) at which these lithologies last equilibrated. </w:t>
      </w:r>
    </w:p>
    <w:p w:rsidR="00B66DFD" w:rsidRPr="00D95A7D" w:rsidRDefault="00B66DFD">
      <w:pPr>
        <w:pStyle w:val="NoSpacing"/>
        <w:ind w:firstLine="720"/>
        <w:jc w:val="both"/>
        <w:rPr>
          <w:rFonts w:ascii="Myriad Pro" w:hAnsi="Myriad Pro"/>
        </w:rPr>
      </w:pPr>
      <w:r w:rsidRPr="00D95A7D">
        <w:rPr>
          <w:rFonts w:ascii="Myriad Pro" w:hAnsi="Myriad Pro"/>
        </w:rPr>
        <w:t xml:space="preserve">In addition, thermodynamic reaction-path models were set up to assess the alteration history and concomitant mineralogical changes during a fluid-mediated reaction between hydrated ultramafic (serpentinites) and metamorphosed crustal rocks at subduction zone conditions. Along with </w:t>
      </w:r>
      <w:r w:rsidRPr="00D95A7D">
        <w:rPr>
          <w:rFonts w:ascii="Myriad Pro" w:hAnsi="Myriad Pro"/>
          <w:i/>
        </w:rPr>
        <w:t>P-T</w:t>
      </w:r>
      <w:r w:rsidRPr="00D95A7D">
        <w:rPr>
          <w:rFonts w:ascii="Myriad Pro" w:hAnsi="Myriad Pro"/>
        </w:rPr>
        <w:t xml:space="preserve"> constraints from equilibrium pseudosection and garnet isopleth models, results of reaction-path models were compared with mineral assemblages from petrographic observations. Models were calculated using the EQ3/6 software package </w:t>
      </w:r>
      <w:r w:rsidRPr="00E73F02">
        <w:rPr>
          <w:rFonts w:ascii="Myriad Pro" w:hAnsi="Myriad Pro"/>
        </w:rPr>
        <w:fldChar w:fldCharType="begin"/>
      </w:r>
      <w:r w:rsidR="00D10EBB" w:rsidRPr="00D95A7D">
        <w:rPr>
          <w:rFonts w:ascii="Myriad Pro" w:hAnsi="Myriad Pro"/>
        </w:rPr>
        <w:instrText xml:space="preserve"> ADDIN ZOTERO_ITEM CSL_CITATION {"citationID":"WdLcsWoj","properties":{"formattedCitation":"(Wolery, 1992)","plainCitation":"(Wolery, 1992)","noteIndex":0},"citationItems":[{"id":400,"uris":["http://zotero.org/users/3840662/items/6EBJX4RP"],"uri":["http://zotero.org/users/3840662/items/6EBJX4RP"],"itemData":{"id":400,"type":"report","abstract":"EQ3/6 is a software package for geochemical modeling of aqueous systems. This report describes version 7.0. The major components of the package include: EQ3NR, a speciation-solubility code; EQ6, a reaction path code which models water/rock interaction or fluid mixing in either a pure reaction progress mode or a time mode; EQPT, a data file preprocessor, EQLIB, a supporting software library; and five supporting thermodynamic data files. The software deals with the concepts of thermodynamic equilibrium, thermodynamic disequilibrium, and reaction kinetics. The five supporting data files contain both standard state and activity coefficient-related data. Three support the use of the Davies or B-dot equations for the activity coefficients; the other two support the use of Pitzer`s equations. The temperature range of the thermodynamic data on the data files varies from 25{degree}C only to 0--300{degree}C. EQPT takes a formatted data file (a data0 file) and writes an unformatted near-equivalent called a datal file, which is actually the form read by EQ3NR and EQ6. EQ3NR is useful for analyzing groundwater chemistry data, calculating solubility limits, and determining whether certain reactions are in states of partial equilibrium or disequilibrium. It is also required to initialize an EQ6 calculation. EQ6 models the consequences of reacting an aqueous solution with a set of reactants which react irreversibly. It can also model fluid mixing and the consequences of changes in temperature. This code operates both in a pure reaction progress frame and in a time frame.","event-place":"United States","language":"English","note":"DOI: 10.2172/138894","publisher-place":"United States","title":"EQ3/6, a software package for geochemical modeling of aqueous systems: Package overview and installation guide (Version 7.0)","URL":"https://www.osti.gov/servlets/purl/138894","author":[{"family":"Wolery","given":"T.J."}],"issued":{"date-parts":[["1992",9,14]]}}}],"schema":"https://github.com/citation-style-language/schema/raw/master/csl-citation.json"} </w:instrText>
      </w:r>
      <w:r w:rsidRPr="00E73F02">
        <w:rPr>
          <w:rFonts w:ascii="Myriad Pro" w:hAnsi="Myriad Pro"/>
        </w:rPr>
        <w:fldChar w:fldCharType="separate"/>
      </w:r>
      <w:r w:rsidRPr="00D95A7D">
        <w:rPr>
          <w:rFonts w:ascii="Myriad Pro" w:hAnsi="Myriad Pro"/>
        </w:rPr>
        <w:t>(Wolery, 1992)</w:t>
      </w:r>
      <w:r w:rsidRPr="00E73F02">
        <w:rPr>
          <w:rFonts w:ascii="Myriad Pro" w:hAnsi="Myriad Pro"/>
        </w:rPr>
        <w:fldChar w:fldCharType="end"/>
      </w:r>
      <w:r w:rsidRPr="00D95A7D">
        <w:rPr>
          <w:rFonts w:ascii="Myriad Pro" w:hAnsi="Myriad Pro"/>
        </w:rPr>
        <w:t xml:space="preserve"> with the Deep Earth Water Model (DEW) database containing equilibrium constants of reactions involving minerals and aqueous species </w:t>
      </w:r>
      <w:r w:rsidRPr="00E73F02">
        <w:rPr>
          <w:rFonts w:ascii="Myriad Pro" w:hAnsi="Myriad Pro"/>
        </w:rPr>
        <w:fldChar w:fldCharType="begin"/>
      </w:r>
      <w:r w:rsidR="00D10EBB" w:rsidRPr="00D95A7D">
        <w:rPr>
          <w:rFonts w:ascii="Myriad Pro" w:hAnsi="Myriad Pro"/>
        </w:rPr>
        <w:instrText xml:space="preserve"> ADDIN ZOTERO_ITEM CSL_CITATION {"citationID":"hD75LyWf","properties":{"formattedCitation":"(Huang and Sverjensky, 2019; Sverjensky, 2019)","plainCitation":"(Huang and Sverjensky, 2019; Sverjensky, 2019)","noteIndex":0},"citationItems":[{"id":392,"uris":["http://zotero.org/users/3840662/items/GBTQREH4"],"uri":["http://zotero.org/users/3840662/items/GBTQREH4"],"itemData":{"id":392,"type":"article-journal","abstract":"Fluids in the deep crust and upper mantle appear to have played roles in the long-term evolution of the subcratonic lithospheric mantle and the stabilities of the continents, in the geochemical cycles of the elements from subduction zones to Earth’s surface environment, and in the formation of diamonds. Much evidence of the chemistry of deep fluids has accumulated from studies of fluid inclusions in diamonds and xenoliths. But the origins of the fluids and their behavior are still unclear. In part, this is due to the lack of a comprehensive theoretical model of aqueous, high-pressure fluids. Traditional models have used a C-O-H-type of model, which contains no major rock-forming elements or aqueous ions or metal-complexes. In the present study, we use experimentally measured solubility data for multicomponent K-free eclogite, K-free peridotite and K-bearing peridotite rocks at upper mantle conditions from the literature to construct aqueous speciation solubility models that enabled calibration of the thermodynamic properties of ions and metal-complex species involving the elements Na, K, Mg, Ca, Fe, Al, Si, and C in an extended Deep Earth Water (DEW) model. New equilibrium constants were retrieved for the aqueous bisilicate anion, a silica trimer, silicate complexes of Ca, Fe, and Al, a silicate complex of Mg and bicarbonate, and formate complexes of Fe and Ca. The aqueous speciation and solubility model also took account of decreases in the activity of water and aqueous activity coefficients of neutral dissolved gases and included consideration of H2CO30. Based on the temperature and pressure dependences of the equilibrium constants, and supporting data covering a wide range of conditions, we then developed aqueous equation of state characterizations of the ions and metal-complex species. Overall, the results form a basis for modeling fluid-rock interactions under upper mantle conditions consistent with experimental solubility measurements.","container-title":"Geochimica et Cosmochimica Acta","DOI":"https://doi.org/10.1016/j.gca.2019.03.027","ISSN":"0016-7037","page":"192 - 230","title":"Extended Deep Earth Water Model for predicting major element mantle metasomatism","volume":"254","author":[{"family":"Huang","given":"Fang"},{"family":"Sverjensky","given":"Dimitri A."}],"issued":{"date-parts":[["2019"]]}}},{"id":393,"uris":["http://zotero.org/users/3840662/items/87EV96SR"],"uri":["http://zotero.org/users/3840662/items/87EV96SR"],"itemData":{"id":393,"type":"article-journal","abstract":"Carbon is subducted to depths where metamorphism liberates water-bearing fluids. The C-bearing fluids facilitate partial melting of the upper mantle, generating magmas that may erupt as arc volcanics. Degassing of the magmas releases CO2 and other volatile species to the atmosphere. Over geological time, this process contributes to the composition of the atmosphere and planetary habitability. Here I summarize the background needed to carry out theoretical geochemical modelling of fluids and fluid–rock interactions from surficial conditions into the upper mantle. A description of the general criteria for predicting equilibrium and non-equilibrium chemical reactions is followed by a summary of how the thermodynamic activities of species are related to measurable concentrations through standard states and activity coefficients. Specific examples at ambient conditions involving dilute water are detailed. The concept of aqueous speciation and how it can be calculated arises from this discussion. Next, I discuss how to calculate standard Gibbs free energies and aqueous activity coefficients at elevated temperatures and pressures. The revised Helgeson–Kirkham–Flowers equations of state are summarized and the revised predictive correlations for the estimation of equation of state coefficients in the Deep Earth Water (DEW) model are presented. Finally, the DEW model is applied to the solubility and speciation of aqueous aluminium.","container-title":"Journal of the Geological Society","DOI":"10.1144/jgs2018-105","issue":"2","journalAbbreviation":"Journal of the Geological Society","page":"348","title":"Thermodynamic modelling of fluids from surficial to mantle conditions","volume":"176","author":[{"family":"Sverjensky","given":"Dimitri A."}],"issued":{"date-parts":[["2019",3,1]]}}}],"schema":"https://github.com/citation-style-language/schema/raw/master/csl-citation.json"} </w:instrText>
      </w:r>
      <w:r w:rsidRPr="00E73F02">
        <w:rPr>
          <w:rFonts w:ascii="Myriad Pro" w:hAnsi="Myriad Pro"/>
        </w:rPr>
        <w:fldChar w:fldCharType="separate"/>
      </w:r>
      <w:r w:rsidRPr="00D95A7D">
        <w:rPr>
          <w:rFonts w:ascii="Myriad Pro" w:hAnsi="Myriad Pro"/>
        </w:rPr>
        <w:t>(Huang and Sverjensky, 2019; Sverjensky, 2019)</w:t>
      </w:r>
      <w:r w:rsidRPr="00E73F02">
        <w:rPr>
          <w:rFonts w:ascii="Myriad Pro" w:hAnsi="Myriad Pro"/>
        </w:rPr>
        <w:fldChar w:fldCharType="end"/>
      </w:r>
      <w:r w:rsidRPr="00D95A7D">
        <w:rPr>
          <w:rFonts w:ascii="Myriad Pro" w:hAnsi="Myriad Pro"/>
        </w:rPr>
        <w:t xml:space="preserve">. We used equation of state for water of Zhang and </w:t>
      </w:r>
      <w:proofErr w:type="spellStart"/>
      <w:r w:rsidRPr="00D95A7D">
        <w:rPr>
          <w:rFonts w:ascii="Myriad Pro" w:hAnsi="Myriad Pro"/>
        </w:rPr>
        <w:t>Duan</w:t>
      </w:r>
      <w:proofErr w:type="spellEnd"/>
      <w:r w:rsidRPr="00D95A7D">
        <w:rPr>
          <w:rFonts w:ascii="Myriad Pro" w:hAnsi="Myriad Pro"/>
        </w:rPr>
        <w:t xml:space="preserve"> </w:t>
      </w:r>
      <w:r w:rsidRPr="00E73F02">
        <w:rPr>
          <w:rFonts w:ascii="Myriad Pro" w:hAnsi="Myriad Pro"/>
        </w:rPr>
        <w:fldChar w:fldCharType="begin"/>
      </w:r>
      <w:r w:rsidR="00D10EBB" w:rsidRPr="00D95A7D">
        <w:rPr>
          <w:rFonts w:ascii="Myriad Pro" w:hAnsi="Myriad Pro"/>
        </w:rPr>
        <w:instrText xml:space="preserve"> ADDIN ZOTERO_ITEM CSL_CITATION {"citationID":"nAZsJeFi","properties":{"formattedCitation":"(Zhang and Duan, 2005)","plainCitation":"(Zhang and Duan, 2005)","dontUpdate":true,"noteIndex":0},"citationItems":[{"id":582,"uris":["http://zotero.org/users/3840662/items/48IEHMJY"],"uri":["http://zotero.org/users/3840662/items/48IEHMJY"],"itemData":{"id":582,"type":"article-journal","abstract":"In this study, we systematically performed a series of isothermal–isobaric molecular dynamics simulations over a wide range of temperatures and pressures to evaluate the pressure–volume–temperature (PVT) properties of water with four popular molecular potential, SPCE, TIP4P, TIP5P and EP. From the overview of the simulated data and their comparisons with experimental data, we find that SPCE shows overall better predictions than the other three models, slightly better than TIP4P, but far more accurate than EP and TIP5P. Compared with the most recent published high-pressure experimental data up to 5.0GPa, the simulation results with SPCE show remarkable agreement with errors less than 1.0%. Considering this potential was proposed based on very few experimental data under room temperatures and pressures, the high accuracy of the simulation results indicate a great predictive power of molecular level study and verify our attempt of using molecular dynamics simulations to generate data as an important supplement to the database of experimental properties of geological fluids. Based on our simulated data of SPCE and experimental data, a new equation of state (EOS) was proposed with better accuracy for the volumetric properties of liquid than previous models from 100.0MPa and 273.15K up to substantial ionization limit, which is about 20–30GPa and 2000K according to previous studies.","container-title":"Physics of the Earth and Planetary Interiors","DOI":"10.1016/j.pepi.2004.11.003","ISSN":"0031-9201","issue":"3","journalAbbreviation":"Physics of the Earth and Planetary Interiors","page":"335-354","title":"Prediction of the PVT properties of water over wide range of temperatures and pressures from molecular dynamics simulation","volume":"149","author":[{"family":"Zhang","given":"Zhigang"},{"family":"Duan","given":"Zhenhao"}],"issued":{"date-parts":[["2005",4,15]]}}}],"schema":"https://github.com/citation-style-language/schema/raw/master/csl-citation.json"} </w:instrText>
      </w:r>
      <w:r w:rsidRPr="00E73F02">
        <w:rPr>
          <w:rFonts w:ascii="Myriad Pro" w:hAnsi="Myriad Pro"/>
        </w:rPr>
        <w:fldChar w:fldCharType="separate"/>
      </w:r>
      <w:r w:rsidRPr="00D95A7D">
        <w:rPr>
          <w:rFonts w:ascii="Myriad Pro" w:hAnsi="Myriad Pro"/>
        </w:rPr>
        <w:t>(2005)</w:t>
      </w:r>
      <w:r w:rsidRPr="00E73F02">
        <w:rPr>
          <w:rFonts w:ascii="Myriad Pro" w:hAnsi="Myriad Pro"/>
        </w:rPr>
        <w:fldChar w:fldCharType="end"/>
      </w:r>
      <w:r w:rsidRPr="00D95A7D">
        <w:rPr>
          <w:rFonts w:ascii="Myriad Pro" w:hAnsi="Myriad Pro"/>
        </w:rPr>
        <w:t xml:space="preserve">, and the dielectric constant from </w:t>
      </w:r>
      <w:proofErr w:type="spellStart"/>
      <w:r w:rsidRPr="00D95A7D">
        <w:rPr>
          <w:rFonts w:ascii="Myriad Pro" w:hAnsi="Myriad Pro"/>
        </w:rPr>
        <w:t>Sverjensky</w:t>
      </w:r>
      <w:proofErr w:type="spellEnd"/>
      <w:r w:rsidRPr="00D95A7D">
        <w:rPr>
          <w:rFonts w:ascii="Myriad Pro" w:hAnsi="Myriad Pro"/>
        </w:rPr>
        <w:t xml:space="preserve"> et al. </w:t>
      </w:r>
      <w:r w:rsidRPr="00E73F02">
        <w:rPr>
          <w:rFonts w:ascii="Myriad Pro" w:hAnsi="Myriad Pro"/>
        </w:rPr>
        <w:fldChar w:fldCharType="begin"/>
      </w:r>
      <w:r w:rsidR="00D10EBB" w:rsidRPr="00D95A7D">
        <w:rPr>
          <w:rFonts w:ascii="Myriad Pro" w:hAnsi="Myriad Pro"/>
        </w:rPr>
        <w:instrText xml:space="preserve"> ADDIN ZOTERO_ITEM CSL_CITATION {"citationID":"OshD8H5G","properties":{"formattedCitation":"(Sverjensky et al., 2014)","plainCitation":"(Sverjensky et al., 2014)","dontUpdate":true,"noteIndex":0},"citationItems":[{"id":394,"uris":["http://zotero.org/users/3840662/items/B44GFA59"],"uri":["http://zotero.org/users/3840662/items/B44GFA59"],"itemData":{"id":394,"type":"article-journal","abstract":"Comprehensive quantitative theoretical evaluation of water–rock interactions in the Earth has long been restricted to a pressure of 5.0kb – too low to address processes involving deep aqueous fluids. Yet such fluids are thought to play an important role in the long-term geologic cycling of many chemical elements. A reason for this restriction is the lack of information on the dielectric constant of water (εH2O) needed for the revised Helgeson–Kirkham–Flowers (HKF) equations of state for aqueous species. Equation of state coefficients are available for hundreds of aqueous species in SUPCRT92, but calculations using these species can only be made to 5.0kb (Shock et al., 1992). In the present study, the applicability of the revised HKF equations of state for aqueous species was extended to 60kb by developing estimates of (εH2O). We used a statistical mechanically-based equation for the dielectric constant of a hard-sphere fluid applicable to water (Franck et al., 1990). The equation was calibrated with experimental data, and data from a comprehensive analysis of the literature (Fernández et al., 1997), and then used to calculate (εH2O) to a density of 1.1gcm−3. The values of ln(εH2O) were found to be linear with ln(ρH2O) which enabled empirical extrapolation of (εH2O) to 60kb. Values of ρH2O were computed with a recent comprehensive evaluation consistent with experimental data and a molecular dynamics model for water (Zhang and Duan, 2005). The resulting dielectric constants were tested at 727°C and 58kb by comparison with the results of ab initio molecular dynamics calculations (Pan et al., 2013). Additional testing was carried out by computing standard Gibbs free energies of aqueous species using the new values of (εH2O) and ρH2O in the revised HKF equations to predict equilibrium constants which in turn enabled calculation of the solubilities of quartz and corundum for comparison with experimental measurements to 20kb and 1100°C. Our results strongly suggest that geochemically useful predictions can now be made that will facilitate analysis of water–rock interactions in the Earth at depths much greater than previously possible.","container-title":"Geochimica et Cosmochimica Acta","DOI":"https://doi.org/10.1016/j.gca.2013.12.019","ISSN":"0016-7037","page":"125 - 145","title":"Water in the deep Earth: The dielectric constant and the solubilities of quartz and corundum to 60kb and 1200°C","volume":"129","author":[{"family":"Sverjensky","given":"Dimitri A."},{"family":"Harrison","given":"Brandon"},{"family":"Azzolini","given":"David"}],"issued":{"date-parts":[["2014"]]}}}],"schema":"https://github.com/citation-style-language/schema/raw/master/csl-citation.json"} </w:instrText>
      </w:r>
      <w:r w:rsidRPr="00E73F02">
        <w:rPr>
          <w:rFonts w:ascii="Myriad Pro" w:hAnsi="Myriad Pro"/>
        </w:rPr>
        <w:fldChar w:fldCharType="separate"/>
      </w:r>
      <w:r w:rsidRPr="00D95A7D">
        <w:rPr>
          <w:rFonts w:ascii="Myriad Pro" w:hAnsi="Myriad Pro"/>
        </w:rPr>
        <w:t>(2014)</w:t>
      </w:r>
      <w:r w:rsidRPr="00E73F02">
        <w:rPr>
          <w:rFonts w:ascii="Myriad Pro" w:hAnsi="Myriad Pro"/>
        </w:rPr>
        <w:fldChar w:fldCharType="end"/>
      </w:r>
      <w:r w:rsidRPr="00D95A7D">
        <w:rPr>
          <w:rFonts w:ascii="Myriad Pro" w:hAnsi="Myriad Pro"/>
        </w:rPr>
        <w:t xml:space="preserve">.Thermodynamic calculations were performed over a range of </w:t>
      </w:r>
      <w:r w:rsidRPr="00D95A7D">
        <w:rPr>
          <w:rFonts w:ascii="Myriad Pro" w:hAnsi="Myriad Pro"/>
          <w:i/>
        </w:rPr>
        <w:t>P-T</w:t>
      </w:r>
      <w:r w:rsidRPr="00D95A7D">
        <w:rPr>
          <w:rFonts w:ascii="Myriad Pro" w:hAnsi="Myriad Pro"/>
        </w:rPr>
        <w:t xml:space="preserve"> conditions (i.e. bracketing the prograde-peak-retrograde </w:t>
      </w:r>
      <w:r w:rsidRPr="00D95A7D">
        <w:rPr>
          <w:rFonts w:ascii="Myriad Pro" w:hAnsi="Myriad Pro"/>
          <w:i/>
        </w:rPr>
        <w:t>P-T</w:t>
      </w:r>
      <w:r w:rsidRPr="00D95A7D">
        <w:rPr>
          <w:rFonts w:ascii="Myriad Pro" w:hAnsi="Myriad Pro"/>
        </w:rPr>
        <w:t xml:space="preserve"> conditions) and a range of fluid-to-rock (f/r) ratios. Activity coefficients were calculated using the B-dot equation </w:t>
      </w:r>
      <w:r w:rsidRPr="00E73F02">
        <w:rPr>
          <w:rFonts w:ascii="Myriad Pro" w:hAnsi="Myriad Pro"/>
        </w:rPr>
        <w:fldChar w:fldCharType="begin"/>
      </w:r>
      <w:r w:rsidR="00D10EBB" w:rsidRPr="00D95A7D">
        <w:rPr>
          <w:rFonts w:ascii="Myriad Pro" w:hAnsi="Myriad Pro"/>
        </w:rPr>
        <w:instrText xml:space="preserve"> ADDIN ZOTERO_ITEM CSL_CITATION {"citationID":"CGxjfNCs","properties":{"formattedCitation":"(Helgeson, 1969)","plainCitation":"(Helgeson, 1969)","noteIndex":0},"citationItems":[{"id":540,"uris":["http://zotero.org/users/3840662/items/86QHXV33"],"uri":["http://zotero.org/users/3840662/items/86QHXV33"],"itemData":{"id":540,"type":"article-journal","abstract":"Sufficient thermodynamic data are available to permit calculation of equilibrium constants for a large number of hydrothermal reactions. Where the data are incomplete, the calculations involve entropy estimates, application of average heat capacities, and/or assumptions concerning the temperature dependence of thermodynamic variables and the relative importance of electrostatic and non-electrostatic interaction among the species. Temperature stoichiometric activity coefficients for individual ions can be calculated using deviation functions computed from osmotic coefficients for concentrated NaCl solutions. The results of such calculations, together with computed heat capacities, enthalpies, entropies, and equilibrium constants for many hydrothermal species and reactions are presented in tables and diagrams.","container-title":"American Journal of Science","DOI":"10.2475/ajs.267.7.729","issue":"7","journalAbbreviation":"Am J Sci","page":"729","title":"Thermodynamics of hydrothermal systems at elevated temperatures and pressures","volume":"267","author":[{"family":"Helgeson","given":"Harold C."}],"issued":{"date-parts":[["1969",9,1]]}}}],"schema":"https://github.com/citation-style-language/schema/raw/master/csl-citation.json"} </w:instrText>
      </w:r>
      <w:r w:rsidRPr="00E73F02">
        <w:rPr>
          <w:rFonts w:ascii="Myriad Pro" w:hAnsi="Myriad Pro"/>
        </w:rPr>
        <w:fldChar w:fldCharType="separate"/>
      </w:r>
      <w:r w:rsidRPr="00D95A7D">
        <w:rPr>
          <w:rFonts w:ascii="Myriad Pro" w:hAnsi="Myriad Pro"/>
        </w:rPr>
        <w:t>(Helgeson, 1969)</w:t>
      </w:r>
      <w:r w:rsidRPr="00E73F02">
        <w:rPr>
          <w:rFonts w:ascii="Myriad Pro" w:hAnsi="Myriad Pro"/>
        </w:rPr>
        <w:fldChar w:fldCharType="end"/>
      </w:r>
      <w:r w:rsidRPr="00D95A7D">
        <w:rPr>
          <w:rFonts w:ascii="Myriad Pro" w:hAnsi="Myriad Pro"/>
        </w:rPr>
        <w:t>. Minerals with solid-solutions such as olivine (</w:t>
      </w:r>
      <w:proofErr w:type="spellStart"/>
      <w:r w:rsidRPr="00D95A7D">
        <w:rPr>
          <w:rFonts w:ascii="Myriad Pro" w:hAnsi="Myriad Pro"/>
        </w:rPr>
        <w:t>forsterite-fayalite</w:t>
      </w:r>
      <w:proofErr w:type="spellEnd"/>
      <w:r w:rsidRPr="00D95A7D">
        <w:rPr>
          <w:rFonts w:ascii="Myriad Pro" w:hAnsi="Myriad Pro"/>
        </w:rPr>
        <w:t>), garnet (</w:t>
      </w:r>
      <w:proofErr w:type="spellStart"/>
      <w:r w:rsidRPr="00D95A7D">
        <w:rPr>
          <w:rFonts w:ascii="Myriad Pro" w:hAnsi="Myriad Pro"/>
        </w:rPr>
        <w:t>pyrope</w:t>
      </w:r>
      <w:proofErr w:type="spellEnd"/>
      <w:r w:rsidRPr="00D95A7D">
        <w:rPr>
          <w:rFonts w:ascii="Myriad Pro" w:hAnsi="Myriad Pro"/>
        </w:rPr>
        <w:t>-almandine-</w:t>
      </w:r>
      <w:proofErr w:type="spellStart"/>
      <w:r w:rsidRPr="00D95A7D">
        <w:rPr>
          <w:rFonts w:ascii="Myriad Pro" w:hAnsi="Myriad Pro"/>
        </w:rPr>
        <w:t>grossular</w:t>
      </w:r>
      <w:proofErr w:type="spellEnd"/>
      <w:r w:rsidRPr="00D95A7D">
        <w:rPr>
          <w:rFonts w:ascii="Myriad Pro" w:hAnsi="Myriad Pro"/>
        </w:rPr>
        <w:t>), clinopyroxene (</w:t>
      </w:r>
      <w:proofErr w:type="spellStart"/>
      <w:r w:rsidRPr="00D95A7D">
        <w:rPr>
          <w:rFonts w:ascii="Myriad Pro" w:hAnsi="Myriad Pro"/>
        </w:rPr>
        <w:t>diopside</w:t>
      </w:r>
      <w:proofErr w:type="spellEnd"/>
      <w:r w:rsidRPr="00D95A7D">
        <w:rPr>
          <w:rFonts w:ascii="Myriad Pro" w:hAnsi="Myriad Pro"/>
        </w:rPr>
        <w:t>-</w:t>
      </w:r>
      <w:proofErr w:type="spellStart"/>
      <w:r w:rsidRPr="00D95A7D">
        <w:rPr>
          <w:rFonts w:ascii="Myriad Pro" w:hAnsi="Myriad Pro"/>
        </w:rPr>
        <w:t>hedenbergite</w:t>
      </w:r>
      <w:proofErr w:type="spellEnd"/>
      <w:r w:rsidRPr="00D95A7D">
        <w:rPr>
          <w:rFonts w:ascii="Myriad Pro" w:hAnsi="Myriad Pro"/>
        </w:rPr>
        <w:t>-jadeite), calcic amphibole (tremolite-</w:t>
      </w:r>
      <w:proofErr w:type="spellStart"/>
      <w:r w:rsidRPr="00D95A7D">
        <w:rPr>
          <w:rFonts w:ascii="Myriad Pro" w:hAnsi="Myriad Pro"/>
        </w:rPr>
        <w:t>ferrotremolite</w:t>
      </w:r>
      <w:proofErr w:type="spellEnd"/>
      <w:r w:rsidRPr="00D95A7D">
        <w:rPr>
          <w:rFonts w:ascii="Myriad Pro" w:hAnsi="Myriad Pro"/>
        </w:rPr>
        <w:t>), and chlorite (</w:t>
      </w:r>
      <w:proofErr w:type="spellStart"/>
      <w:r w:rsidRPr="00D95A7D">
        <w:rPr>
          <w:rFonts w:ascii="Myriad Pro" w:hAnsi="Myriad Pro"/>
        </w:rPr>
        <w:t>clinochlore-chamosite</w:t>
      </w:r>
      <w:proofErr w:type="spellEnd"/>
      <w:r w:rsidRPr="00D95A7D">
        <w:rPr>
          <w:rFonts w:ascii="Myriad Pro" w:hAnsi="Myriad Pro"/>
        </w:rPr>
        <w:t>) are included in the database. Solid solutions for some minerals present in the studied samples (</w:t>
      </w:r>
      <w:r w:rsidRPr="00D95A7D">
        <w:rPr>
          <w:rFonts w:ascii="Myriad Pro" w:hAnsi="Myriad Pro"/>
          <w:i/>
        </w:rPr>
        <w:t>e.g.,</w:t>
      </w:r>
      <w:r w:rsidRPr="00D95A7D">
        <w:rPr>
          <w:rFonts w:ascii="Myriad Pro" w:hAnsi="Myriad Pro"/>
        </w:rPr>
        <w:t xml:space="preserve"> serpentine, Na-Ca amphibole) have not been implemented in the database yet. Similarly, ilmenite, rutile, and titanite are present in the studied samples but are not implemented in the current thermodynamic database. We suppressed </w:t>
      </w:r>
      <w:proofErr w:type="spellStart"/>
      <w:r w:rsidRPr="00D95A7D">
        <w:rPr>
          <w:rFonts w:ascii="Myriad Pro" w:hAnsi="Myriad Pro"/>
        </w:rPr>
        <w:t>periclase</w:t>
      </w:r>
      <w:proofErr w:type="spellEnd"/>
      <w:r w:rsidRPr="00D95A7D">
        <w:rPr>
          <w:rFonts w:ascii="Myriad Pro" w:hAnsi="Myriad Pro"/>
        </w:rPr>
        <w:t xml:space="preserve"> to account for metastable mineral equilibria. In a first modelling step, an aqueous fluid was allowed to equilibrate with a serpentinite assemblage (i.e. antigorite + </w:t>
      </w:r>
      <w:proofErr w:type="spellStart"/>
      <w:r w:rsidRPr="00D95A7D">
        <w:rPr>
          <w:rFonts w:ascii="Myriad Pro" w:hAnsi="Myriad Pro"/>
        </w:rPr>
        <w:t>diopside</w:t>
      </w:r>
      <w:proofErr w:type="spellEnd"/>
      <w:r w:rsidRPr="00D95A7D">
        <w:rPr>
          <w:rFonts w:ascii="Myriad Pro" w:hAnsi="Myriad Pro"/>
        </w:rPr>
        <w:t xml:space="preserve"> clinopyroxene (Cpx) + magnetite ± brucite)</w:t>
      </w:r>
      <w:r w:rsidR="00B266FF" w:rsidRPr="00D95A7D">
        <w:rPr>
          <w:rFonts w:ascii="Myriad Pro" w:hAnsi="Myriad Pro"/>
        </w:rPr>
        <w:t xml:space="preserve"> using EQ3</w:t>
      </w:r>
      <w:r w:rsidRPr="00D95A7D">
        <w:rPr>
          <w:rFonts w:ascii="Myriad Pro" w:hAnsi="Myriad Pro"/>
        </w:rPr>
        <w:t xml:space="preserve">. </w:t>
      </w:r>
      <w:r w:rsidR="00A93B67" w:rsidRPr="00D95A7D">
        <w:rPr>
          <w:rFonts w:ascii="Myriad Pro" w:hAnsi="Myriad Pro"/>
        </w:rPr>
        <w:t>This is an iterative process where in every calculation,</w:t>
      </w:r>
      <w:r w:rsidR="00B266FF" w:rsidRPr="00D95A7D">
        <w:rPr>
          <w:rFonts w:ascii="Myriad Pro" w:hAnsi="Myriad Pro"/>
        </w:rPr>
        <w:t xml:space="preserve"> the predicted fluid composition is che</w:t>
      </w:r>
      <w:r w:rsidR="00EE179E" w:rsidRPr="00D95A7D">
        <w:rPr>
          <w:rFonts w:ascii="Myriad Pro" w:hAnsi="Myriad Pro"/>
        </w:rPr>
        <w:t>c</w:t>
      </w:r>
      <w:r w:rsidR="00A93B67" w:rsidRPr="00D95A7D">
        <w:rPr>
          <w:rFonts w:ascii="Myriad Pro" w:hAnsi="Myriad Pro"/>
        </w:rPr>
        <w:t>ked</w:t>
      </w:r>
      <w:r w:rsidR="0041264F" w:rsidRPr="00D95A7D">
        <w:rPr>
          <w:rFonts w:ascii="Myriad Pro" w:hAnsi="Myriad Pro"/>
        </w:rPr>
        <w:t xml:space="preserve"> if it </w:t>
      </w:r>
      <w:r w:rsidR="00EE179E" w:rsidRPr="00D95A7D">
        <w:rPr>
          <w:rFonts w:ascii="Myriad Pro" w:hAnsi="Myriad Pro"/>
        </w:rPr>
        <w:t xml:space="preserve">is </w:t>
      </w:r>
      <w:r w:rsidR="00B266FF" w:rsidRPr="00D95A7D">
        <w:rPr>
          <w:rFonts w:ascii="Myriad Pro" w:hAnsi="Myriad Pro"/>
        </w:rPr>
        <w:t xml:space="preserve">saturated with only serpentinite assemblage </w:t>
      </w:r>
      <w:r w:rsidR="00EE179E" w:rsidRPr="00D95A7D">
        <w:rPr>
          <w:rFonts w:ascii="Myriad Pro" w:hAnsi="Myriad Pro"/>
        </w:rPr>
        <w:t>only</w:t>
      </w:r>
      <w:r w:rsidR="00B266FF" w:rsidRPr="00D95A7D">
        <w:rPr>
          <w:rFonts w:ascii="Myriad Pro" w:hAnsi="Myriad Pro"/>
        </w:rPr>
        <w:t xml:space="preserve">. </w:t>
      </w:r>
      <w:r w:rsidR="003D1D22" w:rsidRPr="00D95A7D">
        <w:rPr>
          <w:rFonts w:ascii="Myriad Pro" w:hAnsi="Myriad Pro"/>
        </w:rPr>
        <w:t xml:space="preserve">In cases where the predicted fluid composition is saturated with other minerals other than the desired serpentinite assemblage, the pH is slightly modified until </w:t>
      </w:r>
      <w:r w:rsidR="00832EE9" w:rsidRPr="00D95A7D">
        <w:rPr>
          <w:rFonts w:ascii="Myriad Pro" w:hAnsi="Myriad Pro"/>
        </w:rPr>
        <w:t>the fluid becomes</w:t>
      </w:r>
      <w:r w:rsidR="003D1D22" w:rsidRPr="00D95A7D">
        <w:rPr>
          <w:rFonts w:ascii="Myriad Pro" w:hAnsi="Myriad Pro"/>
        </w:rPr>
        <w:t xml:space="preserve"> saturated with only </w:t>
      </w:r>
      <w:r w:rsidR="00F825C3">
        <w:rPr>
          <w:rFonts w:ascii="Myriad Pro" w:hAnsi="Myriad Pro"/>
        </w:rPr>
        <w:t xml:space="preserve">the </w:t>
      </w:r>
      <w:r w:rsidR="003D1D22" w:rsidRPr="00D95A7D">
        <w:rPr>
          <w:rFonts w:ascii="Myriad Pro" w:hAnsi="Myriad Pro"/>
        </w:rPr>
        <w:t>serpentinite assemblage</w:t>
      </w:r>
      <w:r w:rsidR="00F72DBF" w:rsidRPr="00D95A7D">
        <w:rPr>
          <w:rFonts w:ascii="Myriad Pro" w:hAnsi="Myriad Pro"/>
        </w:rPr>
        <w:t>.</w:t>
      </w:r>
      <w:r w:rsidR="007721F3" w:rsidRPr="00D95A7D">
        <w:rPr>
          <w:rFonts w:ascii="Myriad Pro" w:hAnsi="Myriad Pro"/>
        </w:rPr>
        <w:t xml:space="preserve"> Note that we do not model the serpentinization of a peridotite. Rather, we calculated the composition of an aqueous fluid buffered by serpentinite assemblage. </w:t>
      </w:r>
      <w:r w:rsidRPr="00D95A7D">
        <w:rPr>
          <w:rFonts w:ascii="Myriad Pro" w:hAnsi="Myriad Pro"/>
        </w:rPr>
        <w:t>The oxygen fugacity of the fluid (</w:t>
      </w:r>
      <w:r w:rsidRPr="00D95A7D">
        <w:rPr>
          <w:rFonts w:ascii="Myriad Pro" w:hAnsi="Myriad Pro"/>
          <w:i/>
        </w:rPr>
        <w:t>f</w:t>
      </w:r>
      <w:r w:rsidRPr="00D95A7D">
        <w:rPr>
          <w:rFonts w:ascii="Myriad Pro" w:hAnsi="Myriad Pro"/>
        </w:rPr>
        <w:t>O</w:t>
      </w:r>
      <w:r w:rsidRPr="00D95A7D">
        <w:rPr>
          <w:rFonts w:ascii="Myriad Pro" w:hAnsi="Myriad Pro"/>
          <w:vertAlign w:val="subscript"/>
        </w:rPr>
        <w:t>2</w:t>
      </w:r>
      <w:r w:rsidRPr="00D95A7D">
        <w:rPr>
          <w:rFonts w:ascii="Myriad Pro" w:hAnsi="Myriad Pro"/>
        </w:rPr>
        <w:t>) is set to values within the redox stability of magnetite that are bound by the hematite-magnetite buffer (HM) and quartz-</w:t>
      </w:r>
      <w:proofErr w:type="spellStart"/>
      <w:r w:rsidRPr="00D95A7D">
        <w:rPr>
          <w:rFonts w:ascii="Myriad Pro" w:hAnsi="Myriad Pro"/>
        </w:rPr>
        <w:t>fayalite</w:t>
      </w:r>
      <w:proofErr w:type="spellEnd"/>
      <w:r w:rsidRPr="00D95A7D">
        <w:rPr>
          <w:rFonts w:ascii="Myriad Pro" w:hAnsi="Myriad Pro"/>
        </w:rPr>
        <w:t xml:space="preserve">-magnetite buffer (QFM). Because serpentinite of Zone I does not contain clinopyroxene, we evaluated possible effects of clinopyroxene on the fluid composition over a range of temperatures.  The models predict that the presence of clinopyroxene in serpentinite does not significantly affect the concentrations of dissolve Mg, Si, and Ca when compared with clinopyroxene-free serpentinite. Since the current thermodynamic database does not allow for Fe speciation in serpentine mineral, the reducing capacity of serpentinites is diminished and hematite is favored to saturate. This renders the predicted oxygen fugacity and hydrogen concentration of equilibrium pore fluids uncertain. Since hematite is not observed in the studied rock samples, we suppressed hematite in the models. This model setup is consistent with the presence of magnetite in the studied serpentinites. Subsequently, </w:t>
      </w:r>
      <w:r w:rsidR="007D1661" w:rsidRPr="00D95A7D">
        <w:rPr>
          <w:rFonts w:ascii="Myriad Pro" w:hAnsi="Myriad Pro"/>
        </w:rPr>
        <w:t xml:space="preserve">once the fluid is saturated with only the desired serpentinite assemblage, </w:t>
      </w:r>
      <w:r w:rsidRPr="00D95A7D">
        <w:rPr>
          <w:rFonts w:ascii="Myriad Pro" w:hAnsi="Myriad Pro"/>
        </w:rPr>
        <w:t xml:space="preserve">the fluid was allowed to react with either </w:t>
      </w:r>
      <w:r w:rsidR="00E82B83" w:rsidRPr="00D95A7D">
        <w:rPr>
          <w:rFonts w:ascii="Myriad Pro" w:hAnsi="Myriad Pro"/>
        </w:rPr>
        <w:t>a model</w:t>
      </w:r>
      <w:r w:rsidRPr="00D95A7D">
        <w:rPr>
          <w:rFonts w:ascii="Myriad Pro" w:hAnsi="Myriad Pro"/>
        </w:rPr>
        <w:t xml:space="preserve"> oxide gabbro </w:t>
      </w:r>
      <w:r w:rsidR="00B07908" w:rsidRPr="00D95A7D">
        <w:rPr>
          <w:rFonts w:ascii="Myriad Pro" w:hAnsi="Myriad Pro"/>
        </w:rPr>
        <w:t xml:space="preserve">similar to the ones reported in </w:t>
      </w:r>
      <w:r w:rsidRPr="00D95A7D">
        <w:rPr>
          <w:rFonts w:ascii="Myriad Pro" w:hAnsi="Myriad Pro"/>
        </w:rPr>
        <w:t xml:space="preserve">Voltri Massif </w:t>
      </w:r>
      <w:r w:rsidRPr="00E73F02">
        <w:rPr>
          <w:rFonts w:ascii="Myriad Pro" w:hAnsi="Myriad Pro"/>
        </w:rPr>
        <w:fldChar w:fldCharType="begin"/>
      </w:r>
      <w:r w:rsidR="00D10EBB" w:rsidRPr="00D95A7D">
        <w:rPr>
          <w:rFonts w:ascii="Myriad Pro" w:hAnsi="Myriad Pro"/>
        </w:rPr>
        <w:instrText xml:space="preserve"> ADDIN ZOTERO_ITEM CSL_CITATION {"citationID":"sdhl5vIO","properties":{"formattedCitation":"(Tribuzio et al., 1996)","plainCitation":"(Tribuzio et al., 1996)","noteIndex":0},"citationItems":[{"id":376,"uris":["http://zotero.org/users/3840662/items/WKRZ9M7G"],"uri":["http://zotero.org/users/3840662/items/WKRZ9M7G"],"itemData":{"id":376,"type":"article-journal","abstract":"To unravel the rare earth element (REE) redistribution during high-pressure–low-temperature metamorphism, we have analyzed by ion microprobe all the minerals from representative Fe-gabbros from Ligurian metaophiolites (northwestern Italy). Contrary to what is observed for fresh Fe-gabbros, the clinopyroxene contribution to the whole-rock REE inventory of blueschists and eclogitized Fe-gabbros is minor or negligible. In both blueschists and eclogites, REE are redistributed among newly formed minerals. In blueschists, lawsonite is the major REE carrier and concentrates almost all the light REE (LREE) in the rock, whereas titanite plays an important role for middle and heavy REE (MREE, HREE). In eclogites, LREE and HREE mainly reside in accessory allanite and garnet, respectively. The development of blueschist and eclogite facies mineral assemblages in mafic oceanic crust, due to subduction to 35–65 km depths, was not accompanied by release of significant amounts of LREE to the overlying mantle wedge. Owing to the stability of lawsonite and epidote at ultra-high-pressure conditions, subduction of mafic rocks is considered an effective mechanism to bring LREE to great depth within the mantle.","container-title":"Geology","DOI":"10.1130/0091-7613(1996)024&lt;0711:REERDH&gt;2.3.CO;2","ISSN":"0091-7613","issue":"8","journalAbbreviation":"Geology","page":"711-714","title":"Rare earth element redistribution during high-pressure–low-temperature metamorphism in ophiolitic Fe-gabbros (Liguria, northwestern Italy): Implications for light REE mobility in subduction zones","volume":"24","author":[{"family":"Tribuzio","given":"Riccardo"},{"family":"Messiga","given":"Bruno"},{"family":"Vannucci","given":"Riccardo"},{"family":"Bottazzi","given":"Piero"}],"issued":{"date-parts":[["1996",8,1]]}}}],"schema":"https://github.com/citation-style-language/schema/raw/master/csl-citation.json"} </w:instrText>
      </w:r>
      <w:r w:rsidRPr="00E73F02">
        <w:rPr>
          <w:rFonts w:ascii="Myriad Pro" w:hAnsi="Myriad Pro"/>
        </w:rPr>
        <w:fldChar w:fldCharType="separate"/>
      </w:r>
      <w:r w:rsidRPr="00D95A7D">
        <w:rPr>
          <w:rFonts w:ascii="Myriad Pro" w:hAnsi="Myriad Pro"/>
        </w:rPr>
        <w:t>(Tribuzio et al., 1996)</w:t>
      </w:r>
      <w:r w:rsidRPr="00E73F02">
        <w:rPr>
          <w:rFonts w:ascii="Myriad Pro" w:hAnsi="Myriad Pro"/>
        </w:rPr>
        <w:fldChar w:fldCharType="end"/>
      </w:r>
      <w:r w:rsidRPr="00D95A7D">
        <w:rPr>
          <w:rFonts w:ascii="Myriad Pro" w:hAnsi="Myriad Pro"/>
        </w:rPr>
        <w:t xml:space="preserve"> or an eclogite (representative of eclogitic metagabbro in Zone V; Figure S6)</w:t>
      </w:r>
      <w:r w:rsidR="009526CA" w:rsidRPr="00D95A7D">
        <w:rPr>
          <w:rFonts w:ascii="Myriad Pro" w:hAnsi="Myriad Pro"/>
        </w:rPr>
        <w:t xml:space="preserve">. </w:t>
      </w:r>
      <w:r w:rsidR="001C321E" w:rsidRPr="00D95A7D">
        <w:rPr>
          <w:rFonts w:ascii="Myriad Pro" w:hAnsi="Myriad Pro"/>
        </w:rPr>
        <w:t xml:space="preserve">The </w:t>
      </w:r>
      <w:r w:rsidR="001F63E0" w:rsidRPr="00D95A7D">
        <w:rPr>
          <w:rFonts w:ascii="Myriad Pro" w:hAnsi="Myriad Pro"/>
        </w:rPr>
        <w:t xml:space="preserve">starting </w:t>
      </w:r>
      <w:r w:rsidR="001F63E0" w:rsidRPr="00D95A7D">
        <w:rPr>
          <w:rFonts w:ascii="Myriad Pro" w:hAnsi="Myriad Pro"/>
        </w:rPr>
        <w:lastRenderedPageBreak/>
        <w:t xml:space="preserve">compositions of the </w:t>
      </w:r>
      <w:r w:rsidR="001C321E" w:rsidRPr="00D95A7D">
        <w:rPr>
          <w:rFonts w:ascii="Myriad Pro" w:hAnsi="Myriad Pro"/>
        </w:rPr>
        <w:t xml:space="preserve">model oxide gabbro </w:t>
      </w:r>
      <w:r w:rsidR="001F63E0" w:rsidRPr="00D95A7D">
        <w:rPr>
          <w:rFonts w:ascii="Myriad Pro" w:hAnsi="Myriad Pro"/>
        </w:rPr>
        <w:t xml:space="preserve">and eclogite are summarized in Table </w:t>
      </w:r>
      <w:r w:rsidR="00517F54">
        <w:rPr>
          <w:rFonts w:ascii="Myriad Pro" w:hAnsi="Myriad Pro"/>
        </w:rPr>
        <w:t>S10</w:t>
      </w:r>
      <w:r w:rsidR="001F63E0" w:rsidRPr="00D95A7D">
        <w:rPr>
          <w:rFonts w:ascii="Myriad Pro" w:hAnsi="Myriad Pro"/>
        </w:rPr>
        <w:t xml:space="preserve">. </w:t>
      </w:r>
      <w:r w:rsidRPr="00D95A7D">
        <w:rPr>
          <w:rFonts w:ascii="Myriad Pro" w:hAnsi="Myriad Pro"/>
        </w:rPr>
        <w:t>For comparison, the oxide gabbro has relatively higher SiO</w:t>
      </w:r>
      <w:r w:rsidRPr="00D95A7D">
        <w:rPr>
          <w:rFonts w:ascii="Myriad Pro" w:hAnsi="Myriad Pro"/>
          <w:vertAlign w:val="subscript"/>
        </w:rPr>
        <w:t>2</w:t>
      </w:r>
      <w:r w:rsidRPr="00D95A7D">
        <w:rPr>
          <w:rFonts w:ascii="Myriad Pro" w:hAnsi="Myriad Pro"/>
        </w:rPr>
        <w:t>, Al</w:t>
      </w:r>
      <w:r w:rsidRPr="00D95A7D">
        <w:rPr>
          <w:rFonts w:ascii="Myriad Pro" w:hAnsi="Myriad Pro"/>
          <w:vertAlign w:val="subscript"/>
        </w:rPr>
        <w:t>2</w:t>
      </w:r>
      <w:r w:rsidRPr="00D95A7D">
        <w:rPr>
          <w:rFonts w:ascii="Myriad Pro" w:hAnsi="Myriad Pro"/>
        </w:rPr>
        <w:t>O</w:t>
      </w:r>
      <w:r w:rsidRPr="00D95A7D">
        <w:rPr>
          <w:rFonts w:ascii="Myriad Pro" w:hAnsi="Myriad Pro"/>
          <w:vertAlign w:val="subscript"/>
        </w:rPr>
        <w:t>3</w:t>
      </w:r>
      <w:r w:rsidRPr="00D95A7D">
        <w:rPr>
          <w:rFonts w:ascii="Myriad Pro" w:hAnsi="Myriad Pro"/>
        </w:rPr>
        <w:t xml:space="preserve">, and </w:t>
      </w:r>
      <w:proofErr w:type="spellStart"/>
      <w:r w:rsidRPr="00D95A7D">
        <w:rPr>
          <w:rFonts w:ascii="Myriad Pro" w:hAnsi="Myriad Pro"/>
        </w:rPr>
        <w:t>CaO</w:t>
      </w:r>
      <w:proofErr w:type="spellEnd"/>
      <w:r w:rsidRPr="00D95A7D">
        <w:rPr>
          <w:rFonts w:ascii="Myriad Pro" w:hAnsi="Myriad Pro"/>
        </w:rPr>
        <w:t xml:space="preserve">, but has lower </w:t>
      </w:r>
      <w:proofErr w:type="spellStart"/>
      <w:r w:rsidRPr="00D95A7D">
        <w:rPr>
          <w:rFonts w:ascii="Myriad Pro" w:hAnsi="Myriad Pro"/>
        </w:rPr>
        <w:t>FeO</w:t>
      </w:r>
      <w:proofErr w:type="spellEnd"/>
      <w:r w:rsidRPr="00D95A7D">
        <w:rPr>
          <w:rFonts w:ascii="Myriad Pro" w:hAnsi="Myriad Pro"/>
        </w:rPr>
        <w:t xml:space="preserve">* concentrations than the eclogite. </w:t>
      </w:r>
      <w:r w:rsidR="001F73F9" w:rsidRPr="00D95A7D">
        <w:rPr>
          <w:rFonts w:ascii="Myriad Pro" w:hAnsi="Myriad Pro"/>
        </w:rPr>
        <w:t>The fluid-rock interaction simulation is performed under isothermal and isobaric conditions at varying fluid-to-rock mass ratios (f/r).</w:t>
      </w:r>
      <w:r w:rsidR="00245D17" w:rsidRPr="00D95A7D">
        <w:rPr>
          <w:rFonts w:ascii="Myriad Pro" w:hAnsi="Myriad Pro"/>
        </w:rPr>
        <w:t xml:space="preserve"> </w:t>
      </w:r>
      <w:r w:rsidRPr="00D95A7D">
        <w:rPr>
          <w:rFonts w:ascii="Myriad Pro" w:hAnsi="Myriad Pro"/>
        </w:rPr>
        <w:t>The gabbro-fluid model explores the possibility that fluid-mediated mass transfer occurred during prograde</w:t>
      </w:r>
      <w:r w:rsidR="00AC408A" w:rsidRPr="00D95A7D">
        <w:rPr>
          <w:rFonts w:ascii="Myriad Pro" w:hAnsi="Myriad Pro"/>
        </w:rPr>
        <w:t xml:space="preserve"> to peak</w:t>
      </w:r>
      <w:r w:rsidRPr="00D95A7D">
        <w:rPr>
          <w:rFonts w:ascii="Myriad Pro" w:hAnsi="Myriad Pro"/>
        </w:rPr>
        <w:t xml:space="preserve"> metamorphism, modifying the bulk composition of each zone, before reaching peak eclogite-facies metamorphism and post-peak retrograde conditions. In comparison, the eclogite-fluid model explores the possibility that the fluid-mediated mass transfer only occurred at post-peak eclogite-facies and retrograde conditions. In each simulation, fluids that are equilibrated with serpentinite are titrated with 1 kg of gabbro/eclogite under isobaric and isothermal conditions. The fluid-to-rock mass ratio (f/r) decreases with increasing reaction progress (ξ). Importantly, we implemented titration models which can be used to assess heterogeneous phase equilibria in an advective system (</w:t>
      </w:r>
      <w:r w:rsidRPr="00D95A7D">
        <w:rPr>
          <w:rFonts w:ascii="Myriad Pro" w:hAnsi="Myriad Pro"/>
          <w:i/>
        </w:rPr>
        <w:t>e.g.,</w:t>
      </w:r>
      <w:r w:rsidRPr="00D95A7D">
        <w:rPr>
          <w:rFonts w:ascii="Myriad Pro" w:hAnsi="Myriad Pro"/>
        </w:rPr>
        <w:t xml:space="preserve"> fluid percolation and reaction along a high permeability pathway such as veins or lithologic boundaries) and in a diffusive system (</w:t>
      </w:r>
      <w:r w:rsidRPr="00D95A7D">
        <w:rPr>
          <w:rFonts w:ascii="Myriad Pro" w:hAnsi="Myriad Pro"/>
          <w:i/>
        </w:rPr>
        <w:t>e.g.,</w:t>
      </w:r>
      <w:r w:rsidRPr="00D95A7D">
        <w:rPr>
          <w:rFonts w:ascii="Myriad Pro" w:hAnsi="Myriad Pro"/>
        </w:rPr>
        <w:t xml:space="preserve"> fluid-mediated diffusive transfer at the boundary of a crustal rock and serpentinite, where the fluid composition is buffered by the rock) </w:t>
      </w:r>
      <w:r w:rsidRPr="00E73F02">
        <w:rPr>
          <w:rFonts w:ascii="Myriad Pro" w:hAnsi="Myriad Pro"/>
        </w:rPr>
        <w:fldChar w:fldCharType="begin"/>
      </w:r>
      <w:r w:rsidR="00D10EBB" w:rsidRPr="00D95A7D">
        <w:rPr>
          <w:rFonts w:ascii="Myriad Pro" w:hAnsi="Myriad Pro"/>
        </w:rPr>
        <w:instrText xml:space="preserve"> ADDIN ZOTERO_ITEM CSL_CITATION {"citationID":"mglvSsJI","properties":{"formattedCitation":"(Bach and Klein, 2009)","plainCitation":"(Bach and Klein, 2009)","noteIndex":0},"citationItems":[{"id":442,"uris":["http://zotero.org/users/3840662/items/QN25278U"],"uri":["http://zotero.org/users/3840662/items/QN25278U"],"itemData":{"id":442,"type":"article-journal","abstract":"Thermodynamic reaction path models were applied to provide insights into the formation of rodingites at mafic/ultramafic boundaries. The models were set up to investigate the shifts in fluid–rock equilibria as fluids move from peridotite undergoing serpentinization into a gabbroic body. Phase relations were investigated in the direction of increasing extent of reaction of the serpentinization fluid with gabbro at 200 °C, 300 °C, and 400 °C. Phase assemblages typical of rodingite (grossular+diopside±chlorite) are predicted to form at 200 °C and 300 °C, but only in areas where the fluid is essentially unaffected by reactions with gabbro, i.e., near the contact with ultramafic rock or adjacent to a fissure filled with serpentinization fluid. As the fluid becomes more affected by reactions with the gabbro, prehnite or epidote-ss replace garnet and tremolite replaces clinopyroxene. Once the fluid chemistry is completely reset by reactions with gabbro, the predicted assemblage is typical of greenschist facies: albitic plagioclase, actinolite, chlorite, and epidote-ss. These transitions predicted in the model are very similar to what is observed in natural rodingites from different settings. Our model results hence support the hypothesis that rodingites form during serpentinization and only in areas where fluids controlled by serpentinization reactions are present. Our calculations further indicate that the formation of mineral assemblages and spatial mineralogical variability within rodingites from the ocean floor is mainly driven by steep activity gradients in protons and aqueous silica in pore fluids. Mass transfer of Ca is likely by diffusion of the CaOH+ species, which is predicted to show a very steep concentration gradient across a mafic–ultramafic boundary. Rodingites act as Ca traps because of the great stability of diopside and garnet at low SiO2 activities. Our model calculations further predict the formation of diopsidite from gabbroic and clinopyroxenite precursor rocks at 200 °C and 300 °C, suggesting that very high temperatures on the order of 800 °C are not required in the formation of diopsidite veins.","container-title":"Recent developments on seafloor petrology and tectonics","DOI":"10.1016/j.lithos.2008.10.022","ISSN":"0024-4937","issue":"1","journalAbbreviation":"Lithos","page":"103-117","title":"The petrology of seafloor rodingites: Insights from geochemical reaction path modeling","volume":"112","author":[{"family":"Bach","given":"Wolfgang"},{"family":"Klein","given":"Frieder"}],"issued":{"date-parts":[["2009",9,1]]}}}],"schema":"https://github.com/citation-style-language/schema/raw/master/csl-citation.json"} </w:instrText>
      </w:r>
      <w:r w:rsidRPr="00E73F02">
        <w:rPr>
          <w:rFonts w:ascii="Myriad Pro" w:hAnsi="Myriad Pro"/>
        </w:rPr>
        <w:fldChar w:fldCharType="separate"/>
      </w:r>
      <w:r w:rsidRPr="00D95A7D">
        <w:rPr>
          <w:rFonts w:ascii="Myriad Pro" w:hAnsi="Myriad Pro"/>
        </w:rPr>
        <w:t>(Bach and Klein, 2009)</w:t>
      </w:r>
      <w:r w:rsidRPr="00E73F02">
        <w:rPr>
          <w:rFonts w:ascii="Myriad Pro" w:hAnsi="Myriad Pro"/>
        </w:rPr>
        <w:fldChar w:fldCharType="end"/>
      </w:r>
      <w:r w:rsidRPr="00D95A7D">
        <w:rPr>
          <w:rFonts w:ascii="Myriad Pro" w:hAnsi="Myriad Pro"/>
        </w:rPr>
        <w:t xml:space="preserve">. </w:t>
      </w:r>
      <w:r w:rsidR="00BA4526">
        <w:rPr>
          <w:rFonts w:ascii="Myriad Pro" w:hAnsi="Myriad Pro"/>
        </w:rPr>
        <w:t>Despite the simplifications and limitations in th</w:t>
      </w:r>
      <w:r w:rsidR="00D32932">
        <w:rPr>
          <w:rFonts w:ascii="Myriad Pro" w:hAnsi="Myriad Pro"/>
        </w:rPr>
        <w:t>e</w:t>
      </w:r>
      <w:r w:rsidR="00BA4526">
        <w:rPr>
          <w:rFonts w:ascii="Myriad Pro" w:hAnsi="Myriad Pro"/>
        </w:rPr>
        <w:t xml:space="preserve"> modeling approach, </w:t>
      </w:r>
      <w:r w:rsidRPr="00D95A7D">
        <w:rPr>
          <w:rFonts w:ascii="Myriad Pro" w:hAnsi="Myriad Pro"/>
        </w:rPr>
        <w:t xml:space="preserve">the reaction-path models </w:t>
      </w:r>
      <w:r w:rsidR="0033591C">
        <w:rPr>
          <w:rFonts w:ascii="Myriad Pro" w:hAnsi="Myriad Pro"/>
        </w:rPr>
        <w:t>can simulate</w:t>
      </w:r>
      <w:r w:rsidR="0033591C" w:rsidRPr="00D95A7D">
        <w:rPr>
          <w:rFonts w:ascii="Myriad Pro" w:hAnsi="Myriad Pro"/>
        </w:rPr>
        <w:t xml:space="preserve"> </w:t>
      </w:r>
      <w:r w:rsidRPr="00D95A7D">
        <w:rPr>
          <w:rFonts w:ascii="Myriad Pro" w:hAnsi="Myriad Pro"/>
        </w:rPr>
        <w:t>the evolving fluid-rock equilibria starting from the serpentinites towards the serpentinite-metagabbro contact and into the metagabbro</w:t>
      </w:r>
      <w:r w:rsidR="00C31A34">
        <w:rPr>
          <w:rFonts w:ascii="Myriad Pro" w:hAnsi="Myriad Pro"/>
        </w:rPr>
        <w:t>/eclogite</w:t>
      </w:r>
      <w:r w:rsidRPr="00D95A7D">
        <w:rPr>
          <w:rFonts w:ascii="Myriad Pro" w:hAnsi="Myriad Pro"/>
        </w:rPr>
        <w:t xml:space="preserve"> interior with increasing ξ (equivalent to decreasing f/r ratios). </w:t>
      </w:r>
    </w:p>
    <w:p w:rsidR="00D10EBB" w:rsidRPr="00D95A7D" w:rsidRDefault="00D10EBB">
      <w:pPr>
        <w:pStyle w:val="NoSpacing"/>
        <w:ind w:firstLine="720"/>
        <w:jc w:val="both"/>
        <w:rPr>
          <w:rFonts w:ascii="Myriad Pro" w:hAnsi="Myriad Pro"/>
        </w:rPr>
      </w:pPr>
    </w:p>
    <w:p w:rsidR="00D10EBB" w:rsidRPr="00D95A7D" w:rsidRDefault="00D10EBB">
      <w:pPr>
        <w:pStyle w:val="NoSpacing"/>
        <w:ind w:firstLine="720"/>
        <w:jc w:val="both"/>
        <w:rPr>
          <w:rFonts w:ascii="Myriad Pro" w:hAnsi="Myriad Pro"/>
        </w:rPr>
      </w:pPr>
    </w:p>
    <w:p w:rsidR="00D10EBB" w:rsidRPr="00105115" w:rsidRDefault="00D10EBB" w:rsidP="00105115">
      <w:pPr>
        <w:pStyle w:val="NoSpacing"/>
        <w:jc w:val="both"/>
        <w:rPr>
          <w:rFonts w:ascii="Myriad Pro" w:hAnsi="Myriad Pro"/>
          <w:b/>
        </w:rPr>
      </w:pPr>
      <w:r w:rsidRPr="00105115">
        <w:rPr>
          <w:rFonts w:ascii="Myriad Pro" w:hAnsi="Myriad Pro"/>
          <w:b/>
        </w:rPr>
        <w:t xml:space="preserve">Mass-balance calculations </w:t>
      </w:r>
    </w:p>
    <w:p w:rsidR="00410F96" w:rsidRPr="00D95A7D" w:rsidRDefault="00D10EBB">
      <w:pPr>
        <w:pStyle w:val="NoSpacing"/>
        <w:ind w:firstLine="720"/>
        <w:jc w:val="both"/>
        <w:rPr>
          <w:rFonts w:ascii="Myriad Pro" w:hAnsi="Myriad Pro"/>
        </w:rPr>
      </w:pPr>
      <w:r w:rsidRPr="00D95A7D">
        <w:rPr>
          <w:rFonts w:ascii="Myriad Pro" w:hAnsi="Myriad Pro"/>
        </w:rPr>
        <w:t xml:space="preserve">To quantify chemical and mass changes associated with the formation of metasomatic reaction zones between serpentinite and metagabbro, quantitative mass balance calculations were performed </w:t>
      </w:r>
      <w:r w:rsidRPr="00E73F02">
        <w:rPr>
          <w:rFonts w:ascii="Myriad Pro" w:hAnsi="Myriad Pro"/>
        </w:rPr>
        <w:fldChar w:fldCharType="begin"/>
      </w:r>
      <w:r w:rsidR="00261262" w:rsidRPr="00D95A7D">
        <w:rPr>
          <w:rFonts w:ascii="Myriad Pro" w:hAnsi="Myriad Pro"/>
        </w:rPr>
        <w:instrText xml:space="preserve"> ADDIN ZOTERO_ITEM CSL_CITATION {"citationID":"acuaher5i0","properties":{"formattedCitation":"(Gresens, 1967)","plainCitation":"(Gresens, 1967)","noteIndex":0},"citationItems":[{"id":771,"uris":["http://zotero.org/users/3840662/items/DRTMATVI"],"uri":["http://zotero.org/users/3840662/items/DRTMATVI"],"itemData":{"id":771,"type":"article-journal","abstract":"The actual gains and losses that take place in metasomatic alterations cannot be obtained without a knowledge of the relationship between composition changes and volume changes that accompany the process. A general set of equations is derived that allows calculations of gains and losses in terms of the chemical analyses and the specific gravities of the unaltered and metasomatized rocks or minerals. When comparing two rocks, it is necessary to know or assume knowledge of either the volume change or the geochemical behavior of one component in order to solve the problem. When N minerals are compared in a single alteration equation, N-1 additional facts or assumptions with respect to volume change or geochemical behavior are necessary. It is not necessary to calculate the structural formulas for the minerals. Examples are given of various techniques for solving composition-volume relationships. Trace elements should be evaluated in terms of composition-volume relationships because released trace elements are potential ore sources. Trace element data from individual minerals involved in a suspected reaction may be utilized quantitatively as supporting evidence for the reaction.","container-title":"Chemical Geology","DOI":"10.1016/0009-2541(67)90004-6","ISSN":"0009-2541","journalAbbreviation":"Chemical Geology","page":"47-65","title":"Composition-volume relationships of metasomatism","volume":"2","author":[{"family":"Gresens","given":"Randall L."}],"issued":{"date-parts":[["1967",1,1]]}}}],"schema":"https://github.com/citation-style-language/schema/raw/master/csl-citation.json"} </w:instrText>
      </w:r>
      <w:r w:rsidRPr="00E73F02">
        <w:rPr>
          <w:rFonts w:ascii="Myriad Pro" w:hAnsi="Myriad Pro"/>
        </w:rPr>
        <w:fldChar w:fldCharType="separate"/>
      </w:r>
      <w:r w:rsidR="00261262" w:rsidRPr="00D95A7D">
        <w:rPr>
          <w:rFonts w:ascii="Myriad Pro" w:hAnsi="Myriad Pro"/>
          <w:szCs w:val="24"/>
        </w:rPr>
        <w:t>(Gresens, 1967)</w:t>
      </w:r>
      <w:r w:rsidRPr="00E73F02">
        <w:rPr>
          <w:rFonts w:ascii="Myriad Pro" w:hAnsi="Myriad Pro"/>
        </w:rPr>
        <w:fldChar w:fldCharType="end"/>
      </w:r>
      <w:r w:rsidRPr="00D95A7D">
        <w:rPr>
          <w:rFonts w:ascii="Myriad Pro" w:hAnsi="Myriad Pro"/>
        </w:rPr>
        <w:t>. We utilized the major element composition of the most distal eclogitic metagabbro (B10 in Zone V) as a basis to compute chemical and mass changes of subsequently more reacted rocks in Zones II to IV. We focused on the changes in the metagabbro side because of the lack of significant modal and chemical changes in the serpentine domain (Zone I). We adopt</w:t>
      </w:r>
      <w:r w:rsidR="0008533E">
        <w:rPr>
          <w:rFonts w:ascii="Myriad Pro" w:hAnsi="Myriad Pro"/>
        </w:rPr>
        <w:t>ed</w:t>
      </w:r>
      <w:r w:rsidRPr="00D95A7D">
        <w:rPr>
          <w:rFonts w:ascii="Myriad Pro" w:hAnsi="Myriad Pro"/>
        </w:rPr>
        <w:t xml:space="preserve"> a method that utilizes an immobile element as a geochemical reference frame as it allows for the evaluation of rock mass and individual element changes </w:t>
      </w:r>
      <w:r w:rsidRPr="000E41D9">
        <w:rPr>
          <w:rFonts w:ascii="Myriad Pro" w:hAnsi="Myriad Pro"/>
        </w:rPr>
        <w:fldChar w:fldCharType="begin"/>
      </w:r>
      <w:r w:rsidR="00261262" w:rsidRPr="00D95A7D">
        <w:rPr>
          <w:rFonts w:ascii="Myriad Pro" w:hAnsi="Myriad Pro"/>
        </w:rPr>
        <w:instrText xml:space="preserve"> ADDIN ZOTERO_ITEM CSL_CITATION {"citationID":"a5qj7d3sg8","properties":{"formattedCitation":"(Ague and van Haren, 1996; Ague, 2017; Ague and Nicolescu, 2014; Grant, 1986; Penniston-Dorland and Ferry, 2008)","plainCitation":"(Ague and van Haren, 1996; Ague, 2017; Ague and Nicolescu, 2014; Grant, 1986; Penniston-Dorland and Ferry, 2008)","noteIndex":0},"citationItems":[{"id":769,"uris":["http://zotero.org/users/3840662/items/BWZQJWWA"],"uri":["http://zotero.org/users/3840662/items/BWZQJWWA"],"itemData":{"id":769,"type":"article-journal","container-title":"Economic Geology","DOI":"10.2113/gsecongeo.91.7.1169","journalAbbreviation":"Economic Geology","page":"1169-1182","title":"Assessing metasomatic mass and volume changes using the bootstrap, with application to deep crustal hydrothermal alteration of marble","volume":"91","author":[{"family":"Ague","given":"Jay"},{"family":"Haren","given":"Joost","non-dropping-particle":"van"}],"issued":{"date-parts":[["1996",11,1]]}}},{"id":511,"uris":["http://zotero.org/users/3840662/items/RSDZEZ6E"],"uri":["http://zotero.org/users/3840662/items/RSDZEZ6E"],"itemData":{"id":511,"type":"article-journal","abstract":"This paper explores bulk-rock geochemical data for a wide array of metamorphosed mafic, quartzo-feldspathic, pelitic, and metacarbonate rocks using a quantitative mass-balance approach to assess fluid-driven element mobility—particularly of the rare earth elements (REE)—in regional metamorphic and some high-pressure subduction zone environments (40 examples; over 240 individual analyses). Most examples are from focused fluid flow settings, such as veins and lithologic contacts, where fluxes are large and metasomatic signals are thus strong. A variety of REE behaviors are observed, including little or no REE mobility (roughly a third of the data set); light REE (LREE), mid-REE (MREE), and/or heavy (HREE) mobility; europium “anomalies”; overall REE losses; and local REE redistribution. The REE are typically fractionated by mass transfer, with the exception of several examples that underwent fairly uniform overall losses of REE. The fractionation reflects strong mineralogical controls on REE uptake/loss by a comparatively small number of phases. Examples include: HREE mass changes associated with garnet, xenotime, and sphene; LREE and MREE changes associated with apatite, monazite, and allanite; and Eu changes associated with plagioclase and lawsonite. As mineralogy is a dominant control, the nature of the metasomatism is not strongly correlated with metamorphic grade, other than obvious mineralogical differences between settings (e.g., plagioclase in Barrovian metamorphism, lawsonite in subduction zones). Extensive mobilization of non-REE major and trace elements can happen without significant open-system transport of the REE. If REE mobility occurs, it is always accompanied by mobilization of other non-REE. When mobile, neighboring REE (e.g., Sm and Nd) typically have strongly correlated mass changes indicating that both were mobilized to about the same degree. Although individual examples of metasomatism can show correlations between patterns of mass transfer for the REE and the non-REE, little such correlation is evident across the entire data set, with the exception of P. Once again, this highlights the importance of individual minerals in controlling REE systematics. Broad correlations of REE and P mobility suggest REE transport by P complexes, or REE and P transport together by some other complexing agent. Mass changes for REE and Y are more strongly coupled, reflecting the geochemical similarity of these elements and perhaps indicating a role for Y complexing as well.The REE are the most mobile of the high field strength elements (HFSE). On a percentage mass basis, the amount of HFSE mobility decreases roughly in the order: REE &amp;gt; U &amp;gt; Nb &amp;gt; Ti &amp;gt; Th ~ Zr. Th mobility is rare but when present is positively correlated with U and REE mobility. The mobility of the more refractory HFSE is low in aqueous fluids, but is a larger concern in more extreme environments such as magmatic/magmatic-hydrothermal systems, charnockite metamorphism, and supercritical fluids in high-pressure/ultrahigh-pressure settings. The mobility of certain HFSE (e.g., Nb) can be large enough to affect rock plotting positions on petrotectonic discrimination diagrams.Potassium and related (Rb, Ba, Cs) large-ion lithophile elements (LILE) are typically lost in association with mica breakdown. As the data set focuses on high fluid flow environments, LILE changes will likely be smaller for rocks that undergo less fluid-rock interaction. Gains of K and related LILE are coupled to volatile gain and Na loss, consistent with fluid flow down temperature gradients, or infiltration from K-rich sources (e.g., pegmatites). In Barrovian settings, two other mass transfer trends are evident in addition to K mass transfer. First, silica loss is coupled to volatile loss, illustrating the dependence of silica mass transfer on devolatilization. Most of the silica loss reflects local mass transfer into adjacent vein fluid flow conduits were additional silica is precipitated; indeed, wallrock inclusions in veins can be highly silicified. Second, Na and Ca mass gains and losses are well correlated in the Barrovian examples, reflecting control of plagioclase growth or destruction. Strontium and Pb behaviors also appear to be largely related to plagioclase behavior (in subduction settings, this role can be played by phases such as lawsonite or epidote group minerals).Carbon dioxide mass transfer by conventional devolatilization as well as near-stoichiometric CaCO3 dissolution or precipitation is represented in the data set. Determining the relative roles of these processes as functions of metamorphic grade, intensity of fluid-rock interaction, and tectonic setting will be an important challenge for future research.","container-title":"American Mineralogist","DOI":"10.2138/am-2017-6130","ISSN":"0003-004X","issue":"9","journalAbbreviation":"American Mineralogist","page":"1796-1821","title":"Element mobility during regional metamorphism in crustal and subduction zone environments with a focus on the rare earth elements (REE)","volume":"102","author":[{"family":"Ague","given":"Jay J."}],"issued":{"date-parts":[["2017",9,1]]}}},{"id":387,"uris":["http://zotero.org/users/3840662/items/H77SGUUM"],"uri":["http://zotero.org/users/3840662/items/H77SGUUM"],"itemData":{"id":387,"type":"article-journal","container-title":"Nature Geoscience","journalAbbreviation":"Nature Geoscience","page":"355","title":"Carbon dioxide released from subduction zones by fluid-mediated reactions","volume":"7","author":[{"family":"Ague","given":"Jay J."},{"family":"Nicolescu","given":"Stefan"}],"issued":{"date-parts":[["2014",4,20]]}}},{"id":388,"uris":["http://zotero.org/users/3840662/items/VVHR39U2"],"uri":["http://zotero.org/users/3840662/items/VVHR39U2"],"itemData":{"id":388,"type":"article-journal","abstract":"Gresens' (1967) method of analysis of changes in volume and concentrations during metasomatism have been applied in many studies of hydrothermal alteration. This paper provides a simple method of solution of Gresens' equations, for both volume (or mass) change and concentration changes, one which requires no significant manipulation of analytical data and is readily accomplished both graphically and on a computer spreadsheet. Gresens' equation is rearranged into a linear relationship between the concentration of a component in the altered rock and that in the original. Simultaneous solution of such equations for all components that show no relative gain or loss of mass defines an \"isocon.\" On a graph of the concentrations in the altered rock against those in the original, an isocon is a straight line through the origin. The slope of the isocon defines the mass change in the alteration, and the deviation of a data point from the isocon defines the concentration change for the corresponding component. As is shown, this can be applied to several stages of alteration simultaneously, and to other kinds of mass transfer such as migmatization.","container-title":"Economic Geology","DOI":"10.2113/gsecongeo.81.8.1976","ISSN":"0361-0128","issue":"8","journalAbbreviation":"Economic Geology","page":"1976-1982","title":"The isocon diagram; a simple solution to Gresens' equation for metasomatic alteration","volume":"81","author":[{"family":"Grant","given":"James A."}],"issued":{"date-parts":[["1986",12,1]]}}},{"id":770,"uris":["http://zotero.org/users/3840662/items/CNSZ2PNI"],"uri":["http://zotero.org/users/3840662/items/CNSZ2PNI"],"itemData":{"id":770,"type":"article-journal","abstract":"Veins and adjacent alteration selvages in the Waits River Formation were investigated to determine whether associated mass transfer was due primarily to large-scale advection or small-scale diffusion. Samples of the vein, selvage, and adjacent wall rock were collected from the earliest and most numerous generation of veins in pelite and carbonate hosts from outcrops in the chlorite and the kyanite zones. Bulk compositions of selvages and unaltered wall rocks were compared using a reference frame defined by a combination of Zr, Ti, REEs, and U. Selvages from both outcrops typically exhibit losses of Si, K, Ba, and Rb relative to unaltered wall rock. Kyanite zone selvages show losses in Mg and Cs in addition. Differences in K, Ba, Rb, Cs, and Mg between the vein-selvage system as a whole and adjacent unaltered wall rock are possibly accounted for by development of micas in veins. The addition of Si and Ca to veins is not balanced by removal of Si and Ca from the selvages. Vein-selvage systems contain more Si than wall rock, with an overall addition of ≈40 mg Si/cm3 to the chlorite zone and ≈55 mg Si/cm3 to the kyanite zone. Mass balance of Si at the outcrop scale requires that &amp;gt;90% of the Si in quartz veins was derived externally. Quartz veins studied formed primarily by fluid flow and large-scale advective mass transfer with a relatively minor component of local mass transport by diffusion. The estimated time-integrated fluid flux necessary to produce the observed amount of quartz in veins in an entire outcrop is ≈2–6·106 cm3 fluid/cm2 rock. Mineral inclusions in garnet and fracturing of garnets adjacent to veins indicate that formation of selvages and veins initiated prior to formation of garnet and continued after the end of garnet growth.","container-title":"American Mineralogist","DOI":"10.2138/am.2008.2461","ISSN":"0003-004X","issue":"1","journalAbbreviation":"American Mineralogist","page":"7-21","title":"Element mobility and scale of mass transport in the formation of quartz veins during regional metamorphism of the Waits River Formation, east-central Vermont","volume":"93","author":[{"family":"Penniston-Dorland","given":"Sarah C."},{"family":"Ferry","given":"John M."}],"issued":{"date-parts":[["2008",1,1]]}}}],"schema":"https://github.com/citation-style-language/schema/raw/master/csl-citation.json"} </w:instrText>
      </w:r>
      <w:r w:rsidRPr="000E41D9">
        <w:rPr>
          <w:rFonts w:ascii="Myriad Pro" w:hAnsi="Myriad Pro"/>
        </w:rPr>
        <w:fldChar w:fldCharType="separate"/>
      </w:r>
      <w:r w:rsidR="00261262" w:rsidRPr="00D95A7D">
        <w:rPr>
          <w:rFonts w:ascii="Myriad Pro" w:hAnsi="Myriad Pro"/>
          <w:szCs w:val="24"/>
        </w:rPr>
        <w:t>(Ague and van Haren, 1996; Ague, 2017; Ague and Nicolescu, 2014; Grant, 1986; Penniston-Dorland and Ferry, 2008)</w:t>
      </w:r>
      <w:r w:rsidRPr="000E41D9">
        <w:rPr>
          <w:rFonts w:ascii="Myriad Pro" w:hAnsi="Myriad Pro"/>
        </w:rPr>
        <w:fldChar w:fldCharType="end"/>
      </w:r>
      <w:r w:rsidR="00261262" w:rsidRPr="00D95A7D">
        <w:rPr>
          <w:rFonts w:ascii="Myriad Pro" w:hAnsi="Myriad Pro"/>
        </w:rPr>
        <w:t>.</w:t>
      </w:r>
      <w:r w:rsidRPr="00D95A7D">
        <w:rPr>
          <w:rFonts w:ascii="Myriad Pro" w:hAnsi="Myriad Pro"/>
        </w:rPr>
        <w:t xml:space="preserve"> Mobility of most major and trace elements during high-pressure metamorphism and metasomatism have been documented </w:t>
      </w:r>
      <w:r w:rsidR="007D53F4" w:rsidRPr="00D95A7D">
        <w:rPr>
          <w:rFonts w:ascii="Myriad Pro" w:hAnsi="Myriad Pro"/>
        </w:rPr>
        <w:t xml:space="preserve">in exhumed high pressure rocks </w:t>
      </w:r>
      <w:r w:rsidR="007D53F4" w:rsidRPr="00E73F02">
        <w:rPr>
          <w:rFonts w:ascii="Myriad Pro" w:hAnsi="Myriad Pro"/>
        </w:rPr>
        <w:fldChar w:fldCharType="begin"/>
      </w:r>
      <w:r w:rsidR="00A075D2" w:rsidRPr="00D95A7D">
        <w:rPr>
          <w:rFonts w:ascii="Myriad Pro" w:hAnsi="Myriad Pro"/>
        </w:rPr>
        <w:instrText xml:space="preserve"> ADDIN ZOTERO_ITEM CSL_CITATION {"citationID":"a5btpfqv26","properties":{"formattedCitation":"(Ague, 2017)","plainCitation":"(Ague, 2017)","noteIndex":0},"citationItems":[{"id":511,"uris":["http://zotero.org/users/3840662/items/RSDZEZ6E"],"uri":["http://zotero.org/users/3840662/items/RSDZEZ6E"],"itemData":{"id":511,"type":"article-journal","abstract":"This paper explores bulk-rock geochemical data for a wide array of metamorphosed mafic, quartzo-feldspathic, pelitic, and metacarbonate rocks using a quantitative mass-balance approach to assess fluid-driven element mobility—particularly of the rare earth elements (REE)—in regional metamorphic and some high-pressure subduction zone environments (40 examples; over 240 individual analyses). Most examples are from focused fluid flow settings, such as veins and lithologic contacts, where fluxes are large and metasomatic signals are thus strong. A variety of REE behaviors are observed, including little or no REE mobility (roughly a third of the data set); light REE (LREE), mid-REE (MREE), and/or heavy (HREE) mobility; europium “anomalies”; overall REE losses; and local REE redistribution. The REE are typically fractionated by mass transfer, with the exception of several examples that underwent fairly uniform overall losses of REE. The fractionation reflects strong mineralogical controls on REE uptake/loss by a comparatively small number of phases. Examples include: HREE mass changes associated with garnet, xenotime, and sphene; LREE and MREE changes associated with apatite, monazite, and allanite; and Eu changes associated with plagioclase and lawsonite. As mineralogy is a dominant control, the nature of the metasomatism is not strongly correlated with metamorphic grade, other than obvious mineralogical differences between settings (e.g., plagioclase in Barrovian metamorphism, lawsonite in subduction zones). Extensive mobilization of non-REE major and trace elements can happen without significant open-system transport of the REE. If REE mobility occurs, it is always accompanied by mobilization of other non-REE. When mobile, neighboring REE (e.g., Sm and Nd) typically have strongly correlated mass changes indicating that both were mobilized to about the same degree. Although individual examples of metasomatism can show correlations between patterns of mass transfer for the REE and the non-REE, little such correlation is evident across the entire data set, with the exception of P. Once again, this highlights the importance of individual minerals in controlling REE systematics. Broad correlations of REE and P mobility suggest REE transport by P complexes, or REE and P transport together by some other complexing agent. Mass changes for REE and Y are more strongly coupled, reflecting the geochemical similarity of these elements and perhaps indicating a role for Y complexing as well.The REE are the most mobile of the high field strength elements (HFSE). On a percentage mass basis, the amount of HFSE mobility decreases roughly in the order: REE &amp;gt; U &amp;gt; Nb &amp;gt; Ti &amp;gt; Th ~ Zr. Th mobility is rare but when present is positively correlated with U and REE mobility. The mobility of the more refractory HFSE is low in aqueous fluids, but is a larger concern in more extreme environments such as magmatic/magmatic-hydrothermal systems, charnockite metamorphism, and supercritical fluids in high-pressure/ultrahigh-pressure settings. The mobility of certain HFSE (e.g., Nb) can be large enough to affect rock plotting positions on petrotectonic discrimination diagrams.Potassium and related (Rb, Ba, Cs) large-ion lithophile elements (LILE) are typically lost in association with mica breakdown. As the data set focuses on high fluid flow environments, LILE changes will likely be smaller for rocks that undergo less fluid-rock interaction. Gains of K and related LILE are coupled to volatile gain and Na loss, consistent with fluid flow down temperature gradients, or infiltration from K-rich sources (e.g., pegmatites). In Barrovian settings, two other mass transfer trends are evident in addition to K mass transfer. First, silica loss is coupled to volatile loss, illustrating the dependence of silica mass transfer on devolatilization. Most of the silica loss reflects local mass transfer into adjacent vein fluid flow conduits were additional silica is precipitated; indeed, wallrock inclusions in veins can be highly silicified. Second, Na and Ca mass gains and losses are well correlated in the Barrovian examples, reflecting control of plagioclase growth or destruction. Strontium and Pb behaviors also appear to be largely related to plagioclase behavior (in subduction settings, this role can be played by phases such as lawsonite or epidote group minerals).Carbon dioxide mass transfer by conventional devolatilization as well as near-stoichiometric CaCO3 dissolution or precipitation is represented in the data set. Determining the relative roles of these processes as functions of metamorphic grade, intensity of fluid-rock interaction, and tectonic setting will be an important challenge for future research.","container-title":"American Mineralogist","DOI":"10.2138/am-2017-6130","ISSN":"0003-004X","issue":"9","journalAbbreviation":"American Mineralogist","page":"1796-1821","title":"Element mobility during regional metamorphism in crustal and subduction zone environments with a focus on the rare earth elements (REE)","volume":"102","author":[{"family":"Ague","given":"Jay J."}],"issued":{"date-parts":[["2017",9,1]]}}}],"schema":"https://github.com/citation-style-language/schema/raw/master/csl-citation.json"} </w:instrText>
      </w:r>
      <w:r w:rsidR="007D53F4" w:rsidRPr="00E73F02">
        <w:rPr>
          <w:rFonts w:ascii="Myriad Pro" w:hAnsi="Myriad Pro"/>
        </w:rPr>
        <w:fldChar w:fldCharType="separate"/>
      </w:r>
      <w:r w:rsidR="00A075D2" w:rsidRPr="00D95A7D">
        <w:rPr>
          <w:rFonts w:ascii="Myriad Pro" w:hAnsi="Myriad Pro"/>
          <w:szCs w:val="24"/>
        </w:rPr>
        <w:t>(Ague, 2017)</w:t>
      </w:r>
      <w:r w:rsidR="007D53F4" w:rsidRPr="00E73F02">
        <w:rPr>
          <w:rFonts w:ascii="Myriad Pro" w:hAnsi="Myriad Pro"/>
        </w:rPr>
        <w:fldChar w:fldCharType="end"/>
      </w:r>
      <w:r w:rsidRPr="00D95A7D">
        <w:rPr>
          <w:rFonts w:ascii="Myriad Pro" w:hAnsi="Myriad Pro"/>
        </w:rPr>
        <w:t xml:space="preserve">. In this study, </w:t>
      </w:r>
      <w:r w:rsidR="003C14BA" w:rsidRPr="00D95A7D">
        <w:rPr>
          <w:rFonts w:ascii="Myriad Pro" w:hAnsi="Myriad Pro"/>
        </w:rPr>
        <w:t>s</w:t>
      </w:r>
      <w:r w:rsidRPr="00D95A7D">
        <w:rPr>
          <w:rFonts w:ascii="Myriad Pro" w:hAnsi="Myriad Pro"/>
        </w:rPr>
        <w:t xml:space="preserve">candium displays generally constant bulk-rock composition across the metagabbro, except for </w:t>
      </w:r>
      <w:r w:rsidR="00A56C3F" w:rsidRPr="00D95A7D">
        <w:rPr>
          <w:rFonts w:ascii="Myriad Pro" w:hAnsi="Myriad Pro"/>
        </w:rPr>
        <w:t xml:space="preserve">sample </w:t>
      </w:r>
      <w:r w:rsidRPr="00D95A7D">
        <w:rPr>
          <w:rFonts w:ascii="Myriad Pro" w:hAnsi="Myriad Pro"/>
        </w:rPr>
        <w:t>B12 (Fig</w:t>
      </w:r>
      <w:r w:rsidR="007A45BD" w:rsidRPr="00D95A7D">
        <w:rPr>
          <w:rFonts w:ascii="Myriad Pro" w:hAnsi="Myriad Pro"/>
        </w:rPr>
        <w:t>ure</w:t>
      </w:r>
      <w:r w:rsidRPr="00D95A7D">
        <w:rPr>
          <w:rFonts w:ascii="Myriad Pro" w:hAnsi="Myriad Pro"/>
        </w:rPr>
        <w:t xml:space="preserve">. </w:t>
      </w:r>
      <w:r w:rsidR="00145B31" w:rsidRPr="00D95A7D">
        <w:rPr>
          <w:rFonts w:ascii="Myriad Pro" w:hAnsi="Myriad Pro"/>
        </w:rPr>
        <w:t>6b</w:t>
      </w:r>
      <w:r w:rsidRPr="00D95A7D">
        <w:rPr>
          <w:rFonts w:ascii="Myriad Pro" w:hAnsi="Myriad Pro"/>
        </w:rPr>
        <w:t>). It is likely that the analyzed B12 sample contained very little oxide phase that</w:t>
      </w:r>
      <w:r w:rsidR="00D82998" w:rsidRPr="00D95A7D">
        <w:rPr>
          <w:rFonts w:ascii="Myriad Pro" w:hAnsi="Myriad Pro"/>
        </w:rPr>
        <w:t xml:space="preserve"> likely host </w:t>
      </w:r>
      <w:r w:rsidRPr="00D95A7D">
        <w:rPr>
          <w:rFonts w:ascii="Myriad Pro" w:hAnsi="Myriad Pro"/>
        </w:rPr>
        <w:t xml:space="preserve">the bulk of Sc. However, the lack of a thin section for this sample preludes further scrutiny. The fluid immobility of </w:t>
      </w:r>
      <w:proofErr w:type="spellStart"/>
      <w:r w:rsidRPr="00D95A7D">
        <w:rPr>
          <w:rFonts w:ascii="Myriad Pro" w:hAnsi="Myriad Pro"/>
        </w:rPr>
        <w:t>Sc</w:t>
      </w:r>
      <w:proofErr w:type="spellEnd"/>
      <w:r w:rsidRPr="00D95A7D">
        <w:rPr>
          <w:rFonts w:ascii="Myriad Pro" w:hAnsi="Myriad Pro"/>
        </w:rPr>
        <w:t xml:space="preserve"> </w:t>
      </w:r>
      <w:r w:rsidR="00987AB9" w:rsidRPr="00D95A7D">
        <w:rPr>
          <w:rFonts w:ascii="Myriad Pro" w:hAnsi="Myriad Pro"/>
        </w:rPr>
        <w:t xml:space="preserve">makes it an ideal candidate as a reference element. </w:t>
      </w:r>
      <w:r w:rsidRPr="00D95A7D">
        <w:rPr>
          <w:rFonts w:ascii="Myriad Pro" w:hAnsi="Myriad Pro"/>
        </w:rPr>
        <w:t xml:space="preserve">Uranium and Th also display fluid immobility and can be </w:t>
      </w:r>
      <w:r w:rsidR="0003447F" w:rsidRPr="00D95A7D">
        <w:rPr>
          <w:rFonts w:ascii="Myriad Pro" w:hAnsi="Myriad Pro"/>
        </w:rPr>
        <w:t>used</w:t>
      </w:r>
      <w:r w:rsidRPr="00D95A7D">
        <w:rPr>
          <w:rFonts w:ascii="Myriad Pro" w:hAnsi="Myriad Pro"/>
        </w:rPr>
        <w:t xml:space="preserve"> as reference </w:t>
      </w:r>
      <w:r w:rsidR="00987AB9" w:rsidRPr="00D95A7D">
        <w:rPr>
          <w:rFonts w:ascii="Myriad Pro" w:hAnsi="Myriad Pro"/>
        </w:rPr>
        <w:t xml:space="preserve">elements </w:t>
      </w:r>
      <w:r w:rsidR="00987AB9" w:rsidRPr="00E73F02">
        <w:rPr>
          <w:rFonts w:ascii="Myriad Pro" w:hAnsi="Myriad Pro"/>
        </w:rPr>
        <w:fldChar w:fldCharType="begin"/>
      </w:r>
      <w:r w:rsidR="00A075D2" w:rsidRPr="00D95A7D">
        <w:rPr>
          <w:rFonts w:ascii="Myriad Pro" w:hAnsi="Myriad Pro"/>
        </w:rPr>
        <w:instrText xml:space="preserve"> ADDIN ZOTERO_ITEM CSL_CITATION {"citationID":"a258eg167et","properties":{"formattedCitation":"(Ague, 2017)","plainCitation":"(Ague, 2017)","noteIndex":0},"citationItems":[{"id":511,"uris":["http://zotero.org/users/3840662/items/RSDZEZ6E"],"uri":["http://zotero.org/users/3840662/items/RSDZEZ6E"],"itemData":{"id":511,"type":"article-journal","abstract":"This paper explores bulk-rock geochemical data for a wide array of metamorphosed mafic, quartzo-feldspathic, pelitic, and metacarbonate rocks using a quantitative mass-balance approach to assess fluid-driven element mobility—particularly of the rare earth elements (REE)—in regional metamorphic and some high-pressure subduction zone environments (40 examples; over 240 individual analyses). Most examples are from focused fluid flow settings, such as veins and lithologic contacts, where fluxes are large and metasomatic signals are thus strong. A variety of REE behaviors are observed, including little or no REE mobility (roughly a third of the data set); light REE (LREE), mid-REE (MREE), and/or heavy (HREE) mobility; europium “anomalies”; overall REE losses; and local REE redistribution. The REE are typically fractionated by mass transfer, with the exception of several examples that underwent fairly uniform overall losses of REE. The fractionation reflects strong mineralogical controls on REE uptake/loss by a comparatively small number of phases. Examples include: HREE mass changes associated with garnet, xenotime, and sphene; LREE and MREE changes associated with apatite, monazite, and allanite; and Eu changes associated with plagioclase and lawsonite. As mineralogy is a dominant control, the nature of the metasomatism is not strongly correlated with metamorphic grade, other than obvious mineralogical differences between settings (e.g., plagioclase in Barrovian metamorphism, lawsonite in subduction zones). Extensive mobilization of non-REE major and trace elements can happen without significant open-system transport of the REE. If REE mobility occurs, it is always accompanied by mobilization of other non-REE. When mobile, neighboring REE (e.g., Sm and Nd) typically have strongly correlated mass changes indicating that both were mobilized to about the same degree. Although individual examples of metasomatism can show correlations between patterns of mass transfer for the REE and the non-REE, little such correlation is evident across the entire data set, with the exception of P. Once again, this highlights the importance of individual minerals in controlling REE systematics. Broad correlations of REE and P mobility suggest REE transport by P complexes, or REE and P transport together by some other complexing agent. Mass changes for REE and Y are more strongly coupled, reflecting the geochemical similarity of these elements and perhaps indicating a role for Y complexing as well.The REE are the most mobile of the high field strength elements (HFSE). On a percentage mass basis, the amount of HFSE mobility decreases roughly in the order: REE &amp;gt; U &amp;gt; Nb &amp;gt; Ti &amp;gt; Th ~ Zr. Th mobility is rare but when present is positively correlated with U and REE mobility. The mobility of the more refractory HFSE is low in aqueous fluids, but is a larger concern in more extreme environments such as magmatic/magmatic-hydrothermal systems, charnockite metamorphism, and supercritical fluids in high-pressure/ultrahigh-pressure settings. The mobility of certain HFSE (e.g., Nb) can be large enough to affect rock plotting positions on petrotectonic discrimination diagrams.Potassium and related (Rb, Ba, Cs) large-ion lithophile elements (LILE) are typically lost in association with mica breakdown. As the data set focuses on high fluid flow environments, LILE changes will likely be smaller for rocks that undergo less fluid-rock interaction. Gains of K and related LILE are coupled to volatile gain and Na loss, consistent with fluid flow down temperature gradients, or infiltration from K-rich sources (e.g., pegmatites). In Barrovian settings, two other mass transfer trends are evident in addition to K mass transfer. First, silica loss is coupled to volatile loss, illustrating the dependence of silica mass transfer on devolatilization. Most of the silica loss reflects local mass transfer into adjacent vein fluid flow conduits were additional silica is precipitated; indeed, wallrock inclusions in veins can be highly silicified. Second, Na and Ca mass gains and losses are well correlated in the Barrovian examples, reflecting control of plagioclase growth or destruction. Strontium and Pb behaviors also appear to be largely related to plagioclase behavior (in subduction settings, this role can be played by phases such as lawsonite or epidote group minerals).Carbon dioxide mass transfer by conventional devolatilization as well as near-stoichiometric CaCO3 dissolution or precipitation is represented in the data set. Determining the relative roles of these processes as functions of metamorphic grade, intensity of fluid-rock interaction, and tectonic setting will be an important challenge for future research.","container-title":"American Mineralogist","DOI":"10.2138/am-2017-6130","ISSN":"0003-004X","issue":"9","journalAbbreviation":"American Mineralogist","page":"1796-1821","title":"Element mobility during regional metamorphism in crustal and subduction zone environments with a focus on the rare earth elements (REE)","volume":"102","author":[{"family":"Ague","given":"Jay J."}],"issued":{"date-parts":[["2017",9,1]]}}}],"schema":"https://github.com/citation-style-language/schema/raw/master/csl-citation.json"} </w:instrText>
      </w:r>
      <w:r w:rsidR="00987AB9" w:rsidRPr="00E73F02">
        <w:rPr>
          <w:rFonts w:ascii="Myriad Pro" w:hAnsi="Myriad Pro"/>
        </w:rPr>
        <w:fldChar w:fldCharType="separate"/>
      </w:r>
      <w:r w:rsidR="00A075D2" w:rsidRPr="00D95A7D">
        <w:rPr>
          <w:rFonts w:ascii="Myriad Pro" w:hAnsi="Myriad Pro"/>
          <w:szCs w:val="24"/>
        </w:rPr>
        <w:t>(Ague, 2017)</w:t>
      </w:r>
      <w:r w:rsidR="00987AB9" w:rsidRPr="00E73F02">
        <w:rPr>
          <w:rFonts w:ascii="Myriad Pro" w:hAnsi="Myriad Pro"/>
        </w:rPr>
        <w:fldChar w:fldCharType="end"/>
      </w:r>
      <w:r w:rsidRPr="00D95A7D">
        <w:rPr>
          <w:rFonts w:ascii="Myriad Pro" w:hAnsi="Myriad Pro"/>
        </w:rPr>
        <w:t xml:space="preserve">. We selected </w:t>
      </w:r>
      <w:proofErr w:type="spellStart"/>
      <w:r w:rsidRPr="00D95A7D">
        <w:rPr>
          <w:rFonts w:ascii="Myriad Pro" w:hAnsi="Myriad Pro"/>
        </w:rPr>
        <w:t>Sc</w:t>
      </w:r>
      <w:proofErr w:type="spellEnd"/>
      <w:r w:rsidRPr="00D95A7D">
        <w:rPr>
          <w:rFonts w:ascii="Myriad Pro" w:hAnsi="Myriad Pro"/>
        </w:rPr>
        <w:t xml:space="preserve"> as the geochemical reference frame over U and Th because of the larger analytical uncertainties associated with the very low abundances of U and Th in these rocks. In addition, the good agreement between the bulk-rock </w:t>
      </w:r>
      <w:proofErr w:type="spellStart"/>
      <w:r w:rsidRPr="00D95A7D">
        <w:rPr>
          <w:rFonts w:ascii="Myriad Pro" w:hAnsi="Myriad Pro"/>
        </w:rPr>
        <w:t>Sc</w:t>
      </w:r>
      <w:proofErr w:type="spellEnd"/>
      <w:r w:rsidRPr="00D95A7D">
        <w:rPr>
          <w:rFonts w:ascii="Myriad Pro" w:hAnsi="Myriad Pro"/>
        </w:rPr>
        <w:t xml:space="preserve"> concentrations measured by XRF and solution ICP-MS gives further confidence on the reliability of our </w:t>
      </w:r>
      <w:proofErr w:type="spellStart"/>
      <w:r w:rsidRPr="00D95A7D">
        <w:rPr>
          <w:rFonts w:ascii="Myriad Pro" w:hAnsi="Myriad Pro"/>
        </w:rPr>
        <w:t>Sc</w:t>
      </w:r>
      <w:proofErr w:type="spellEnd"/>
      <w:r w:rsidRPr="00D95A7D">
        <w:rPr>
          <w:rFonts w:ascii="Myriad Pro" w:hAnsi="Myriad Pro"/>
        </w:rPr>
        <w:t xml:space="preserve"> concentrations. For comparison, using Th </w:t>
      </w:r>
      <w:r w:rsidRPr="00D95A7D">
        <w:rPr>
          <w:rFonts w:ascii="Myriad Pro" w:hAnsi="Myriad Pro"/>
        </w:rPr>
        <w:lastRenderedPageBreak/>
        <w:t xml:space="preserve">as the reference element gave </w:t>
      </w:r>
      <w:r w:rsidR="0069157C" w:rsidRPr="00D95A7D">
        <w:rPr>
          <w:rFonts w:ascii="Myriad Pro" w:hAnsi="Myriad Pro"/>
        </w:rPr>
        <w:t>similar</w:t>
      </w:r>
      <w:r w:rsidRPr="00D95A7D">
        <w:rPr>
          <w:rFonts w:ascii="Myriad Pro" w:hAnsi="Myriad Pro"/>
        </w:rPr>
        <w:t xml:space="preserve"> trends of enrichment and depletion of major elements as with </w:t>
      </w:r>
      <w:proofErr w:type="spellStart"/>
      <w:r w:rsidRPr="00D95A7D">
        <w:rPr>
          <w:rFonts w:ascii="Myriad Pro" w:hAnsi="Myriad Pro"/>
        </w:rPr>
        <w:t>Sc</w:t>
      </w:r>
      <w:proofErr w:type="spellEnd"/>
      <w:r w:rsidRPr="00D95A7D">
        <w:rPr>
          <w:rFonts w:ascii="Myriad Pro" w:hAnsi="Myriad Pro"/>
        </w:rPr>
        <w:t xml:space="preserve"> but the quantitative estimates </w:t>
      </w:r>
      <w:r w:rsidR="003932F6" w:rsidRPr="00D95A7D">
        <w:rPr>
          <w:rFonts w:ascii="Myriad Pro" w:hAnsi="Myriad Pro"/>
        </w:rPr>
        <w:t xml:space="preserve">of gains and losses </w:t>
      </w:r>
      <w:r w:rsidRPr="00D95A7D">
        <w:rPr>
          <w:rFonts w:ascii="Myriad Pro" w:hAnsi="Myriad Pro"/>
        </w:rPr>
        <w:t>using Th were systematically larger. We only assessed the chemical changes of major elements after illustrating that the rare-earth element (REE) concentration of the most distal samples may already have been modified during prograde subduction</w:t>
      </w:r>
      <w:r w:rsidR="00FF15EE" w:rsidRPr="00D95A7D">
        <w:rPr>
          <w:rFonts w:ascii="Myriad Pro" w:hAnsi="Myriad Pro"/>
        </w:rPr>
        <w:t xml:space="preserve"> (see section 4.2)</w:t>
      </w:r>
      <w:r w:rsidRPr="00D95A7D">
        <w:rPr>
          <w:rFonts w:ascii="Myriad Pro" w:hAnsi="Myriad Pro"/>
        </w:rPr>
        <w:t>. When mass balance calculations are performed for REE, the strong LREE depletion in distal Zone V samples would artificially lead to unrealistic chemical changes in LREE (&gt; 1000 %)</w:t>
      </w:r>
      <w:r w:rsidR="007B3DEC" w:rsidRPr="00D95A7D">
        <w:rPr>
          <w:rFonts w:ascii="Myriad Pro" w:hAnsi="Myriad Pro"/>
        </w:rPr>
        <w:t xml:space="preserve"> in the more reacted samples. </w:t>
      </w:r>
      <w:r w:rsidR="007B3DEC" w:rsidRPr="00D95A7D">
        <w:rPr>
          <w:rFonts w:ascii="Myriad Pro" w:hAnsi="Myriad Pro"/>
        </w:rPr>
        <w:tab/>
      </w:r>
    </w:p>
    <w:p w:rsidR="00D10EBB" w:rsidRPr="00D95A7D" w:rsidRDefault="00D10EBB">
      <w:pPr>
        <w:pStyle w:val="NoSpacing"/>
        <w:ind w:firstLine="720"/>
        <w:jc w:val="both"/>
        <w:rPr>
          <w:rFonts w:ascii="Myriad Pro" w:hAnsi="Myriad Pro"/>
        </w:rPr>
      </w:pPr>
      <w:r w:rsidRPr="00D95A7D">
        <w:rPr>
          <w:rFonts w:ascii="Myriad Pro" w:hAnsi="Myriad Pro"/>
        </w:rPr>
        <w:t xml:space="preserve">In our studied transect, Zone II and III experienced significant gains in Mg, LOI, Ni, losses in Ca, and variable changes in Si, Al, and Fe. Zone IV experienced significant gains in Ca without significant changes in other elements. Elemental changes in Si, Al, </w:t>
      </w:r>
      <w:r w:rsidR="00C97D5E" w:rsidRPr="00D95A7D">
        <w:rPr>
          <w:rFonts w:ascii="Myriad Pro" w:hAnsi="Myriad Pro"/>
        </w:rPr>
        <w:t>and Fe</w:t>
      </w:r>
      <w:r w:rsidRPr="00D95A7D">
        <w:rPr>
          <w:rFonts w:ascii="Myriad Pro" w:hAnsi="Myriad Pro"/>
        </w:rPr>
        <w:t xml:space="preserve"> are variable across zones II, III and IV</w:t>
      </w:r>
      <w:r w:rsidR="00F07827">
        <w:rPr>
          <w:rFonts w:ascii="Myriad Pro" w:hAnsi="Myriad Pro"/>
        </w:rPr>
        <w:t xml:space="preserve"> </w:t>
      </w:r>
      <w:r w:rsidR="00F07827" w:rsidRPr="00F07827">
        <w:rPr>
          <w:rFonts w:ascii="Myriad Pro" w:hAnsi="Myriad Pro"/>
        </w:rPr>
        <w:t>(Figure S9)</w:t>
      </w:r>
      <w:r w:rsidRPr="00D95A7D">
        <w:rPr>
          <w:rFonts w:ascii="Myriad Pro" w:hAnsi="Myriad Pro"/>
        </w:rPr>
        <w:t xml:space="preserve">. Accounting for thickness of each zone and rock densities, the total mass of element that was gained or lost for each zone can be calculated. The results show that </w:t>
      </w:r>
      <w:r w:rsidR="00C97D5E" w:rsidRPr="00D95A7D">
        <w:rPr>
          <w:rFonts w:ascii="Myriad Pro" w:hAnsi="Myriad Pro"/>
        </w:rPr>
        <w:t xml:space="preserve">for the most dominant and characteristic chemical changes, </w:t>
      </w:r>
      <w:r w:rsidR="000E3E12" w:rsidRPr="00D95A7D">
        <w:rPr>
          <w:rFonts w:ascii="Myriad Pro" w:hAnsi="Myriad Pro"/>
        </w:rPr>
        <w:t xml:space="preserve">Zone II and III gained </w:t>
      </w:r>
      <w:r w:rsidR="003C0B67" w:rsidRPr="00D95A7D">
        <w:rPr>
          <w:rFonts w:ascii="Myriad Pro" w:hAnsi="Myriad Pro"/>
        </w:rPr>
        <w:t>~</w:t>
      </w:r>
      <w:r w:rsidR="000E3E12" w:rsidRPr="00D95A7D">
        <w:rPr>
          <w:rFonts w:ascii="Myriad Pro" w:hAnsi="Myriad Pro"/>
        </w:rPr>
        <w:t>110 kg/</w:t>
      </w:r>
      <w:r w:rsidRPr="00D95A7D">
        <w:rPr>
          <w:rFonts w:ascii="Myriad Pro" w:hAnsi="Myriad Pro"/>
        </w:rPr>
        <w:t>m</w:t>
      </w:r>
      <w:r w:rsidRPr="00105115">
        <w:rPr>
          <w:rFonts w:ascii="Myriad Pro" w:hAnsi="Myriad Pro"/>
          <w:vertAlign w:val="superscript"/>
        </w:rPr>
        <w:t>2</w:t>
      </w:r>
      <w:r w:rsidR="000E3E12" w:rsidRPr="00D95A7D">
        <w:rPr>
          <w:rFonts w:ascii="Myriad Pro" w:hAnsi="Myriad Pro"/>
        </w:rPr>
        <w:t xml:space="preserve"> MgO and </w:t>
      </w:r>
      <w:r w:rsidR="003C0B67" w:rsidRPr="00D95A7D">
        <w:rPr>
          <w:rFonts w:ascii="Myriad Pro" w:hAnsi="Myriad Pro"/>
        </w:rPr>
        <w:t>~</w:t>
      </w:r>
      <w:r w:rsidR="009175A2" w:rsidRPr="00D95A7D">
        <w:rPr>
          <w:rFonts w:ascii="Myriad Pro" w:hAnsi="Myriad Pro"/>
        </w:rPr>
        <w:t>51</w:t>
      </w:r>
      <w:r w:rsidR="000E3E12" w:rsidRPr="00D95A7D">
        <w:rPr>
          <w:rFonts w:ascii="Myriad Pro" w:hAnsi="Myriad Pro"/>
        </w:rPr>
        <w:t xml:space="preserve"> kg/m</w:t>
      </w:r>
      <w:r w:rsidR="000E3E12" w:rsidRPr="00D95A7D">
        <w:rPr>
          <w:rFonts w:ascii="Myriad Pro" w:hAnsi="Myriad Pro"/>
          <w:vertAlign w:val="superscript"/>
        </w:rPr>
        <w:t>2</w:t>
      </w:r>
      <w:r w:rsidR="000E3E12" w:rsidRPr="00D95A7D">
        <w:rPr>
          <w:rFonts w:ascii="Myriad Pro" w:hAnsi="Myriad Pro"/>
        </w:rPr>
        <w:t xml:space="preserve"> H</w:t>
      </w:r>
      <w:r w:rsidR="000E3E12" w:rsidRPr="00105115">
        <w:rPr>
          <w:rFonts w:ascii="Myriad Pro" w:hAnsi="Myriad Pro"/>
          <w:vertAlign w:val="subscript"/>
        </w:rPr>
        <w:t>2</w:t>
      </w:r>
      <w:r w:rsidR="000E3E12" w:rsidRPr="00D95A7D">
        <w:rPr>
          <w:rFonts w:ascii="Myriad Pro" w:hAnsi="Myriad Pro"/>
        </w:rPr>
        <w:t xml:space="preserve">O, and lost </w:t>
      </w:r>
      <w:r w:rsidR="003C0B67" w:rsidRPr="00D95A7D">
        <w:rPr>
          <w:rFonts w:ascii="Myriad Pro" w:hAnsi="Myriad Pro"/>
        </w:rPr>
        <w:t>~</w:t>
      </w:r>
      <w:r w:rsidR="000E3E12" w:rsidRPr="00D95A7D">
        <w:rPr>
          <w:rFonts w:ascii="Myriad Pro" w:hAnsi="Myriad Pro"/>
        </w:rPr>
        <w:t>12 kg/</w:t>
      </w:r>
      <w:r w:rsidRPr="00D95A7D">
        <w:rPr>
          <w:rFonts w:ascii="Myriad Pro" w:hAnsi="Myriad Pro"/>
        </w:rPr>
        <w:t>m</w:t>
      </w:r>
      <w:r w:rsidRPr="00105115">
        <w:rPr>
          <w:rFonts w:ascii="Myriad Pro" w:hAnsi="Myriad Pro"/>
          <w:vertAlign w:val="superscript"/>
        </w:rPr>
        <w:t>2</w:t>
      </w:r>
      <w:r w:rsidRPr="00D95A7D">
        <w:rPr>
          <w:rFonts w:ascii="Myriad Pro" w:hAnsi="Myriad Pro"/>
        </w:rPr>
        <w:t xml:space="preserve"> </w:t>
      </w:r>
      <w:proofErr w:type="spellStart"/>
      <w:r w:rsidRPr="00D95A7D">
        <w:rPr>
          <w:rFonts w:ascii="Myriad Pro" w:hAnsi="Myriad Pro"/>
        </w:rPr>
        <w:t>CaO</w:t>
      </w:r>
      <w:proofErr w:type="spellEnd"/>
      <w:r w:rsidRPr="00D95A7D">
        <w:rPr>
          <w:rFonts w:ascii="Myriad Pro" w:hAnsi="Myriad Pro"/>
        </w:rPr>
        <w:t xml:space="preserve">. In addition, calculations show that Zone IV gained </w:t>
      </w:r>
      <w:r w:rsidR="003C0B67" w:rsidRPr="00D95A7D">
        <w:rPr>
          <w:rFonts w:ascii="Myriad Pro" w:hAnsi="Myriad Pro"/>
        </w:rPr>
        <w:t>~</w:t>
      </w:r>
      <w:r w:rsidR="000E3E12" w:rsidRPr="00D95A7D">
        <w:rPr>
          <w:rFonts w:ascii="Myriad Pro" w:hAnsi="Myriad Pro"/>
        </w:rPr>
        <w:t xml:space="preserve">104 </w:t>
      </w:r>
      <w:r w:rsidRPr="00D95A7D">
        <w:rPr>
          <w:rFonts w:ascii="Myriad Pro" w:hAnsi="Myriad Pro"/>
        </w:rPr>
        <w:t>kg</w:t>
      </w:r>
      <w:r w:rsidR="000E3E12" w:rsidRPr="00D95A7D">
        <w:rPr>
          <w:rFonts w:ascii="Myriad Pro" w:hAnsi="Myriad Pro"/>
        </w:rPr>
        <w:t>/</w:t>
      </w:r>
      <w:r w:rsidRPr="00D95A7D">
        <w:rPr>
          <w:rFonts w:ascii="Myriad Pro" w:hAnsi="Myriad Pro"/>
        </w:rPr>
        <w:t>m</w:t>
      </w:r>
      <w:r w:rsidRPr="00105115">
        <w:rPr>
          <w:rFonts w:ascii="Myriad Pro" w:hAnsi="Myriad Pro"/>
          <w:vertAlign w:val="superscript"/>
        </w:rPr>
        <w:t>2</w:t>
      </w:r>
      <w:r w:rsidRPr="00D95A7D">
        <w:rPr>
          <w:rFonts w:ascii="Myriad Pro" w:hAnsi="Myriad Pro"/>
        </w:rPr>
        <w:t xml:space="preserve"> </w:t>
      </w:r>
      <w:proofErr w:type="spellStart"/>
      <w:r w:rsidRPr="00D95A7D">
        <w:rPr>
          <w:rFonts w:ascii="Myriad Pro" w:hAnsi="Myriad Pro"/>
        </w:rPr>
        <w:t>CaO</w:t>
      </w:r>
      <w:proofErr w:type="spellEnd"/>
      <w:r w:rsidRPr="00D95A7D">
        <w:rPr>
          <w:rFonts w:ascii="Myriad Pro" w:hAnsi="Myriad Pro"/>
        </w:rPr>
        <w:t xml:space="preserve"> and </w:t>
      </w:r>
      <w:r w:rsidR="003C0B67" w:rsidRPr="00D95A7D">
        <w:rPr>
          <w:rFonts w:ascii="Myriad Pro" w:hAnsi="Myriad Pro"/>
        </w:rPr>
        <w:t>~</w:t>
      </w:r>
      <w:r w:rsidR="000E3E12" w:rsidRPr="00D95A7D">
        <w:rPr>
          <w:rFonts w:ascii="Myriad Pro" w:hAnsi="Myriad Pro"/>
        </w:rPr>
        <w:t>17 kg/</w:t>
      </w:r>
      <w:r w:rsidRPr="00D95A7D">
        <w:rPr>
          <w:rFonts w:ascii="Myriad Pro" w:hAnsi="Myriad Pro"/>
        </w:rPr>
        <w:t>m</w:t>
      </w:r>
      <w:r w:rsidRPr="00105115">
        <w:rPr>
          <w:rFonts w:ascii="Myriad Pro" w:hAnsi="Myriad Pro"/>
          <w:vertAlign w:val="superscript"/>
        </w:rPr>
        <w:t>2</w:t>
      </w:r>
      <w:r w:rsidRPr="00D95A7D">
        <w:rPr>
          <w:rFonts w:ascii="Myriad Pro" w:hAnsi="Myriad Pro"/>
        </w:rPr>
        <w:t xml:space="preserve"> MgO.</w:t>
      </w:r>
    </w:p>
    <w:p w:rsidR="00B66DFD" w:rsidRPr="00D95A7D" w:rsidRDefault="00B66DFD" w:rsidP="00B66DFD">
      <w:pPr>
        <w:pStyle w:val="NoSpacing"/>
        <w:ind w:firstLine="720"/>
        <w:jc w:val="both"/>
        <w:rPr>
          <w:rFonts w:ascii="Myriad Pro" w:hAnsi="Myriad Pro"/>
        </w:rPr>
      </w:pPr>
    </w:p>
    <w:p w:rsidR="00B66DFD" w:rsidRPr="00D95A7D" w:rsidRDefault="00B66DFD" w:rsidP="00B66DFD">
      <w:pPr>
        <w:rPr>
          <w:rFonts w:ascii="Myriad Pro" w:hAnsi="Myriad Pro"/>
          <w:szCs w:val="24"/>
        </w:rPr>
      </w:pPr>
    </w:p>
    <w:p w:rsidR="00B66DFD" w:rsidRPr="00D95A7D" w:rsidRDefault="00B66DFD" w:rsidP="00B66DFD">
      <w:pPr>
        <w:rPr>
          <w:rFonts w:ascii="Myriad Pro" w:hAnsi="Myriad Pro"/>
          <w:sz w:val="22"/>
          <w:szCs w:val="24"/>
        </w:rPr>
      </w:pPr>
      <w:r w:rsidRPr="00D95A7D">
        <w:rPr>
          <w:rFonts w:ascii="Myriad Pro" w:hAnsi="Myriad Pro"/>
          <w:sz w:val="22"/>
          <w:szCs w:val="24"/>
        </w:rPr>
        <w:t>References</w:t>
      </w:r>
    </w:p>
    <w:p w:rsidR="003F25E0" w:rsidRPr="003F25E0" w:rsidRDefault="00B66DFD" w:rsidP="003F25E0">
      <w:pPr>
        <w:pStyle w:val="Bibliography"/>
        <w:rPr>
          <w:rFonts w:ascii="Myriad Pro" w:hAnsi="Myriad Pro"/>
          <w:sz w:val="22"/>
        </w:rPr>
      </w:pPr>
      <w:r w:rsidRPr="00E73F02">
        <w:rPr>
          <w:rFonts w:ascii="Myriad Pro" w:hAnsi="Myriad Pro"/>
          <w:sz w:val="22"/>
        </w:rPr>
        <w:fldChar w:fldCharType="begin"/>
      </w:r>
      <w:r w:rsidR="003F25E0">
        <w:rPr>
          <w:rFonts w:ascii="Myriad Pro" w:hAnsi="Myriad Pro"/>
          <w:sz w:val="22"/>
        </w:rPr>
        <w:instrText xml:space="preserve"> ADDIN ZOTERO_BIBL {"uncited":[],"omitted":[],"custom":[]} CSL_BIBLIOGRAPHY </w:instrText>
      </w:r>
      <w:r w:rsidRPr="00E73F02">
        <w:rPr>
          <w:rFonts w:ascii="Myriad Pro" w:hAnsi="Myriad Pro"/>
          <w:sz w:val="22"/>
        </w:rPr>
        <w:fldChar w:fldCharType="separate"/>
      </w:r>
      <w:r w:rsidR="003F25E0" w:rsidRPr="003F25E0">
        <w:rPr>
          <w:rFonts w:ascii="Myriad Pro" w:hAnsi="Myriad Pro"/>
          <w:sz w:val="22"/>
        </w:rPr>
        <w:t>Ague, J., van Haren, J., 1996. Assessing metasomatic mass and volume changes using the bootstrap, with application to deep crustal hydrothermal alteration of marble. Economic Geology 91, 1169–1182. https://doi.org/10.2113/gsecongeo.91.7.1169</w:t>
      </w:r>
    </w:p>
    <w:p w:rsidR="003F25E0" w:rsidRPr="003F25E0" w:rsidRDefault="003F25E0" w:rsidP="003F25E0">
      <w:pPr>
        <w:pStyle w:val="Bibliography"/>
        <w:rPr>
          <w:rFonts w:ascii="Myriad Pro" w:hAnsi="Myriad Pro"/>
          <w:sz w:val="22"/>
        </w:rPr>
      </w:pPr>
      <w:r w:rsidRPr="003F25E0">
        <w:rPr>
          <w:rFonts w:ascii="Myriad Pro" w:hAnsi="Myriad Pro"/>
          <w:sz w:val="22"/>
        </w:rPr>
        <w:t>Ague, J.J., 2017. Element mobility during regional metamorphism in crustal and subduction zone environments with a focus on the rare earth elements (REE). American Mineralogist 102, 1796–1821. https://doi.org/10.2138/am-2017-6130</w:t>
      </w:r>
    </w:p>
    <w:p w:rsidR="003F25E0" w:rsidRPr="003F25E0" w:rsidRDefault="003F25E0" w:rsidP="003F25E0">
      <w:pPr>
        <w:pStyle w:val="Bibliography"/>
        <w:rPr>
          <w:rFonts w:ascii="Myriad Pro" w:hAnsi="Myriad Pro"/>
          <w:sz w:val="22"/>
        </w:rPr>
      </w:pPr>
      <w:r w:rsidRPr="003F25E0">
        <w:rPr>
          <w:rFonts w:ascii="Myriad Pro" w:hAnsi="Myriad Pro"/>
          <w:sz w:val="22"/>
        </w:rPr>
        <w:t>Ague, J.J., Nicolescu, S., 2014. Carbon dioxide released from subduction zones by fluid-mediated reactions. Nature Geoscience 7, 355.</w:t>
      </w:r>
    </w:p>
    <w:p w:rsidR="003F25E0" w:rsidRPr="003F25E0" w:rsidRDefault="003F25E0" w:rsidP="003F25E0">
      <w:pPr>
        <w:pStyle w:val="Bibliography"/>
        <w:rPr>
          <w:rFonts w:ascii="Myriad Pro" w:hAnsi="Myriad Pro"/>
          <w:sz w:val="22"/>
        </w:rPr>
      </w:pPr>
      <w:r w:rsidRPr="003F25E0">
        <w:rPr>
          <w:rFonts w:ascii="Myriad Pro" w:hAnsi="Myriad Pro"/>
          <w:sz w:val="22"/>
        </w:rPr>
        <w:t>Bach, W., Klein, F., 2009. The petrology of seafloor rodingites: Insights from geochemical reaction path modeling. Lithos 112, 103–117. https://doi.org/10.1016/j.lithos.2008.10.022</w:t>
      </w:r>
    </w:p>
    <w:p w:rsidR="003F25E0" w:rsidRPr="003F25E0" w:rsidRDefault="003F25E0" w:rsidP="003F25E0">
      <w:pPr>
        <w:pStyle w:val="Bibliography"/>
        <w:rPr>
          <w:rFonts w:ascii="Myriad Pro" w:hAnsi="Myriad Pro"/>
          <w:sz w:val="22"/>
        </w:rPr>
      </w:pPr>
      <w:r w:rsidRPr="003F25E0">
        <w:rPr>
          <w:rFonts w:ascii="Myriad Pro" w:hAnsi="Myriad Pro"/>
          <w:sz w:val="22"/>
        </w:rPr>
        <w:t>Baxter, E.F., DePaolo, D.J., 2002. Field measurement of high temperature bulk reaction rates II: Interpretation of results from a field site near Simplon Pass, Switzerland. American Journal of Science 302, 465–516. https://doi.org/10.2475/ajs.302.6.465</w:t>
      </w:r>
    </w:p>
    <w:p w:rsidR="003F25E0" w:rsidRPr="003F25E0" w:rsidRDefault="003F25E0" w:rsidP="003F25E0">
      <w:pPr>
        <w:pStyle w:val="Bibliography"/>
        <w:rPr>
          <w:rFonts w:ascii="Myriad Pro" w:hAnsi="Myriad Pro"/>
          <w:sz w:val="22"/>
        </w:rPr>
      </w:pPr>
      <w:r w:rsidRPr="003F25E0">
        <w:rPr>
          <w:rFonts w:ascii="Myriad Pro" w:hAnsi="Myriad Pro"/>
          <w:sz w:val="22"/>
        </w:rPr>
        <w:t>Coggon, R., Holland, T.J.B., 2002. Mixing properties of phengitic micas and revised garnet-phengite thermobarometers. Journal of Metamorphic Geology 20, 683–696. https://doi.org/10.1046/j.1525-1314.2002.00395.x</w:t>
      </w:r>
    </w:p>
    <w:p w:rsidR="003F25E0" w:rsidRPr="003F25E0" w:rsidRDefault="003F25E0" w:rsidP="003F25E0">
      <w:pPr>
        <w:pStyle w:val="Bibliography"/>
        <w:rPr>
          <w:rFonts w:ascii="Myriad Pro" w:hAnsi="Myriad Pro"/>
          <w:sz w:val="22"/>
        </w:rPr>
      </w:pPr>
      <w:r w:rsidRPr="003F25E0">
        <w:rPr>
          <w:rFonts w:ascii="Myriad Pro" w:hAnsi="Myriad Pro"/>
          <w:sz w:val="22"/>
        </w:rPr>
        <w:t>Connolly, J.A.D., 2009. The geodynamic equation of state: What and how. Geochemistry, Geophysics, Geosystems 10. https://doi.org/10.1029/2009GC002540</w:t>
      </w:r>
    </w:p>
    <w:p w:rsidR="003F25E0" w:rsidRPr="003F25E0" w:rsidRDefault="003F25E0" w:rsidP="003F25E0">
      <w:pPr>
        <w:pStyle w:val="Bibliography"/>
        <w:rPr>
          <w:rFonts w:ascii="Myriad Pro" w:hAnsi="Myriad Pro"/>
          <w:sz w:val="22"/>
        </w:rPr>
      </w:pPr>
      <w:r w:rsidRPr="003F25E0">
        <w:rPr>
          <w:rFonts w:ascii="Myriad Pro" w:hAnsi="Myriad Pro"/>
          <w:sz w:val="22"/>
        </w:rPr>
        <w:t>Diener, J.F.A., Powell, R., 2012. Revised activity–composition models for clinopyroxene and amphibole. Journal of Metamorphic Geology 30, 131–142. https://doi.org/10.1111/j.1525-1314.2011.00959.x</w:t>
      </w:r>
    </w:p>
    <w:p w:rsidR="003F25E0" w:rsidRPr="003F25E0" w:rsidRDefault="003F25E0" w:rsidP="003F25E0">
      <w:pPr>
        <w:pStyle w:val="Bibliography"/>
        <w:rPr>
          <w:rFonts w:ascii="Myriad Pro" w:hAnsi="Myriad Pro"/>
          <w:sz w:val="22"/>
        </w:rPr>
      </w:pPr>
      <w:r w:rsidRPr="003F25E0">
        <w:rPr>
          <w:rFonts w:ascii="Myriad Pro" w:hAnsi="Myriad Pro"/>
          <w:sz w:val="22"/>
        </w:rPr>
        <w:t>Downs, R.T., 2006. The RRUFF Project: an integrated study of the chemistry, crystallography, Raman and infrared spectroscopy of minerals. Program and Abstracts of the 19th General Meeting of the International Mineralogical Association in Kobe, Japan. https://doi.org/O03-13</w:t>
      </w:r>
    </w:p>
    <w:p w:rsidR="003F25E0" w:rsidRPr="003F25E0" w:rsidRDefault="003F25E0" w:rsidP="003F25E0">
      <w:pPr>
        <w:pStyle w:val="Bibliography"/>
        <w:rPr>
          <w:rFonts w:ascii="Myriad Pro" w:hAnsi="Myriad Pro"/>
          <w:sz w:val="22"/>
        </w:rPr>
      </w:pPr>
      <w:r w:rsidRPr="003F25E0">
        <w:rPr>
          <w:rFonts w:ascii="Myriad Pro" w:hAnsi="Myriad Pro"/>
          <w:sz w:val="22"/>
        </w:rPr>
        <w:t>Grant, J.A., 1986. The isocon diagram; a simple solution to Gresens’ equation for metasomatic alteration. Economic Geology 81, 1976–1982. https://doi.org/10.2113/gsecongeo.81.8.1976</w:t>
      </w:r>
    </w:p>
    <w:p w:rsidR="003F25E0" w:rsidRPr="003F25E0" w:rsidRDefault="003F25E0" w:rsidP="003F25E0">
      <w:pPr>
        <w:pStyle w:val="Bibliography"/>
        <w:rPr>
          <w:rFonts w:ascii="Myriad Pro" w:hAnsi="Myriad Pro"/>
          <w:sz w:val="22"/>
        </w:rPr>
      </w:pPr>
      <w:r w:rsidRPr="003F25E0">
        <w:rPr>
          <w:rFonts w:ascii="Myriad Pro" w:hAnsi="Myriad Pro"/>
          <w:sz w:val="22"/>
        </w:rPr>
        <w:t>Green, E., Holland, T., Powell, R., 2007. An order-disorder model for omphacitic pyroxenes in the system jadeite-diopside-hedenbergite-acmite, with applications to eclogitic rocks. American Mineralogist 92, 1181–1189. https://doi.org/10.2138/am.2007.2401</w:t>
      </w:r>
    </w:p>
    <w:p w:rsidR="003F25E0" w:rsidRPr="003F25E0" w:rsidRDefault="003F25E0" w:rsidP="003F25E0">
      <w:pPr>
        <w:pStyle w:val="Bibliography"/>
        <w:rPr>
          <w:rFonts w:ascii="Myriad Pro" w:hAnsi="Myriad Pro"/>
          <w:sz w:val="22"/>
        </w:rPr>
      </w:pPr>
      <w:r w:rsidRPr="003F25E0">
        <w:rPr>
          <w:rFonts w:ascii="Myriad Pro" w:hAnsi="Myriad Pro"/>
          <w:sz w:val="22"/>
        </w:rPr>
        <w:lastRenderedPageBreak/>
        <w:t>Gresens, R.L., 1967. Composition-volume relationships of metasomatism. Chemical Geology 2, 47–65. https://doi.org/10.1016/0009-2541(67)90004-6</w:t>
      </w:r>
    </w:p>
    <w:p w:rsidR="003F25E0" w:rsidRPr="003F25E0" w:rsidRDefault="003F25E0" w:rsidP="003F25E0">
      <w:pPr>
        <w:pStyle w:val="Bibliography"/>
        <w:rPr>
          <w:rFonts w:ascii="Myriad Pro" w:hAnsi="Myriad Pro"/>
          <w:sz w:val="22"/>
        </w:rPr>
      </w:pPr>
      <w:r w:rsidRPr="003F25E0">
        <w:rPr>
          <w:rFonts w:ascii="Myriad Pro" w:hAnsi="Myriad Pro"/>
          <w:sz w:val="22"/>
        </w:rPr>
        <w:t>Helgeson, H.C., 1969. Thermodynamics of hydrothermal systems at elevated temperatures and pressures. Am J Sci 267, 729. https://doi.org/10.2475/ajs.267.7.729</w:t>
      </w:r>
    </w:p>
    <w:p w:rsidR="003F25E0" w:rsidRPr="003F25E0" w:rsidRDefault="003F25E0" w:rsidP="003F25E0">
      <w:pPr>
        <w:pStyle w:val="Bibliography"/>
        <w:rPr>
          <w:rFonts w:ascii="Myriad Pro" w:hAnsi="Myriad Pro"/>
          <w:sz w:val="22"/>
        </w:rPr>
      </w:pPr>
      <w:r w:rsidRPr="003F25E0">
        <w:rPr>
          <w:rFonts w:ascii="Myriad Pro" w:hAnsi="Myriad Pro"/>
          <w:sz w:val="22"/>
        </w:rPr>
        <w:t>Holland, T., Powell, R., 2003. Activity–composition relations for phases in petrological calculations: an asymmetric multicomponent formulation. Contributions to Mineralogy and Petrology 145, 492–501. https://doi.org/10.1007/s00410-003-0464-z</w:t>
      </w:r>
    </w:p>
    <w:p w:rsidR="003F25E0" w:rsidRPr="003F25E0" w:rsidRDefault="003F25E0" w:rsidP="003F25E0">
      <w:pPr>
        <w:pStyle w:val="Bibliography"/>
        <w:rPr>
          <w:rFonts w:ascii="Myriad Pro" w:hAnsi="Myriad Pro"/>
          <w:sz w:val="22"/>
        </w:rPr>
      </w:pPr>
      <w:r w:rsidRPr="003F25E0">
        <w:rPr>
          <w:rFonts w:ascii="Myriad Pro" w:hAnsi="Myriad Pro"/>
          <w:sz w:val="22"/>
        </w:rPr>
        <w:t>Holland, T.J.B., Powell, R., 1998. An internally consistent thermodynamic data set for phases of petrological interest. Journal of Metamorphic Geology 16, 309–343. https://doi.org/10.1111/j.1525-1314.1998.00140.x</w:t>
      </w:r>
    </w:p>
    <w:p w:rsidR="003F25E0" w:rsidRPr="003F25E0" w:rsidRDefault="003F25E0" w:rsidP="003F25E0">
      <w:pPr>
        <w:pStyle w:val="Bibliography"/>
        <w:rPr>
          <w:rFonts w:ascii="Myriad Pro" w:hAnsi="Myriad Pro"/>
          <w:sz w:val="22"/>
        </w:rPr>
      </w:pPr>
      <w:r w:rsidRPr="003F25E0">
        <w:rPr>
          <w:rFonts w:ascii="Myriad Pro" w:hAnsi="Myriad Pro"/>
          <w:sz w:val="22"/>
        </w:rPr>
        <w:t>Huang, F., Sverjensky, D.A., 2019. Extended Deep Earth Water Model for predicting major element mantle metasomatism. Geochimica et Cosmochimica Acta 254, 192–230. https://doi.org/10.1016/j.gca.2019.03.027</w:t>
      </w:r>
    </w:p>
    <w:p w:rsidR="003F25E0" w:rsidRPr="003F25E0" w:rsidRDefault="003F25E0" w:rsidP="003F25E0">
      <w:pPr>
        <w:pStyle w:val="Bibliography"/>
        <w:rPr>
          <w:rFonts w:ascii="Myriad Pro" w:hAnsi="Myriad Pro"/>
          <w:sz w:val="22"/>
        </w:rPr>
      </w:pPr>
      <w:r w:rsidRPr="003F25E0">
        <w:rPr>
          <w:rFonts w:ascii="Myriad Pro" w:hAnsi="Myriad Pro"/>
          <w:sz w:val="22"/>
        </w:rPr>
        <w:t>Lafuente, B., Downs, R.T., Yang, H., Stone, N., 2015. Highlights in Mineralogical Crystallography, in: Armbruster, T., Danisi, R.M. (Eds.), . De Gruyter (O), pp. 1–30. https://doi.org/10.1515/9783110417104-003</w:t>
      </w:r>
    </w:p>
    <w:p w:rsidR="003F25E0" w:rsidRPr="003F25E0" w:rsidRDefault="003F25E0" w:rsidP="003F25E0">
      <w:pPr>
        <w:pStyle w:val="Bibliography"/>
        <w:rPr>
          <w:rFonts w:ascii="Myriad Pro" w:hAnsi="Myriad Pro"/>
          <w:sz w:val="22"/>
        </w:rPr>
      </w:pPr>
      <w:r w:rsidRPr="003F25E0">
        <w:rPr>
          <w:rFonts w:ascii="Myriad Pro" w:hAnsi="Myriad Pro"/>
          <w:sz w:val="22"/>
        </w:rPr>
        <w:t>Lanari, P., Engi, M., 2017. Local Bulk Composition Effects on Metamorphic Mineral Assemblages. Reviews in Mineralogy and Geochemistry 83, 55–102. https://doi.org/10.2138/rmg.2017.83.3</w:t>
      </w:r>
    </w:p>
    <w:p w:rsidR="003F25E0" w:rsidRPr="003F25E0" w:rsidRDefault="003F25E0" w:rsidP="003F25E0">
      <w:pPr>
        <w:pStyle w:val="Bibliography"/>
        <w:rPr>
          <w:rFonts w:ascii="Myriad Pro" w:hAnsi="Myriad Pro"/>
          <w:sz w:val="22"/>
        </w:rPr>
      </w:pPr>
      <w:r w:rsidRPr="003F25E0">
        <w:rPr>
          <w:rFonts w:ascii="Myriad Pro" w:hAnsi="Myriad Pro"/>
          <w:sz w:val="22"/>
        </w:rPr>
        <w:t>McDonough, W.F., Sun, S. -s., 1995. The composition of the Earth. Chemical Geology 120, 223–253. https://doi.org/10.1016/0009-2541(94)00140-4</w:t>
      </w:r>
    </w:p>
    <w:p w:rsidR="003F25E0" w:rsidRPr="003F25E0" w:rsidRDefault="003F25E0" w:rsidP="003F25E0">
      <w:pPr>
        <w:pStyle w:val="Bibliography"/>
        <w:rPr>
          <w:rFonts w:ascii="Myriad Pro" w:hAnsi="Myriad Pro"/>
          <w:sz w:val="22"/>
        </w:rPr>
      </w:pPr>
      <w:r w:rsidRPr="003F25E0">
        <w:rPr>
          <w:rFonts w:ascii="Myriad Pro" w:hAnsi="Myriad Pro"/>
          <w:sz w:val="22"/>
        </w:rPr>
        <w:t>Penniston-Dorland, S.C., Ferry, J.M., 2008. Element mobility and scale of mass transport in the formation of quartz veins during regional metamorphism of the Waits River Formation, east-central Vermont. American Mineralogist 93, 7–21. https://doi.org/10.2138/am.2008.2461</w:t>
      </w:r>
    </w:p>
    <w:p w:rsidR="003F25E0" w:rsidRPr="003F25E0" w:rsidRDefault="003F25E0" w:rsidP="003F25E0">
      <w:pPr>
        <w:pStyle w:val="Bibliography"/>
        <w:rPr>
          <w:rFonts w:ascii="Myriad Pro" w:hAnsi="Myriad Pro"/>
          <w:sz w:val="22"/>
        </w:rPr>
      </w:pPr>
      <w:r w:rsidRPr="003F25E0">
        <w:rPr>
          <w:rFonts w:ascii="Myriad Pro" w:hAnsi="Myriad Pro"/>
          <w:sz w:val="22"/>
        </w:rPr>
        <w:t>Petriglieri, J.R., Salvioli-Mariani, E., Mantovani, L., Tribaudino, M., Lottici, P.P., Laporte-Magoni, C., Bersani, D., 2015. Micro-Raman mapping of the polymorphs of serpentine. Journal of Raman Spectroscopy 46, 953–958. https://doi.org/10.1002/jrs.4695</w:t>
      </w:r>
    </w:p>
    <w:p w:rsidR="003F25E0" w:rsidRPr="003F25E0" w:rsidRDefault="003F25E0" w:rsidP="003F25E0">
      <w:pPr>
        <w:pStyle w:val="Bibliography"/>
        <w:rPr>
          <w:rFonts w:ascii="Myriad Pro" w:hAnsi="Myriad Pro"/>
          <w:sz w:val="22"/>
        </w:rPr>
      </w:pPr>
      <w:r w:rsidRPr="003F25E0">
        <w:rPr>
          <w:rFonts w:ascii="Myriad Pro" w:hAnsi="Myriad Pro"/>
          <w:sz w:val="22"/>
        </w:rPr>
        <w:t>Starr, P.G., Broadwell, K.S., Dragovic, B., Scambelluri, M., Haws, A.A., Caddick, M.J., Smye, A.J., Baxter, E.F., 2020. The subduction and exhumation history of the Voltri Ophiolite, Italy: Evaluating exhumation mechanisms for high-pressure metamorphic massifs. Lithos 376–377, 105767. https://doi.org/10.1016/j.lithos.2020.105767</w:t>
      </w:r>
    </w:p>
    <w:p w:rsidR="003F25E0" w:rsidRPr="003F25E0" w:rsidRDefault="003F25E0" w:rsidP="003F25E0">
      <w:pPr>
        <w:pStyle w:val="Bibliography"/>
        <w:rPr>
          <w:rFonts w:ascii="Myriad Pro" w:hAnsi="Myriad Pro"/>
          <w:sz w:val="22"/>
        </w:rPr>
      </w:pPr>
      <w:r w:rsidRPr="003F25E0">
        <w:rPr>
          <w:rFonts w:ascii="Myriad Pro" w:hAnsi="Myriad Pro"/>
          <w:sz w:val="22"/>
        </w:rPr>
        <w:t>Sverjensky, D.A., 2019. Thermodynamic modelling of fluids from surficial to mantle conditions. Journal of the Geological Society 176, 348. https://doi.org/10.1144/jgs2018-105</w:t>
      </w:r>
    </w:p>
    <w:p w:rsidR="003F25E0" w:rsidRPr="003F25E0" w:rsidRDefault="003F25E0" w:rsidP="003F25E0">
      <w:pPr>
        <w:pStyle w:val="Bibliography"/>
        <w:rPr>
          <w:rFonts w:ascii="Myriad Pro" w:hAnsi="Myriad Pro"/>
          <w:sz w:val="22"/>
        </w:rPr>
      </w:pPr>
      <w:r w:rsidRPr="003F25E0">
        <w:rPr>
          <w:rFonts w:ascii="Myriad Pro" w:hAnsi="Myriad Pro"/>
          <w:sz w:val="22"/>
        </w:rPr>
        <w:t>Sverjensky, D.A., Harrison, B., Azzolini, D., 2014. Water in the deep Earth: The dielectric constant and the solubilities of quartz and corundum to 60kb and 1200°C. Geochimica et Cosmochimica Acta 129, 125–145. https://doi.org/10.1016/j.gca.2013.12.019</w:t>
      </w:r>
    </w:p>
    <w:p w:rsidR="003F25E0" w:rsidRPr="003F25E0" w:rsidRDefault="003F25E0" w:rsidP="003F25E0">
      <w:pPr>
        <w:pStyle w:val="Bibliography"/>
        <w:rPr>
          <w:rFonts w:ascii="Myriad Pro" w:hAnsi="Myriad Pro"/>
          <w:sz w:val="22"/>
        </w:rPr>
      </w:pPr>
      <w:r w:rsidRPr="003F25E0">
        <w:rPr>
          <w:rFonts w:ascii="Myriad Pro" w:hAnsi="Myriad Pro"/>
          <w:sz w:val="22"/>
        </w:rPr>
        <w:t>Tribuzio, R., Messiga, B., Vannucci, R., Bottazzi, P., 1996. Rare earth element redistribution during high-pressure–low-temperature metamorphism in ophiolitic Fe-gabbros (Liguria, northwestern Italy): Implications for light REE mobility in subduction zones. Geology 24, 711–714. https://doi.org/10.1130/0091-7613(1996)024&lt;0711:REERDH&gt;2.3.CO;2</w:t>
      </w:r>
    </w:p>
    <w:p w:rsidR="003F25E0" w:rsidRPr="003F25E0" w:rsidRDefault="003F25E0" w:rsidP="003F25E0">
      <w:pPr>
        <w:pStyle w:val="Bibliography"/>
        <w:rPr>
          <w:rFonts w:ascii="Myriad Pro" w:hAnsi="Myriad Pro"/>
          <w:sz w:val="22"/>
        </w:rPr>
      </w:pPr>
      <w:r w:rsidRPr="003F25E0">
        <w:rPr>
          <w:rFonts w:ascii="Myriad Pro" w:hAnsi="Myriad Pro"/>
          <w:sz w:val="22"/>
        </w:rPr>
        <w:t>White, R.W., Powell, R., Clarke, G.L., 2002. The interpretation of reaction textures in Fe-rich metapelitic granulites of the Musgrave Block, central Australia: constraints from mineral equilibria calculations in the system K2O–FeO–MgO–Al2O3–SiO2–H2O–TiO2–Fe2O3. Journal of Metamorphic Geology 20, 41–55. https://doi.org/10.1046/j.0263-4929.2001.00349.x</w:t>
      </w:r>
    </w:p>
    <w:p w:rsidR="003F25E0" w:rsidRPr="003F25E0" w:rsidRDefault="003F25E0" w:rsidP="003F25E0">
      <w:pPr>
        <w:pStyle w:val="Bibliography"/>
        <w:rPr>
          <w:rFonts w:ascii="Myriad Pro" w:hAnsi="Myriad Pro"/>
          <w:sz w:val="22"/>
        </w:rPr>
      </w:pPr>
      <w:r w:rsidRPr="003F25E0">
        <w:rPr>
          <w:rFonts w:ascii="Myriad Pro" w:hAnsi="Myriad Pro"/>
          <w:sz w:val="22"/>
        </w:rPr>
        <w:t>Wolery, T.J., 1992. EQ3/6, a software package for geochemical modeling of aqueous systems: Package overview and installation guide (Version 7.0). United States. https://doi.org/10.2172/138894</w:t>
      </w:r>
    </w:p>
    <w:p w:rsidR="003F25E0" w:rsidRPr="003F25E0" w:rsidRDefault="003F25E0" w:rsidP="003F25E0">
      <w:pPr>
        <w:pStyle w:val="Bibliography"/>
        <w:rPr>
          <w:rFonts w:ascii="Myriad Pro" w:hAnsi="Myriad Pro"/>
          <w:sz w:val="22"/>
        </w:rPr>
      </w:pPr>
      <w:r w:rsidRPr="003F25E0">
        <w:rPr>
          <w:rFonts w:ascii="Myriad Pro" w:hAnsi="Myriad Pro"/>
          <w:sz w:val="22"/>
        </w:rPr>
        <w:t>Zhang, Z., Duan, Z., 2005. Prediction of the PVT properties of water over wide range of temperatures and pressures from molecular dynamics simulation. Physics of the Earth and Planetary Interiors 149, 335–354. https://doi.org/10.1016/j.pepi.2004.11.003</w:t>
      </w:r>
    </w:p>
    <w:p w:rsidR="00B60A42" w:rsidRPr="00D95A7D" w:rsidRDefault="00B66DFD" w:rsidP="00B66DFD">
      <w:pPr>
        <w:rPr>
          <w:rFonts w:ascii="Myriad Pro" w:hAnsi="Myriad Pro"/>
          <w:sz w:val="22"/>
          <w:szCs w:val="24"/>
        </w:rPr>
      </w:pPr>
      <w:r w:rsidRPr="00E73F02">
        <w:rPr>
          <w:rFonts w:ascii="Myriad Pro" w:hAnsi="Myriad Pro"/>
          <w:sz w:val="22"/>
          <w:szCs w:val="24"/>
        </w:rPr>
        <w:fldChar w:fldCharType="end"/>
      </w:r>
    </w:p>
    <w:p w:rsidR="009C7893" w:rsidRPr="00D95A7D" w:rsidRDefault="009C7893" w:rsidP="009C7893">
      <w:r w:rsidRPr="00D95A7D">
        <w:lastRenderedPageBreak/>
        <w:t xml:space="preserve">SUPPLEMENTARY FIGURES </w:t>
      </w:r>
    </w:p>
    <w:p w:rsidR="009C7893" w:rsidRPr="00D95A7D" w:rsidRDefault="00C14646" w:rsidP="009C7893">
      <w:r w:rsidRPr="00E73F02">
        <w:rPr>
          <w:noProof/>
        </w:rPr>
        <w:drawing>
          <wp:anchor distT="0" distB="0" distL="114300" distR="114300" simplePos="0" relativeHeight="251671552" behindDoc="0" locked="0" layoutInCell="1" allowOverlap="1">
            <wp:simplePos x="0" y="0"/>
            <wp:positionH relativeFrom="margin">
              <wp:align>right</wp:align>
            </wp:positionH>
            <wp:positionV relativeFrom="margin">
              <wp:posOffset>462915</wp:posOffset>
            </wp:positionV>
            <wp:extent cx="5943600" cy="3700780"/>
            <wp:effectExtent l="0" t="0" r="0" b="0"/>
            <wp:wrapSquare wrapText="bothSides"/>
            <wp:docPr id="14" name="Picture 14" descr="C:\Users\GG-Guest\Desktop\Research\HP phase petrology and metasomatism\Manuscript\Edited version\In revision\For publication\combined comments\version\for coauthors\October 2021\for Submission\Reformat figures\Revision_Jan92022\Figures\geologic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Guest\Desktop\Research\HP phase petrology and metasomatism\Manuscript\Edited version\In revision\For publication\combined comments\version\for coauthors\October 2021\for Submission\Reformat figures\Revision_Jan92022\Figures\geologic ma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00780"/>
                    </a:xfrm>
                    <a:prstGeom prst="rect">
                      <a:avLst/>
                    </a:prstGeom>
                    <a:noFill/>
                    <a:ln>
                      <a:noFill/>
                    </a:ln>
                  </pic:spPr>
                </pic:pic>
              </a:graphicData>
            </a:graphic>
          </wp:anchor>
        </w:drawing>
      </w:r>
    </w:p>
    <w:p w:rsidR="00C14646" w:rsidRDefault="00C14646" w:rsidP="009C7893"/>
    <w:p w:rsidR="009C7893" w:rsidRPr="00105115" w:rsidRDefault="009C7893" w:rsidP="009C7893">
      <w:pPr>
        <w:pStyle w:val="Caption"/>
        <w:jc w:val="both"/>
        <w:rPr>
          <w:i w:val="0"/>
          <w:color w:val="auto"/>
          <w:sz w:val="24"/>
          <w:szCs w:val="24"/>
        </w:rPr>
      </w:pPr>
      <w:r w:rsidRPr="00105115">
        <w:rPr>
          <w:b/>
          <w:i w:val="0"/>
          <w:color w:val="auto"/>
          <w:sz w:val="24"/>
          <w:szCs w:val="24"/>
        </w:rPr>
        <w:t>Figure S1</w:t>
      </w:r>
      <w:r w:rsidRPr="00105115">
        <w:rPr>
          <w:i w:val="0"/>
          <w:color w:val="auto"/>
          <w:sz w:val="24"/>
          <w:szCs w:val="24"/>
        </w:rPr>
        <w:t>.</w:t>
      </w:r>
      <w:r w:rsidRPr="00105115">
        <w:rPr>
          <w:rFonts w:ascii="Arial" w:hAnsi="Arial"/>
          <w:i w:val="0"/>
          <w:color w:val="auto"/>
          <w:sz w:val="24"/>
          <w:szCs w:val="24"/>
        </w:rPr>
        <w:t xml:space="preserve"> </w:t>
      </w:r>
      <w:r w:rsidRPr="00105115">
        <w:rPr>
          <w:i w:val="0"/>
          <w:color w:val="auto"/>
          <w:sz w:val="24"/>
          <w:szCs w:val="24"/>
        </w:rPr>
        <w:t xml:space="preserve">Geological maps of the Western Alps and the Voltri Massif modified from Starr et al. </w:t>
      </w:r>
      <w:r w:rsidRPr="00105115">
        <w:rPr>
          <w:i w:val="0"/>
          <w:color w:val="auto"/>
          <w:sz w:val="24"/>
          <w:szCs w:val="24"/>
        </w:rPr>
        <w:fldChar w:fldCharType="begin"/>
      </w:r>
      <w:r w:rsidR="007C0184" w:rsidRPr="00105115">
        <w:rPr>
          <w:i w:val="0"/>
          <w:color w:val="auto"/>
          <w:sz w:val="24"/>
          <w:szCs w:val="24"/>
        </w:rPr>
        <w:instrText xml:space="preserve"> ADDIN ZOTERO_ITEM CSL_CITATION {"citationID":"adr3b5btae","properties":{"formattedCitation":"\\uldash{(Starr et al., 2020)}","plainCitation":"(Starr et al., 2020)","dontUpdate":true,"noteIndex":0},"citationItems":[{"id":525,"uris":["http://zotero.org/users/3840662/items/BC4T752T"],"uri":["http://zotero.org/users/3840662/items/BC4T752T"],"itemData":{"id":525,"type":"article-journal","abstract":"The problem of how dense high- (HP) and ultrahigh-pressure (UHP) metamorphosed oceanic mafic and ultramafic rocks are exhumed from deep within subduction zones is crucial to understanding processes occurring at the interface between the subducting slab and the overlying plate and mantle wedge. In this study, we use the P-T-t evolution of metamorphosed FeTi gabbros hosted in meta-serpentinite from the Voltri Ophiolite (Ligurian Alps, Italy) to evaluate potential exhumation mechanisms and assess whether HP mafic rocks were exhumed as blocks within a complex serpentinite-hosted mélange or as coherent sections of oceanic lithosphere. A number of observations provide evidence for subduction and exhumation of the central portion of Voltri Ophiolite as a coherent package of ultramafic and mafic material: (1) a similar evolution in mineral assemblages, textures and compositions suggesting peak metamorphism in the eclogite-facies, followed by a retrograde evolution through blueschist-, amphibolite- and greenschist-facies conditions; (2) uniform P-T conditions of both initial garnet growth (~475–480 °C and 2.0–2.2 GPa) and peak metamorphism (~500–525 °C and 2.3–2.5 GPa); and (3) bulk SmNd garnet ages that reveal a very tight grouping of ages for four well-equilibrated foliated FeTi meta-gabbros clustering at 39.98 ± 0.84 Ma. A massive undeformed gabbro also from the central Voltri area gave a slightly younger age of 38.15 ± 0.89 Ma, which is interpreted to reflect kinetic overstepping and delayed growth of garnet. By contrast, an SmNd garnet age from the NW portion of the Voltri Ophiolite indicates peak eclogite-facies metamorphism occurring ~10–12 Ma earlier at 49.68 ± 0.35 Ma. A compilation of the current geochronological data suggests that the NW portion of the Voltri Ophiolite underwent peak eclogite-facies metamorphism first at ~50 Ma, the sedimentary portion of the Voltri Unit (the Voltri-Rossiglione meta-sediments) experienced peak metamorphism around ~47–44 Ma, whilst subduction and peak metamorphism of the central part of the ophiolite occurred later at 41–38 Ma. Alongside recent studies of other Alpine ophiolites (Zermatt Saas, Monviso, Alpine Corsica), this study suggests that detachment and buoyant exhumation of large kilometric-scale coherent sections of slab material, rather than exhumation within a chaotic serpentinite mélange, is the dominant mechanism of preserving and returning eclogite-facies metamorphic rocks to the surface in the Western Alps. In the case of the Voltri Ophiolite, which lacks any associated continental massif, this exhumation was likely aided by the buoyancy of the serpentinite-dominated oceanic lithosphere, rather than by coupling to continental crust.","container-title":"Lithos","DOI":"10.1016/j.lithos.2020.105767","ISSN":"0024-4937","journalAbbreviation":"Lithos","page":"105767","title":"The subduction and exhumation history of the Voltri Ophiolite, Italy: Evaluating exhumation mechanisms for high-pressure metamorphic massifs","volume":"376-377","author":[{"family":"Starr","given":"Paul G."},{"family":"Broadwell","given":"Kirkland S."},{"family":"Dragovic","given":"Besim"},{"family":"Scambelluri","given":"Marco"},{"family":"Haws","given":"Anne A."},{"family":"Caddick","given":"Mark J."},{"family":"Smye","given":"Andrew J."},{"family":"Baxter","given":"Ethan F."}],"issued":{"date-parts":[["2020",12,1]]}}}],"schema":"https://github.com/citation-style-language/schema/raw/master/csl-citation.json"} </w:instrText>
      </w:r>
      <w:r w:rsidRPr="00105115">
        <w:rPr>
          <w:i w:val="0"/>
          <w:color w:val="auto"/>
          <w:sz w:val="24"/>
          <w:szCs w:val="24"/>
        </w:rPr>
        <w:fldChar w:fldCharType="separate"/>
      </w:r>
      <w:r w:rsidRPr="00105115">
        <w:rPr>
          <w:i w:val="0"/>
          <w:color w:val="auto"/>
          <w:sz w:val="24"/>
          <w:szCs w:val="24"/>
          <w:u w:val="dash"/>
        </w:rPr>
        <w:t>(2020)</w:t>
      </w:r>
      <w:r w:rsidRPr="00105115">
        <w:rPr>
          <w:i w:val="0"/>
          <w:color w:val="auto"/>
          <w:sz w:val="24"/>
          <w:szCs w:val="24"/>
        </w:rPr>
        <w:fldChar w:fldCharType="end"/>
      </w:r>
      <w:r w:rsidRPr="00105115">
        <w:rPr>
          <w:i w:val="0"/>
          <w:color w:val="auto"/>
          <w:sz w:val="24"/>
          <w:szCs w:val="24"/>
        </w:rPr>
        <w:t xml:space="preserve">. (a) Simplified geological map of the Western Alps, showing the broad distribution of oceanic rocks, continental massifs, and sedimentary units. The black box outlines the area shown in Figure. 1b. (b) Geologic map of the study area. The location of the studied serpentinite-metagabbro transect is indicated by red star. </w:t>
      </w:r>
    </w:p>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r w:rsidRPr="00E73F02">
        <w:rPr>
          <w:b/>
          <w:noProof/>
        </w:rPr>
        <w:drawing>
          <wp:anchor distT="0" distB="0" distL="114300" distR="114300" simplePos="0" relativeHeight="251669504" behindDoc="0" locked="0" layoutInCell="1" allowOverlap="1" wp14:anchorId="40BAB834" wp14:editId="5639862B">
            <wp:simplePos x="0" y="0"/>
            <wp:positionH relativeFrom="margin">
              <wp:posOffset>-1870710</wp:posOffset>
            </wp:positionH>
            <wp:positionV relativeFrom="margin">
              <wp:posOffset>1691005</wp:posOffset>
            </wp:positionV>
            <wp:extent cx="7431405" cy="3978910"/>
            <wp:effectExtent l="0" t="0" r="0" b="0"/>
            <wp:wrapSquare wrapText="bothSides"/>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6"/>
                    <pic:cNvPicPr>
                      <a:picLocks noChangeAspect="1"/>
                    </pic:cNvPicPr>
                  </pic:nvPicPr>
                  <pic:blipFill>
                    <a:blip r:embed="rId7"/>
                    <a:stretch/>
                  </pic:blipFill>
                  <pic:spPr bwMode="auto">
                    <a:xfrm rot="16199999">
                      <a:off x="0" y="0"/>
                      <a:ext cx="7431405" cy="3978910"/>
                    </a:xfrm>
                    <a:prstGeom prst="rect">
                      <a:avLst/>
                    </a:prstGeom>
                  </pic:spPr>
                </pic:pic>
              </a:graphicData>
            </a:graphic>
          </wp:anchor>
        </w:drawing>
      </w: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105115" w:rsidRDefault="009C7893" w:rsidP="009C7893">
      <w:pPr>
        <w:pStyle w:val="Caption"/>
        <w:jc w:val="both"/>
        <w:rPr>
          <w:i w:val="0"/>
          <w:color w:val="auto"/>
          <w:sz w:val="24"/>
          <w:szCs w:val="24"/>
        </w:rPr>
      </w:pPr>
      <w:r w:rsidRPr="00105115">
        <w:rPr>
          <w:b/>
          <w:i w:val="0"/>
          <w:color w:val="auto"/>
          <w:sz w:val="24"/>
          <w:szCs w:val="24"/>
        </w:rPr>
        <w:t>Figure S2</w:t>
      </w:r>
      <w:r w:rsidRPr="00105115">
        <w:rPr>
          <w:i w:val="0"/>
          <w:color w:val="auto"/>
          <w:sz w:val="24"/>
          <w:szCs w:val="24"/>
        </w:rPr>
        <w:t>.</w:t>
      </w:r>
      <w:r w:rsidRPr="00105115">
        <w:rPr>
          <w:rFonts w:ascii="Arial" w:hAnsi="Arial"/>
          <w:i w:val="0"/>
          <w:color w:val="auto"/>
          <w:sz w:val="24"/>
          <w:szCs w:val="24"/>
        </w:rPr>
        <w:t xml:space="preserve"> </w:t>
      </w:r>
      <w:r w:rsidRPr="00105115">
        <w:rPr>
          <w:i w:val="0"/>
          <w:color w:val="auto"/>
          <w:sz w:val="24"/>
          <w:szCs w:val="24"/>
        </w:rPr>
        <w:t xml:space="preserve">Representative thin-section </w:t>
      </w:r>
      <w:proofErr w:type="gramStart"/>
      <w:r w:rsidRPr="00105115">
        <w:rPr>
          <w:i w:val="0"/>
          <w:color w:val="auto"/>
          <w:sz w:val="24"/>
          <w:szCs w:val="24"/>
        </w:rPr>
        <w:t>EDS</w:t>
      </w:r>
      <w:proofErr w:type="gramEnd"/>
      <w:r w:rsidRPr="00105115">
        <w:rPr>
          <w:i w:val="0"/>
          <w:color w:val="auto"/>
          <w:sz w:val="24"/>
          <w:szCs w:val="24"/>
        </w:rPr>
        <w:t xml:space="preserve"> chemical maps of the different metasomatic reaction zones.  </w:t>
      </w: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r w:rsidRPr="00E73F02">
        <w:rPr>
          <w:i/>
          <w:noProof/>
        </w:rPr>
        <w:drawing>
          <wp:anchor distT="0" distB="0" distL="114300" distR="114300" simplePos="0" relativeHeight="251659264" behindDoc="0" locked="0" layoutInCell="1" allowOverlap="1" wp14:anchorId="206F3CE1" wp14:editId="667F40CE">
            <wp:simplePos x="0" y="0"/>
            <wp:positionH relativeFrom="margin">
              <wp:posOffset>120773</wp:posOffset>
            </wp:positionH>
            <wp:positionV relativeFrom="margin">
              <wp:posOffset>567137</wp:posOffset>
            </wp:positionV>
            <wp:extent cx="5031105" cy="3255010"/>
            <wp:effectExtent l="0" t="0" r="0" b="2540"/>
            <wp:wrapSquare wrapText="bothSides"/>
            <wp:docPr id="22" name="Picture 3" descr="C:\Users\GG-Guest\Desktop\Research\HP phase petrology and metasomatism\DATA\Prelim figures\TG DTA_v1.png"/>
            <wp:cNvGraphicFramePr/>
            <a:graphic xmlns:a="http://schemas.openxmlformats.org/drawingml/2006/main">
              <a:graphicData uri="http://schemas.openxmlformats.org/drawingml/2006/picture">
                <pic:pic xmlns:pic="http://schemas.openxmlformats.org/drawingml/2006/picture">
                  <pic:nvPicPr>
                    <pic:cNvPr id="19" name="Picture 3" descr="C:\Users\GG-Guest\Desktop\Research\HP phase petrology and metasomatism\DATA\Prelim figures\TG DTA_v1.png"/>
                    <pic:cNvPicPr/>
                  </pic:nvPicPr>
                  <pic:blipFill>
                    <a:blip r:embed="rId8"/>
                    <a:stretch/>
                  </pic:blipFill>
                  <pic:spPr bwMode="auto">
                    <a:xfrm>
                      <a:off x="0" y="0"/>
                      <a:ext cx="5031105" cy="3255010"/>
                    </a:xfrm>
                    <a:prstGeom prst="rect">
                      <a:avLst/>
                    </a:prstGeom>
                    <a:noFill/>
                    <a:ln>
                      <a:noFill/>
                    </a:ln>
                  </pic:spPr>
                </pic:pic>
              </a:graphicData>
            </a:graphic>
          </wp:anchor>
        </w:drawing>
      </w:r>
    </w:p>
    <w:p w:rsidR="009C7893" w:rsidRPr="00D95A7D" w:rsidRDefault="009C7893" w:rsidP="009C7893">
      <w:pPr>
        <w:pStyle w:val="FigureorTableCaption"/>
        <w:jc w:val="both"/>
        <w:rPr>
          <w:b/>
        </w:rPr>
      </w:pPr>
    </w:p>
    <w:p w:rsidR="009C7893" w:rsidRPr="00D95A7D" w:rsidRDefault="009C7893" w:rsidP="009C7893">
      <w:pPr>
        <w:pStyle w:val="FigureorTableCaption"/>
        <w:rPr>
          <w:b/>
        </w:rPr>
      </w:pPr>
    </w:p>
    <w:p w:rsidR="009C7893" w:rsidRPr="00D95A7D" w:rsidRDefault="009C7893" w:rsidP="009C7893">
      <w:pPr>
        <w:pStyle w:val="FigureorTableCaption"/>
      </w:pPr>
    </w:p>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D95A7D" w:rsidRDefault="009C7893" w:rsidP="009C7893"/>
    <w:p w:rsidR="009C7893" w:rsidRPr="00105115" w:rsidRDefault="00DF4EA3" w:rsidP="009C7893">
      <w:pPr>
        <w:pStyle w:val="Caption"/>
        <w:rPr>
          <w:b/>
          <w:i w:val="0"/>
          <w:color w:val="auto"/>
        </w:rPr>
      </w:pPr>
      <w:r w:rsidRPr="00105115">
        <w:rPr>
          <w:i w:val="0"/>
          <w:noProof/>
          <w:color w:val="auto"/>
        </w:rPr>
        <mc:AlternateContent>
          <mc:Choice Requires="wps">
            <w:drawing>
              <wp:anchor distT="0" distB="0" distL="114300" distR="114300" simplePos="0" relativeHeight="251660288" behindDoc="0" locked="0" layoutInCell="1" allowOverlap="1" wp14:anchorId="77DD134F" wp14:editId="773AA8EB">
                <wp:simplePos x="0" y="0"/>
                <wp:positionH relativeFrom="margin">
                  <wp:align>right</wp:align>
                </wp:positionH>
                <wp:positionV relativeFrom="paragraph">
                  <wp:posOffset>139065</wp:posOffset>
                </wp:positionV>
                <wp:extent cx="6114415" cy="652780"/>
                <wp:effectExtent l="0" t="0" r="635" b="0"/>
                <wp:wrapSquare wrapText="bothSides"/>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4415" cy="652780"/>
                        </a:xfrm>
                        <a:prstGeom prst="rect">
                          <a:avLst/>
                        </a:prstGeom>
                        <a:solidFill>
                          <a:prstClr val="white"/>
                        </a:solidFill>
                        <a:ln>
                          <a:noFill/>
                        </a:ln>
                      </wps:spPr>
                      <wps:txbx>
                        <w:txbxContent>
                          <w:p w:rsidR="009C7893" w:rsidRPr="00105115" w:rsidRDefault="009C7893" w:rsidP="009C7893">
                            <w:pPr>
                              <w:pStyle w:val="Caption"/>
                              <w:jc w:val="both"/>
                              <w:rPr>
                                <w:b/>
                                <w:i w:val="0"/>
                                <w:color w:val="auto"/>
                                <w:sz w:val="24"/>
                                <w:szCs w:val="24"/>
                              </w:rPr>
                            </w:pPr>
                            <w:r w:rsidRPr="00105115">
                              <w:rPr>
                                <w:b/>
                                <w:i w:val="0"/>
                                <w:color w:val="auto"/>
                                <w:sz w:val="24"/>
                                <w:szCs w:val="24"/>
                              </w:rPr>
                              <w:t>Figure S3</w:t>
                            </w:r>
                            <w:r w:rsidRPr="00105115">
                              <w:rPr>
                                <w:i w:val="0"/>
                                <w:color w:val="auto"/>
                                <w:sz w:val="24"/>
                                <w:szCs w:val="24"/>
                              </w:rPr>
                              <w:t>.</w:t>
                            </w:r>
                            <w:r w:rsidRPr="00105115">
                              <w:rPr>
                                <w:rFonts w:ascii="Arial" w:hAnsi="Arial"/>
                                <w:i w:val="0"/>
                                <w:color w:val="auto"/>
                                <w:sz w:val="24"/>
                                <w:szCs w:val="24"/>
                              </w:rPr>
                              <w:t xml:space="preserve"> </w:t>
                            </w:r>
                            <w:r w:rsidRPr="00105115">
                              <w:rPr>
                                <w:i w:val="0"/>
                                <w:color w:val="auto"/>
                                <w:sz w:val="24"/>
                                <w:szCs w:val="24"/>
                              </w:rPr>
                              <w:t xml:space="preserve">Thermal analysis of representative samples from each zone. First derivative (deriv.) of mass loss between ~150 and ~1100 °C. Shading indicates mass loss via </w:t>
                            </w:r>
                            <w:proofErr w:type="spellStart"/>
                            <w:r w:rsidRPr="00105115">
                              <w:rPr>
                                <w:i w:val="0"/>
                                <w:color w:val="auto"/>
                                <w:sz w:val="24"/>
                                <w:szCs w:val="24"/>
                              </w:rPr>
                              <w:t>dehydroxylation</w:t>
                            </w:r>
                            <w:proofErr w:type="spellEnd"/>
                            <w:r w:rsidRPr="00105115">
                              <w:rPr>
                                <w:i w:val="0"/>
                                <w:color w:val="auto"/>
                                <w:sz w:val="24"/>
                                <w:szCs w:val="24"/>
                              </w:rPr>
                              <w:t xml:space="preserve"> reaction of hydrous phases, such as brucite, chlorite, serpentine (antigorite), talc, epidote, and amphibole.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77DD134F" id="Text Box 25" o:spid="_x0000_s1026" style="position:absolute;margin-left:430.25pt;margin-top:10.95pt;width:481.45pt;height:51.4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" stroked="f">
                <v:path arrowok="t"/>
                <v:textbox style="mso-fit-shape-to-text:t" inset="0,0,0,0">
                  <w:txbxContent>
                    <w:p w:rsidR="009C7893" w:rsidRPr="00105115" w:rsidRDefault="009C7893" w:rsidP="009C7893">
                      <w:pPr>
                        <w:pStyle w:val="Caption"/>
                        <w:jc w:val="both"/>
                        <w:rPr>
                          <w:b/>
                          <w:i w:val="0"/>
                          <w:color w:val="auto"/>
                          <w:sz w:val="24"/>
                          <w:szCs w:val="24"/>
                        </w:rPr>
                      </w:pPr>
                      <w:r w:rsidRPr="00105115">
                        <w:rPr>
                          <w:b/>
                          <w:i w:val="0"/>
                          <w:color w:val="auto"/>
                          <w:sz w:val="24"/>
                          <w:szCs w:val="24"/>
                        </w:rPr>
                        <w:t>Figure S3</w:t>
                      </w:r>
                      <w:r w:rsidRPr="00105115">
                        <w:rPr>
                          <w:i w:val="0"/>
                          <w:color w:val="auto"/>
                          <w:sz w:val="24"/>
                          <w:szCs w:val="24"/>
                        </w:rPr>
                        <w:t>.</w:t>
                      </w:r>
                      <w:r w:rsidRPr="00105115">
                        <w:rPr>
                          <w:rFonts w:ascii="Arial" w:hAnsi="Arial"/>
                          <w:i w:val="0"/>
                          <w:color w:val="auto"/>
                          <w:sz w:val="24"/>
                          <w:szCs w:val="24"/>
                        </w:rPr>
                        <w:t xml:space="preserve"> </w:t>
                      </w:r>
                      <w:r w:rsidRPr="00105115">
                        <w:rPr>
                          <w:i w:val="0"/>
                          <w:color w:val="auto"/>
                          <w:sz w:val="24"/>
                          <w:szCs w:val="24"/>
                        </w:rPr>
                        <w:t xml:space="preserve">Thermal analysis of representative samples from each zone. First derivative (deriv.) of mass loss between ~150 and ~1100 °C. Shading indicates mass loss via dehydroxylation reaction of hydrous phases, such as brucite, chlorite, serpentine (antigorite), talc, epidote, and amphibole. </w:t>
                      </w:r>
                    </w:p>
                  </w:txbxContent>
                </v:textbox>
                <w10:wrap type="square" anchorx="margin"/>
              </v:rect>
            </w:pict>
          </mc:Fallback>
        </mc:AlternateContent>
      </w:r>
    </w:p>
    <w:p w:rsidR="009C7893" w:rsidRPr="00D95A7D" w:rsidRDefault="009C7893" w:rsidP="009C7893">
      <w:pPr>
        <w:pStyle w:val="FigureorTableCaption"/>
        <w:jc w:val="both"/>
        <w:rPr>
          <w:b/>
        </w:rPr>
      </w:pPr>
      <w:r w:rsidRPr="00E73F02">
        <w:rPr>
          <w:b/>
          <w:noProof/>
        </w:rPr>
        <w:lastRenderedPageBreak/>
        <w:drawing>
          <wp:anchor distT="0" distB="0" distL="114300" distR="114300" simplePos="0" relativeHeight="251661312" behindDoc="0" locked="0" layoutInCell="1" allowOverlap="1" wp14:anchorId="3AE5FA19" wp14:editId="23B87410">
            <wp:simplePos x="0" y="0"/>
            <wp:positionH relativeFrom="margin">
              <wp:align>center</wp:align>
            </wp:positionH>
            <wp:positionV relativeFrom="margin">
              <wp:align>top</wp:align>
            </wp:positionV>
            <wp:extent cx="4408805" cy="6636385"/>
            <wp:effectExtent l="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9"/>
                    <a:stretch/>
                  </pic:blipFill>
                  <pic:spPr bwMode="auto">
                    <a:xfrm>
                      <a:off x="0" y="0"/>
                      <a:ext cx="4408805" cy="6636385"/>
                    </a:xfrm>
                    <a:prstGeom prst="rect">
                      <a:avLst/>
                    </a:prstGeom>
                  </pic:spPr>
                </pic:pic>
              </a:graphicData>
            </a:graphic>
          </wp:anchor>
        </w:drawing>
      </w: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r w:rsidRPr="00E73F02">
        <w:rPr>
          <w:noProof/>
        </w:rPr>
        <mc:AlternateContent>
          <mc:Choice Requires="wps">
            <w:drawing>
              <wp:anchor distT="0" distB="0" distL="114300" distR="114300" simplePos="0" relativeHeight="251662336" behindDoc="0" locked="0" layoutInCell="1" allowOverlap="1" wp14:anchorId="764961A0" wp14:editId="783332D4">
                <wp:simplePos x="0" y="0"/>
                <wp:positionH relativeFrom="margin">
                  <wp:posOffset>-26670</wp:posOffset>
                </wp:positionH>
                <wp:positionV relativeFrom="paragraph">
                  <wp:posOffset>522605</wp:posOffset>
                </wp:positionV>
                <wp:extent cx="5943600" cy="477520"/>
                <wp:effectExtent l="0" t="0" r="0" b="0"/>
                <wp:wrapSquare wrapText="bothSides"/>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477520"/>
                        </a:xfrm>
                        <a:prstGeom prst="rect">
                          <a:avLst/>
                        </a:prstGeom>
                        <a:solidFill>
                          <a:prstClr val="white"/>
                        </a:solidFill>
                        <a:ln>
                          <a:noFill/>
                        </a:ln>
                      </wps:spPr>
                      <wps:txbx>
                        <w:txbxContent>
                          <w:p w:rsidR="009C7893" w:rsidRPr="00105115" w:rsidRDefault="009C7893" w:rsidP="009C7893">
                            <w:pPr>
                              <w:pStyle w:val="Caption"/>
                              <w:jc w:val="both"/>
                              <w:rPr>
                                <w:b/>
                                <w:i w:val="0"/>
                                <w:color w:val="auto"/>
                                <w:sz w:val="24"/>
                                <w:szCs w:val="24"/>
                              </w:rPr>
                            </w:pPr>
                            <w:r w:rsidRPr="00105115">
                              <w:rPr>
                                <w:b/>
                                <w:i w:val="0"/>
                                <w:color w:val="auto"/>
                                <w:sz w:val="24"/>
                                <w:szCs w:val="24"/>
                              </w:rPr>
                              <w:t>Figure S4.</w:t>
                            </w:r>
                            <w:r w:rsidRPr="00105115">
                              <w:rPr>
                                <w:i w:val="0"/>
                                <w:color w:val="auto"/>
                                <w:sz w:val="24"/>
                                <w:szCs w:val="24"/>
                              </w:rPr>
                              <w:t xml:space="preserve"> Representative Raman spectra of the major minerals that comprise the different metasomatic reaction zones.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764961A0" id="Text Box 27" o:spid="_x0000_s1027" style="position:absolute;left:0;text-align:left;margin-left:-2.1pt;margin-top:41.15pt;width:468pt;height:37.6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" stroked="f">
                <v:path arrowok="t"/>
                <v:textbox style="mso-fit-shape-to-text:t" inset="0,0,0,0">
                  <w:txbxContent>
                    <w:p w:rsidR="009C7893" w:rsidRPr="00105115" w:rsidRDefault="009C7893" w:rsidP="009C7893">
                      <w:pPr>
                        <w:pStyle w:val="Caption"/>
                        <w:jc w:val="both"/>
                        <w:rPr>
                          <w:b/>
                          <w:i w:val="0"/>
                          <w:color w:val="auto"/>
                          <w:sz w:val="24"/>
                          <w:szCs w:val="24"/>
                        </w:rPr>
                      </w:pPr>
                      <w:r w:rsidRPr="00105115">
                        <w:rPr>
                          <w:b/>
                          <w:i w:val="0"/>
                          <w:color w:val="auto"/>
                          <w:sz w:val="24"/>
                          <w:szCs w:val="24"/>
                        </w:rPr>
                        <w:t>Figure S4.</w:t>
                      </w:r>
                      <w:r w:rsidRPr="00105115">
                        <w:rPr>
                          <w:i w:val="0"/>
                          <w:color w:val="auto"/>
                          <w:sz w:val="24"/>
                          <w:szCs w:val="24"/>
                        </w:rPr>
                        <w:t xml:space="preserve"> Representative Raman spectra of the major minerals that comprise the different metasomatic reaction zones.</w:t>
                      </w:r>
                    </w:p>
                  </w:txbxContent>
                </v:textbox>
                <w10:wrap type="square" anchorx="margin"/>
              </v:rect>
            </w:pict>
          </mc:Fallback>
        </mc:AlternateContent>
      </w:r>
    </w:p>
    <w:p w:rsidR="009C7893" w:rsidRDefault="009C7893"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r w:rsidRPr="00E73F02">
        <w:rPr>
          <w:noProof/>
        </w:rPr>
        <w:lastRenderedPageBreak/>
        <mc:AlternateContent>
          <mc:Choice Requires="wps">
            <w:drawing>
              <wp:anchor distT="0" distB="0" distL="114300" distR="114300" simplePos="0" relativeHeight="251678720" behindDoc="0" locked="0" layoutInCell="1" allowOverlap="1" wp14:anchorId="76C2A54B" wp14:editId="244C2D8D">
                <wp:simplePos x="0" y="0"/>
                <wp:positionH relativeFrom="margin">
                  <wp:align>right</wp:align>
                </wp:positionH>
                <wp:positionV relativeFrom="paragraph">
                  <wp:posOffset>2936875</wp:posOffset>
                </wp:positionV>
                <wp:extent cx="5943600" cy="47752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477520"/>
                        </a:xfrm>
                        <a:prstGeom prst="rect">
                          <a:avLst/>
                        </a:prstGeom>
                        <a:solidFill>
                          <a:prstClr val="white"/>
                        </a:solidFill>
                        <a:ln>
                          <a:noFill/>
                        </a:ln>
                      </wps:spPr>
                      <wps:txbx>
                        <w:txbxContent>
                          <w:p w:rsidR="00D13937" w:rsidRPr="00105115" w:rsidRDefault="00D13937" w:rsidP="00D13937">
                            <w:pPr>
                              <w:pStyle w:val="Caption"/>
                              <w:jc w:val="both"/>
                              <w:rPr>
                                <w:b/>
                                <w:i w:val="0"/>
                                <w:color w:val="auto"/>
                                <w:sz w:val="24"/>
                                <w:szCs w:val="24"/>
                              </w:rPr>
                            </w:pPr>
                            <w:r w:rsidRPr="00105115">
                              <w:rPr>
                                <w:b/>
                                <w:i w:val="0"/>
                                <w:color w:val="auto"/>
                                <w:sz w:val="24"/>
                                <w:szCs w:val="24"/>
                              </w:rPr>
                              <w:t>Figure S</w:t>
                            </w:r>
                            <w:r>
                              <w:rPr>
                                <w:b/>
                                <w:i w:val="0"/>
                                <w:color w:val="auto"/>
                                <w:sz w:val="24"/>
                                <w:szCs w:val="24"/>
                              </w:rPr>
                              <w:t>5</w:t>
                            </w:r>
                            <w:r w:rsidRPr="00105115">
                              <w:rPr>
                                <w:b/>
                                <w:i w:val="0"/>
                                <w:color w:val="auto"/>
                                <w:sz w:val="24"/>
                                <w:szCs w:val="24"/>
                              </w:rPr>
                              <w:t>.</w:t>
                            </w:r>
                            <w:r w:rsidRPr="00105115">
                              <w:rPr>
                                <w:i w:val="0"/>
                                <w:color w:val="auto"/>
                                <w:sz w:val="24"/>
                                <w:szCs w:val="24"/>
                              </w:rPr>
                              <w:t xml:space="preserve"> Representative </w:t>
                            </w:r>
                            <w:r w:rsidR="00460F53">
                              <w:rPr>
                                <w:i w:val="0"/>
                                <w:color w:val="auto"/>
                                <w:sz w:val="24"/>
                                <w:szCs w:val="24"/>
                              </w:rPr>
                              <w:t xml:space="preserve">thin-section back-scatter election image of garnet inclusions (epidote and paragonite) inferred to be </w:t>
                            </w:r>
                            <w:proofErr w:type="spellStart"/>
                            <w:r w:rsidR="00460F53">
                              <w:rPr>
                                <w:i w:val="0"/>
                                <w:color w:val="auto"/>
                                <w:sz w:val="24"/>
                                <w:szCs w:val="24"/>
                              </w:rPr>
                              <w:t>pseudomorphic</w:t>
                            </w:r>
                            <w:proofErr w:type="spellEnd"/>
                            <w:r w:rsidR="00460F53">
                              <w:rPr>
                                <w:i w:val="0"/>
                                <w:color w:val="auto"/>
                                <w:sz w:val="24"/>
                                <w:szCs w:val="24"/>
                              </w:rPr>
                              <w:t xml:space="preserve"> after lawsonite in sample B10 (Zone V).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76C2A54B" id="_x0000_s1028" style="position:absolute;left:0;text-align:left;margin-left:416.8pt;margin-top:231.25pt;width:468pt;height:37.6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" stroked="f">
                <v:path arrowok="t"/>
                <v:textbox style="mso-fit-shape-to-text:t" inset="0,0,0,0">
                  <w:txbxContent>
                    <w:p w:rsidR="00D13937" w:rsidRPr="00105115" w:rsidRDefault="00D13937" w:rsidP="00D13937">
                      <w:pPr>
                        <w:pStyle w:val="Caption"/>
                        <w:jc w:val="both"/>
                        <w:rPr>
                          <w:b/>
                          <w:i w:val="0"/>
                          <w:color w:val="auto"/>
                          <w:sz w:val="24"/>
                          <w:szCs w:val="24"/>
                        </w:rPr>
                      </w:pPr>
                      <w:r w:rsidRPr="00105115">
                        <w:rPr>
                          <w:b/>
                          <w:i w:val="0"/>
                          <w:color w:val="auto"/>
                          <w:sz w:val="24"/>
                          <w:szCs w:val="24"/>
                        </w:rPr>
                        <w:t>Figure S</w:t>
                      </w:r>
                      <w:r>
                        <w:rPr>
                          <w:b/>
                          <w:i w:val="0"/>
                          <w:color w:val="auto"/>
                          <w:sz w:val="24"/>
                          <w:szCs w:val="24"/>
                        </w:rPr>
                        <w:t>5</w:t>
                      </w:r>
                      <w:r w:rsidRPr="00105115">
                        <w:rPr>
                          <w:b/>
                          <w:i w:val="0"/>
                          <w:color w:val="auto"/>
                          <w:sz w:val="24"/>
                          <w:szCs w:val="24"/>
                        </w:rPr>
                        <w:t>.</w:t>
                      </w:r>
                      <w:r w:rsidRPr="00105115">
                        <w:rPr>
                          <w:i w:val="0"/>
                          <w:color w:val="auto"/>
                          <w:sz w:val="24"/>
                          <w:szCs w:val="24"/>
                        </w:rPr>
                        <w:t xml:space="preserve"> Representative </w:t>
                      </w:r>
                      <w:r w:rsidR="00460F53">
                        <w:rPr>
                          <w:i w:val="0"/>
                          <w:color w:val="auto"/>
                          <w:sz w:val="24"/>
                          <w:szCs w:val="24"/>
                        </w:rPr>
                        <w:t xml:space="preserve">thin-section back-scatter election image of garnet inclusions (epidote and paragonite) inferred to be pseudomorphic after lawsonite in sample B10 (Zone V). </w:t>
                      </w:r>
                    </w:p>
                  </w:txbxContent>
                </v:textbox>
                <w10:wrap type="square" anchorx="margin"/>
              </v:rect>
            </w:pict>
          </mc:Fallback>
        </mc:AlternateContent>
      </w:r>
      <w:r w:rsidRPr="00D13937">
        <w:rPr>
          <w:b/>
          <w:noProof/>
        </w:rPr>
        <w:drawing>
          <wp:anchor distT="0" distB="0" distL="114300" distR="114300" simplePos="0" relativeHeight="251676672" behindDoc="0" locked="0" layoutInCell="1" allowOverlap="1">
            <wp:simplePos x="0" y="0"/>
            <wp:positionH relativeFrom="margin">
              <wp:align>right</wp:align>
            </wp:positionH>
            <wp:positionV relativeFrom="margin">
              <wp:posOffset>295275</wp:posOffset>
            </wp:positionV>
            <wp:extent cx="5943600" cy="2376170"/>
            <wp:effectExtent l="0" t="0" r="0" b="508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76170"/>
                    </a:xfrm>
                    <a:prstGeom prst="rect">
                      <a:avLst/>
                    </a:prstGeom>
                  </pic:spPr>
                </pic:pic>
              </a:graphicData>
            </a:graphic>
          </wp:anchor>
        </w:drawing>
      </w: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C0028F" w:rsidP="009C7893">
      <w:pPr>
        <w:pStyle w:val="FigureorTableCaption"/>
        <w:jc w:val="both"/>
        <w:rPr>
          <w:b/>
        </w:rPr>
      </w:pPr>
      <w:r w:rsidRPr="00E73F02">
        <w:rPr>
          <w:b/>
          <w:noProof/>
        </w:rPr>
        <w:lastRenderedPageBreak/>
        <w:drawing>
          <wp:anchor distT="0" distB="0" distL="114300" distR="114300" simplePos="0" relativeHeight="251672576" behindDoc="0" locked="0" layoutInCell="1" allowOverlap="1">
            <wp:simplePos x="0" y="0"/>
            <wp:positionH relativeFrom="margin">
              <wp:align>center</wp:align>
            </wp:positionH>
            <wp:positionV relativeFrom="page">
              <wp:posOffset>719455</wp:posOffset>
            </wp:positionV>
            <wp:extent cx="4076065" cy="7653020"/>
            <wp:effectExtent l="0" t="0" r="63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065" cy="7653020"/>
                    </a:xfrm>
                    <a:prstGeom prst="rect">
                      <a:avLst/>
                    </a:prstGeom>
                    <a:noFill/>
                  </pic:spPr>
                </pic:pic>
              </a:graphicData>
            </a:graphic>
            <wp14:sizeRelH relativeFrom="margin">
              <wp14:pctWidth>0</wp14:pctWidth>
            </wp14:sizeRelH>
            <wp14:sizeRelV relativeFrom="margin">
              <wp14:pctHeight>0</wp14:pctHeight>
            </wp14:sizeRelV>
          </wp:anchor>
        </w:drawing>
      </w: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Default="00D13937" w:rsidP="009C7893">
      <w:pPr>
        <w:pStyle w:val="FigureorTableCaption"/>
        <w:jc w:val="both"/>
        <w:rPr>
          <w:b/>
        </w:rPr>
      </w:pPr>
    </w:p>
    <w:p w:rsidR="00D13937" w:rsidRPr="00D95A7D" w:rsidRDefault="00D13937"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C0028F" w:rsidRDefault="00C0028F" w:rsidP="009C7893">
      <w:pPr>
        <w:pStyle w:val="FigureorTableCaption"/>
        <w:jc w:val="both"/>
        <w:rPr>
          <w:b/>
        </w:rPr>
      </w:pPr>
      <w:r w:rsidRPr="00E73F02">
        <w:rPr>
          <w:noProof/>
        </w:rPr>
        <mc:AlternateContent>
          <mc:Choice Requires="wps">
            <w:drawing>
              <wp:anchor distT="0" distB="0" distL="114300" distR="114300" simplePos="0" relativeHeight="251670528" behindDoc="0" locked="0" layoutInCell="1" allowOverlap="1" wp14:anchorId="5F31EB05" wp14:editId="19121056">
                <wp:simplePos x="0" y="0"/>
                <wp:positionH relativeFrom="margin">
                  <wp:posOffset>-76835</wp:posOffset>
                </wp:positionH>
                <wp:positionV relativeFrom="paragraph">
                  <wp:posOffset>555240</wp:posOffset>
                </wp:positionV>
                <wp:extent cx="5943600" cy="477520"/>
                <wp:effectExtent l="0" t="0" r="0" b="0"/>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477520"/>
                        </a:xfrm>
                        <a:prstGeom prst="rect">
                          <a:avLst/>
                        </a:prstGeom>
                        <a:solidFill>
                          <a:prstClr val="white"/>
                        </a:solidFill>
                        <a:ln>
                          <a:noFill/>
                        </a:ln>
                      </wps:spPr>
                      <wps:txbx>
                        <w:txbxContent>
                          <w:p w:rsidR="009C7893" w:rsidRPr="00105115" w:rsidRDefault="009C7893" w:rsidP="009C7893">
                            <w:pPr>
                              <w:pStyle w:val="Caption"/>
                              <w:jc w:val="both"/>
                              <w:rPr>
                                <w:b/>
                                <w:i w:val="0"/>
                                <w:color w:val="auto"/>
                                <w:sz w:val="24"/>
                                <w:szCs w:val="24"/>
                              </w:rPr>
                            </w:pPr>
                            <w:r w:rsidRPr="00105115">
                              <w:rPr>
                                <w:b/>
                                <w:i w:val="0"/>
                                <w:color w:val="auto"/>
                                <w:sz w:val="24"/>
                                <w:szCs w:val="24"/>
                              </w:rPr>
                              <w:t xml:space="preserve">Figure </w:t>
                            </w:r>
                            <w:r w:rsidR="009F5CBE" w:rsidRPr="00105115">
                              <w:rPr>
                                <w:b/>
                                <w:i w:val="0"/>
                                <w:color w:val="auto"/>
                                <w:sz w:val="24"/>
                                <w:szCs w:val="24"/>
                              </w:rPr>
                              <w:t>S</w:t>
                            </w:r>
                            <w:r w:rsidR="009F5CBE">
                              <w:rPr>
                                <w:b/>
                                <w:i w:val="0"/>
                                <w:color w:val="auto"/>
                                <w:sz w:val="24"/>
                                <w:szCs w:val="24"/>
                              </w:rPr>
                              <w:t>6</w:t>
                            </w:r>
                            <w:r w:rsidRPr="00105115">
                              <w:rPr>
                                <w:i w:val="0"/>
                                <w:color w:val="auto"/>
                                <w:sz w:val="24"/>
                                <w:szCs w:val="24"/>
                              </w:rPr>
                              <w:t xml:space="preserve">. </w:t>
                            </w:r>
                            <w:r w:rsidR="006A0250" w:rsidRPr="00105115">
                              <w:rPr>
                                <w:i w:val="0"/>
                                <w:color w:val="auto"/>
                                <w:sz w:val="24"/>
                                <w:szCs w:val="24"/>
                              </w:rPr>
                              <w:t>T</w:t>
                            </w:r>
                            <w:r w:rsidR="00E73F02" w:rsidRPr="00105115">
                              <w:rPr>
                                <w:i w:val="0"/>
                                <w:color w:val="auto"/>
                                <w:sz w:val="24"/>
                                <w:szCs w:val="24"/>
                              </w:rPr>
                              <w:t>hin-</w:t>
                            </w:r>
                            <w:r w:rsidR="008074C2" w:rsidRPr="00105115">
                              <w:rPr>
                                <w:i w:val="0"/>
                                <w:color w:val="auto"/>
                                <w:sz w:val="24"/>
                                <w:szCs w:val="24"/>
                              </w:rPr>
                              <w:t xml:space="preserve">section photomicrographs showing </w:t>
                            </w:r>
                            <w:r w:rsidR="006A0250" w:rsidRPr="00105115">
                              <w:rPr>
                                <w:i w:val="0"/>
                                <w:color w:val="auto"/>
                                <w:sz w:val="24"/>
                                <w:szCs w:val="24"/>
                              </w:rPr>
                              <w:t>representative</w:t>
                            </w:r>
                            <w:r w:rsidR="008074C2" w:rsidRPr="00105115">
                              <w:rPr>
                                <w:i w:val="0"/>
                                <w:color w:val="auto"/>
                                <w:sz w:val="24"/>
                                <w:szCs w:val="24"/>
                              </w:rPr>
                              <w:t xml:space="preserve"> g</w:t>
                            </w:r>
                            <w:r w:rsidR="006A0250" w:rsidRPr="00105115">
                              <w:rPr>
                                <w:i w:val="0"/>
                                <w:color w:val="auto"/>
                                <w:sz w:val="24"/>
                                <w:szCs w:val="24"/>
                              </w:rPr>
                              <w:t xml:space="preserve">arnets </w:t>
                            </w:r>
                            <w:r w:rsidR="00F96A28" w:rsidRPr="00105115">
                              <w:rPr>
                                <w:i w:val="0"/>
                                <w:color w:val="auto"/>
                                <w:sz w:val="24"/>
                                <w:szCs w:val="24"/>
                              </w:rPr>
                              <w:t>from</w:t>
                            </w:r>
                            <w:r w:rsidR="006A0250" w:rsidRPr="00105115">
                              <w:rPr>
                                <w:i w:val="0"/>
                                <w:color w:val="auto"/>
                                <w:sz w:val="24"/>
                                <w:szCs w:val="24"/>
                              </w:rPr>
                              <w:t xml:space="preserve"> different zones that were measured by EPMA and were used </w:t>
                            </w:r>
                            <w:r w:rsidR="00DD3344" w:rsidRPr="00105115">
                              <w:rPr>
                                <w:i w:val="0"/>
                                <w:color w:val="auto"/>
                                <w:sz w:val="24"/>
                                <w:szCs w:val="24"/>
                              </w:rPr>
                              <w:t>in</w:t>
                            </w:r>
                            <w:r w:rsidR="006A0250" w:rsidRPr="00105115">
                              <w:rPr>
                                <w:i w:val="0"/>
                                <w:color w:val="auto"/>
                                <w:sz w:val="24"/>
                                <w:szCs w:val="24"/>
                              </w:rPr>
                              <w:t xml:space="preserve"> pseudosection modeling.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5F31EB05" id="_x0000_s1029" style="position:absolute;left:0;text-align:left;margin-left:-6.05pt;margin-top:43.7pt;width:468pt;height:37.6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" stroked="f">
                <v:path arrowok="t"/>
                <v:textbox style="mso-fit-shape-to-text:t" inset="0,0,0,0">
                  <w:txbxContent>
                    <w:p w:rsidR="009C7893" w:rsidRPr="00105115" w:rsidRDefault="009C7893" w:rsidP="009C7893">
                      <w:pPr>
                        <w:pStyle w:val="Caption"/>
                        <w:jc w:val="both"/>
                        <w:rPr>
                          <w:b/>
                          <w:i w:val="0"/>
                          <w:color w:val="auto"/>
                          <w:sz w:val="24"/>
                          <w:szCs w:val="24"/>
                        </w:rPr>
                      </w:pPr>
                      <w:r w:rsidRPr="00105115">
                        <w:rPr>
                          <w:b/>
                          <w:i w:val="0"/>
                          <w:color w:val="auto"/>
                          <w:sz w:val="24"/>
                          <w:szCs w:val="24"/>
                        </w:rPr>
                        <w:t xml:space="preserve">Figure </w:t>
                      </w:r>
                      <w:r w:rsidR="009F5CBE" w:rsidRPr="00105115">
                        <w:rPr>
                          <w:b/>
                          <w:i w:val="0"/>
                          <w:color w:val="auto"/>
                          <w:sz w:val="24"/>
                          <w:szCs w:val="24"/>
                        </w:rPr>
                        <w:t>S</w:t>
                      </w:r>
                      <w:r w:rsidR="009F5CBE">
                        <w:rPr>
                          <w:b/>
                          <w:i w:val="0"/>
                          <w:color w:val="auto"/>
                          <w:sz w:val="24"/>
                          <w:szCs w:val="24"/>
                        </w:rPr>
                        <w:t>6</w:t>
                      </w:r>
                      <w:r w:rsidRPr="00105115">
                        <w:rPr>
                          <w:i w:val="0"/>
                          <w:color w:val="auto"/>
                          <w:sz w:val="24"/>
                          <w:szCs w:val="24"/>
                        </w:rPr>
                        <w:t xml:space="preserve">. </w:t>
                      </w:r>
                      <w:r w:rsidR="006A0250" w:rsidRPr="00105115">
                        <w:rPr>
                          <w:i w:val="0"/>
                          <w:color w:val="auto"/>
                          <w:sz w:val="24"/>
                          <w:szCs w:val="24"/>
                        </w:rPr>
                        <w:t>T</w:t>
                      </w:r>
                      <w:r w:rsidR="00E73F02" w:rsidRPr="00105115">
                        <w:rPr>
                          <w:i w:val="0"/>
                          <w:color w:val="auto"/>
                          <w:sz w:val="24"/>
                          <w:szCs w:val="24"/>
                        </w:rPr>
                        <w:t>hin-</w:t>
                      </w:r>
                      <w:r w:rsidR="008074C2" w:rsidRPr="00105115">
                        <w:rPr>
                          <w:i w:val="0"/>
                          <w:color w:val="auto"/>
                          <w:sz w:val="24"/>
                          <w:szCs w:val="24"/>
                        </w:rPr>
                        <w:t xml:space="preserve">section photomicrographs showing </w:t>
                      </w:r>
                      <w:r w:rsidR="006A0250" w:rsidRPr="00105115">
                        <w:rPr>
                          <w:i w:val="0"/>
                          <w:color w:val="auto"/>
                          <w:sz w:val="24"/>
                          <w:szCs w:val="24"/>
                        </w:rPr>
                        <w:t>representative</w:t>
                      </w:r>
                      <w:r w:rsidR="008074C2" w:rsidRPr="00105115">
                        <w:rPr>
                          <w:i w:val="0"/>
                          <w:color w:val="auto"/>
                          <w:sz w:val="24"/>
                          <w:szCs w:val="24"/>
                        </w:rPr>
                        <w:t xml:space="preserve"> g</w:t>
                      </w:r>
                      <w:r w:rsidR="006A0250" w:rsidRPr="00105115">
                        <w:rPr>
                          <w:i w:val="0"/>
                          <w:color w:val="auto"/>
                          <w:sz w:val="24"/>
                          <w:szCs w:val="24"/>
                        </w:rPr>
                        <w:t xml:space="preserve">arnets </w:t>
                      </w:r>
                      <w:r w:rsidR="00F96A28" w:rsidRPr="00105115">
                        <w:rPr>
                          <w:i w:val="0"/>
                          <w:color w:val="auto"/>
                          <w:sz w:val="24"/>
                          <w:szCs w:val="24"/>
                        </w:rPr>
                        <w:t>from</w:t>
                      </w:r>
                      <w:r w:rsidR="006A0250" w:rsidRPr="00105115">
                        <w:rPr>
                          <w:i w:val="0"/>
                          <w:color w:val="auto"/>
                          <w:sz w:val="24"/>
                          <w:szCs w:val="24"/>
                        </w:rPr>
                        <w:t xml:space="preserve"> different zones that were measured by EPMA and were used </w:t>
                      </w:r>
                      <w:r w:rsidR="00DD3344" w:rsidRPr="00105115">
                        <w:rPr>
                          <w:i w:val="0"/>
                          <w:color w:val="auto"/>
                          <w:sz w:val="24"/>
                          <w:szCs w:val="24"/>
                        </w:rPr>
                        <w:t>in</w:t>
                      </w:r>
                      <w:r w:rsidR="006A0250" w:rsidRPr="00105115">
                        <w:rPr>
                          <w:i w:val="0"/>
                          <w:color w:val="auto"/>
                          <w:sz w:val="24"/>
                          <w:szCs w:val="24"/>
                        </w:rPr>
                        <w:t xml:space="preserve"> pseudosection modeling.</w:t>
                      </w:r>
                    </w:p>
                  </w:txbxContent>
                </v:textbox>
                <w10:wrap type="square" anchorx="margin"/>
              </v:rect>
            </w:pict>
          </mc:Fallback>
        </mc:AlternateContent>
      </w:r>
    </w:p>
    <w:p w:rsidR="00C0028F" w:rsidRDefault="00C0028F" w:rsidP="009C7893">
      <w:pPr>
        <w:pStyle w:val="FigureorTableCaption"/>
        <w:jc w:val="both"/>
        <w:rPr>
          <w:b/>
        </w:rPr>
      </w:pPr>
    </w:p>
    <w:p w:rsidR="00C0028F" w:rsidRDefault="00C0028F" w:rsidP="009C7893">
      <w:pPr>
        <w:pStyle w:val="FigureorTableCaption"/>
        <w:jc w:val="both"/>
        <w:rPr>
          <w:b/>
        </w:rPr>
      </w:pPr>
    </w:p>
    <w:p w:rsidR="00C0028F" w:rsidRDefault="00EE584B" w:rsidP="009C7893">
      <w:pPr>
        <w:pStyle w:val="FigureorTableCaption"/>
        <w:jc w:val="both"/>
        <w:rPr>
          <w:b/>
        </w:rPr>
      </w:pPr>
      <w:r w:rsidRPr="00EE584B">
        <w:rPr>
          <w:b/>
          <w:noProof/>
        </w:rPr>
        <w:drawing>
          <wp:anchor distT="0" distB="0" distL="114300" distR="114300" simplePos="0" relativeHeight="251679744" behindDoc="0" locked="0" layoutInCell="1" allowOverlap="1">
            <wp:simplePos x="914400" y="1566153"/>
            <wp:positionH relativeFrom="margin">
              <wp:align>center</wp:align>
            </wp:positionH>
            <wp:positionV relativeFrom="margin">
              <wp:align>top</wp:align>
            </wp:positionV>
            <wp:extent cx="3997960" cy="2947670"/>
            <wp:effectExtent l="0" t="0" r="0" b="0"/>
            <wp:wrapSquare wrapText="bothSides"/>
            <wp:docPr id="6" name="Picture 6" descr="C:\Users\GG-Guest\Desktop\Research\HP phase petrology and metasomatism\Manuscript\Edited version\In revision\For publication\combined comments\version\for coauthors\October 2021\for Submission\Reformat figures\Revision_Jan92022\Figures\Supp figs\Fig 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Guest\Desktop\Research\HP phase petrology and metasomatism\Manuscript\Edited version\In revision\For publication\combined comments\version\for coauthors\October 2021\for Submission\Reformat figures\Revision_Jan92022\Figures\Supp figs\Fig S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960" cy="2947670"/>
                    </a:xfrm>
                    <a:prstGeom prst="rect">
                      <a:avLst/>
                    </a:prstGeom>
                    <a:noFill/>
                    <a:ln>
                      <a:noFill/>
                    </a:ln>
                  </pic:spPr>
                </pic:pic>
              </a:graphicData>
            </a:graphic>
          </wp:anchor>
        </w:drawing>
      </w:r>
    </w:p>
    <w:p w:rsidR="00C0028F" w:rsidRDefault="00C0028F" w:rsidP="009C7893">
      <w:pPr>
        <w:pStyle w:val="FigureorTableCaption"/>
        <w:jc w:val="both"/>
        <w:rPr>
          <w:b/>
        </w:rPr>
      </w:pPr>
    </w:p>
    <w:p w:rsidR="00C0028F" w:rsidRDefault="00C0028F" w:rsidP="009C7893">
      <w:pPr>
        <w:pStyle w:val="FigureorTableCaption"/>
        <w:jc w:val="both"/>
        <w:rPr>
          <w:b/>
        </w:rPr>
      </w:pPr>
    </w:p>
    <w:p w:rsidR="00C0028F" w:rsidRDefault="00C0028F" w:rsidP="009C7893">
      <w:pPr>
        <w:pStyle w:val="FigureorTableCaption"/>
        <w:jc w:val="both"/>
        <w:rPr>
          <w:b/>
        </w:rPr>
      </w:pPr>
    </w:p>
    <w:p w:rsidR="00C0028F" w:rsidRDefault="00C0028F" w:rsidP="009C7893">
      <w:pPr>
        <w:pStyle w:val="FigureorTableCaption"/>
        <w:jc w:val="both"/>
        <w:rPr>
          <w:b/>
        </w:rPr>
      </w:pPr>
    </w:p>
    <w:p w:rsidR="00C0028F" w:rsidRDefault="00C0028F" w:rsidP="009C7893">
      <w:pPr>
        <w:pStyle w:val="FigureorTableCaption"/>
        <w:jc w:val="both"/>
        <w:rPr>
          <w:b/>
        </w:rPr>
      </w:pPr>
    </w:p>
    <w:p w:rsidR="00C0028F" w:rsidRDefault="00C0028F" w:rsidP="009C7893">
      <w:pPr>
        <w:pStyle w:val="FigureorTableCaption"/>
        <w:jc w:val="both"/>
        <w:rPr>
          <w:b/>
        </w:rPr>
      </w:pPr>
    </w:p>
    <w:p w:rsidR="00C0028F" w:rsidRDefault="00C0028F" w:rsidP="009C7893">
      <w:pPr>
        <w:pStyle w:val="FigureorTableCaption"/>
        <w:jc w:val="both"/>
        <w:rPr>
          <w:b/>
        </w:rPr>
      </w:pPr>
    </w:p>
    <w:p w:rsidR="003F53CB" w:rsidRPr="007F3326" w:rsidRDefault="003F53CB" w:rsidP="00105115">
      <w:pPr>
        <w:pStyle w:val="FigureorTableCaption"/>
        <w:jc w:val="both"/>
        <w:rPr>
          <w:b/>
        </w:rPr>
      </w:pPr>
      <w:r w:rsidRPr="007F3326">
        <w:rPr>
          <w:b/>
        </w:rPr>
        <w:t>Figure S</w:t>
      </w:r>
      <w:r w:rsidR="009F5CBE">
        <w:rPr>
          <w:b/>
        </w:rPr>
        <w:t>7</w:t>
      </w:r>
      <w:r w:rsidRPr="007F3326">
        <w:t>. Primitive mantle-normalized (La/Sm</w:t>
      </w:r>
      <w:proofErr w:type="gramStart"/>
      <w:r w:rsidRPr="007F3326">
        <w:t>)</w:t>
      </w:r>
      <w:r w:rsidRPr="007F3326">
        <w:rPr>
          <w:vertAlign w:val="subscript"/>
        </w:rPr>
        <w:t>N</w:t>
      </w:r>
      <w:proofErr w:type="gramEnd"/>
      <w:r w:rsidRPr="007F3326">
        <w:t xml:space="preserve"> ratio across the serpentinite-metagabbro transect. Primitive mantle is from McDonough and Sun </w:t>
      </w:r>
      <w:r>
        <w:fldChar w:fldCharType="begin"/>
      </w:r>
      <w:r w:rsidR="003F25E0">
        <w:instrText xml:space="preserve"> ADDIN ZOTERO_ITEM CSL_CITATION {"citationID":"a2i0dvpic8a","properties":{"formattedCitation":"\\uldash{(McDonough and Sun, 1995)}","plainCitation":"(McDonough and Sun, 1995)","dontUpdate":true,"noteIndex":0},"citationItems":[{"id":483,"uris":["http://zotero.org/users/3840662/items/P5Q4SJ55"],"uri":["http://zotero.org/users/3840662/items/P5Q4SJ55"],"itemData":{"id":483,"type":"article-journal","abstract":"Compositional models of the Earth are critically dependent on three main sources of information: the seismic profile of the Earth and its interpretation, comparisons between primitive meteorites and the solar nebula composition, and chemical and petrological models of peridotite-basalt melting relationships. Whereas a family of compositional models for the Earth are permissible based on these methods, the model that is most consistent with the seismological and geodynamic structure of the Earth comprises an upper and lower mantle of similar composition, an Fe</w:instrText>
      </w:r>
      <w:r w:rsidR="003F25E0">
        <w:rPr>
          <w:rFonts w:hint="eastAsia"/>
        </w:rPr>
        <w:instrText></w:instrText>
      </w:r>
      <w:r w:rsidR="003F25E0">
        <w:instrText xml:space="preserve">Ni core having between 5% and 15% of a low-atomic-weight element, and a mantle which, when compared to CI carbonaceous chondrites, is depleted in Mg and Si relative to the refractory lithophile elements. The absolute and relative abundances of the refractory elements in carbonaceous, ordinary, and enstatite chondritic meteorites are compared. The bulk composition of an average CI carbonaceous chondrite is defined from previous compilations and from the refractory element compositions of different groups of chondrites. The absolute uncertainties in their refractory element compositions are evaluated by comparing ratios of these elements. These data are then used to evaluate existing models of the composition of the Silicate Earth. The systematic behavior of major and trace elements during differentiation of the mantle is used to constrain the Silicate Earth composition. Seemingly fertile peridotites have experienced a previous melting event that must be accounted for when developing these models. The approach taken here avoids unnecessary assumptions inherent in several existing models, and results in an internally consistent Silicate Earth composition having chondritic proportions of the refractory lithophile elements at </w:instrText>
      </w:r>
      <w:r w:rsidR="003F25E0">
        <w:rPr>
          <w:rFonts w:ascii="Cambria Math" w:hAnsi="Cambria Math" w:cs="Cambria Math"/>
        </w:rPr>
        <w:instrText>∼</w:instrText>
      </w:r>
      <w:r w:rsidR="003F25E0">
        <w:instrText xml:space="preserve"> 2.75 times that in CI carbonaceous chondrites. Element ratios in peridotites, komatiites, basalts and various crustal rocks are used to assess the abundances of both non-lithophile and non-refractory elements in the Silicate Earth. These data provide insights into the accretion processes of the Earth, the chemical evolution of the Earth's mantle, the effect of core formation, and indicate negligible exchange between the core and mantle throughout the geologic record (the last 3.5 Ga). The composition of the Earth's core is poorly constrained beyond its major constituents (i.e. an Fe</w:instrText>
      </w:r>
      <w:r w:rsidR="003F25E0">
        <w:rPr>
          <w:rFonts w:hint="eastAsia"/>
        </w:rPr>
        <w:instrText></w:instrText>
      </w:r>
      <w:r w:rsidR="003F25E0">
        <w:instrText>Ni alloy). Density contrasts between the inner and outer core boundary are used to suggest the presence (</w:instrText>
      </w:r>
      <w:r w:rsidR="003F25E0">
        <w:rPr>
          <w:rFonts w:ascii="Cambria Math" w:hAnsi="Cambria Math" w:cs="Cambria Math"/>
        </w:rPr>
        <w:instrText>∼</w:instrText>
      </w:r>
      <w:r w:rsidR="003F25E0">
        <w:instrText xml:space="preserve"> 10 ± 5%) of a light element or a combination of elements (e.g., O, S, Si) in the outer core. The core is the dominant repository of siderophile elements in the Earth. The limits of our understanding of the core's composition (including the light-element component) depend on models of core formation and the class of chondritic meteorites we have chosen when constructing models of the bulk Earth's composition. The Earth has a bulk FeAl of </w:instrText>
      </w:r>
      <w:r w:rsidR="003F25E0">
        <w:rPr>
          <w:rFonts w:ascii="Cambria Math" w:hAnsi="Cambria Math" w:cs="Cambria Math"/>
        </w:rPr>
        <w:instrText>∼</w:instrText>
      </w:r>
      <w:r w:rsidR="003F25E0">
        <w:instrText xml:space="preserve"> 20 ± 2, established by assuming that the Earth's budget of Al is stored entirely within the Silicate Earth and Fe is partitioned between the Silicate Earth (</w:instrText>
      </w:r>
      <w:r w:rsidR="003F25E0">
        <w:rPr>
          <w:rFonts w:ascii="Cambria Math" w:hAnsi="Cambria Math" w:cs="Cambria Math"/>
        </w:rPr>
        <w:instrText>∼</w:instrText>
      </w:r>
      <w:r w:rsidR="003F25E0">
        <w:instrText xml:space="preserve"> 14%) and the core (</w:instrText>
      </w:r>
      <w:r w:rsidR="003F25E0">
        <w:rPr>
          <w:rFonts w:ascii="Cambria Math" w:hAnsi="Cambria Math" w:cs="Cambria Math"/>
        </w:rPr>
        <w:instrText>∼</w:instrText>
      </w:r>
      <w:r w:rsidR="003F25E0">
        <w:instrText xml:space="preserve"> 86%). Chondritic meteorites display a range of FeAl ratios, with many having a value close to 20. A comparison of the bulk composition of the Earth and chondritic meteorites reveals both similarities and differences, with the Earth being more strongly depleted in the more volatile elements. There is no group of meteorites that has a bulk composition matching that of the Earth's.","container-title":"Chemical Evolution of the Mantle","DOI":"10.1016/0009-2541(94)00140-4","ISSN":"0009-2541","issue":"3","journalAbbreviation":"Chemical Geology","page":"223-253","title":"The composition of the Earth","volume":"120","author":[{"family":"McDonough","given":"W.F."},{"family":"Sun","given":"S.-s."}],"issued":{"date-parts":[["1995",3,1]]}}}],"schema":"https://github.com/citation-style-language/schema/raw/master/csl-citation.json"} </w:instrText>
      </w:r>
      <w:r>
        <w:fldChar w:fldCharType="separate"/>
      </w:r>
      <w:r w:rsidRPr="003F53CB">
        <w:rPr>
          <w:u w:val="dash"/>
        </w:rPr>
        <w:t>(1995)</w:t>
      </w:r>
      <w:r>
        <w:fldChar w:fldCharType="end"/>
      </w:r>
      <w:r w:rsidRPr="007F3326">
        <w:t>.</w:t>
      </w:r>
    </w:p>
    <w:p w:rsidR="009C7893" w:rsidRPr="00E73F02" w:rsidRDefault="009C7893" w:rsidP="00105115">
      <w:pPr>
        <w:tabs>
          <w:tab w:val="left" w:pos="2760"/>
        </w:tabs>
        <w:jc w:val="both"/>
        <w:rPr>
          <w:b/>
        </w:rPr>
      </w:pPr>
    </w:p>
    <w:p w:rsidR="009C7893" w:rsidRPr="00D95A7D" w:rsidRDefault="009C7893" w:rsidP="009C7893">
      <w:pPr>
        <w:pStyle w:val="FigureorTableCaption"/>
        <w:jc w:val="both"/>
        <w:rPr>
          <w:b/>
        </w:rPr>
      </w:pPr>
    </w:p>
    <w:p w:rsidR="009C7893" w:rsidRPr="00D95A7D" w:rsidRDefault="00C0028F" w:rsidP="009C7893">
      <w:pPr>
        <w:pStyle w:val="FigureorTableCaption"/>
        <w:jc w:val="both"/>
        <w:rPr>
          <w:b/>
        </w:rPr>
      </w:pPr>
      <w:r w:rsidRPr="00E73F02">
        <w:rPr>
          <w:b/>
          <w:noProof/>
        </w:rPr>
        <w:drawing>
          <wp:anchor distT="0" distB="0" distL="114300" distR="114300" simplePos="0" relativeHeight="251665408" behindDoc="0" locked="0" layoutInCell="1" allowOverlap="1" wp14:anchorId="4E051EF8" wp14:editId="35820176">
            <wp:simplePos x="0" y="0"/>
            <wp:positionH relativeFrom="margin">
              <wp:posOffset>1091254</wp:posOffset>
            </wp:positionH>
            <wp:positionV relativeFrom="margin">
              <wp:posOffset>461497</wp:posOffset>
            </wp:positionV>
            <wp:extent cx="3401060" cy="2618740"/>
            <wp:effectExtent l="0" t="0" r="8890" b="0"/>
            <wp:wrapSquare wrapText="bothSides"/>
            <wp:docPr id="28" name="Picture 35" descr="C:\Users\GG-Guest\Desktop\Research\HP phase petrology and metasomatism\DATA\Prelim figures\Figures for publication\pore fluid f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C:\Users\GG-Guest\Desktop\Research\HP phase petrology and metasomatism\DATA\Prelim figures\Figures for publication\pore fluid fo2.png"/>
                    <pic:cNvPicPr>
                      <a:picLocks noChangeAspect="1"/>
                    </pic:cNvPicPr>
                  </pic:nvPicPr>
                  <pic:blipFill>
                    <a:blip r:embed="rId13"/>
                    <a:stretch/>
                  </pic:blipFill>
                  <pic:spPr bwMode="auto">
                    <a:xfrm>
                      <a:off x="0" y="0"/>
                      <a:ext cx="3401060" cy="2618740"/>
                    </a:xfrm>
                    <a:prstGeom prst="rect">
                      <a:avLst/>
                    </a:prstGeom>
                    <a:noFill/>
                    <a:ln>
                      <a:noFill/>
                    </a:ln>
                  </pic:spPr>
                </pic:pic>
              </a:graphicData>
            </a:graphic>
          </wp:anchor>
        </w:drawing>
      </w: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111DC4" w:rsidRPr="00D95A7D" w:rsidRDefault="00111DC4" w:rsidP="009C7893">
      <w:pPr>
        <w:pStyle w:val="FigureorTableCaption"/>
        <w:jc w:val="both"/>
        <w:rPr>
          <w:b/>
        </w:rPr>
      </w:pPr>
    </w:p>
    <w:p w:rsidR="00111DC4" w:rsidRPr="00D95A7D" w:rsidRDefault="00111DC4" w:rsidP="009C7893">
      <w:pPr>
        <w:pStyle w:val="FigureorTableCaption"/>
        <w:jc w:val="both"/>
        <w:rPr>
          <w:b/>
        </w:rPr>
      </w:pPr>
    </w:p>
    <w:p w:rsidR="009C7893" w:rsidRPr="00D95A7D" w:rsidRDefault="009C7893" w:rsidP="009C7893">
      <w:pPr>
        <w:pStyle w:val="FigureorTableCaption"/>
        <w:jc w:val="both"/>
        <w:rPr>
          <w:b/>
        </w:rPr>
      </w:pPr>
      <w:r w:rsidRPr="00E73F02">
        <w:rPr>
          <w:noProof/>
        </w:rPr>
        <mc:AlternateContent>
          <mc:Choice Requires="wps">
            <w:drawing>
              <wp:anchor distT="0" distB="0" distL="114300" distR="114300" simplePos="0" relativeHeight="251666432" behindDoc="0" locked="0" layoutInCell="1" allowOverlap="1" wp14:anchorId="577EDEE3" wp14:editId="39398E32">
                <wp:simplePos x="0" y="0"/>
                <wp:positionH relativeFrom="margin">
                  <wp:align>right</wp:align>
                </wp:positionH>
                <wp:positionV relativeFrom="paragraph">
                  <wp:posOffset>514350</wp:posOffset>
                </wp:positionV>
                <wp:extent cx="5934075" cy="813435"/>
                <wp:effectExtent l="0" t="0" r="9525" b="0"/>
                <wp:wrapSquare wrapText="bothSides"/>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075" cy="813435"/>
                        </a:xfrm>
                        <a:prstGeom prst="rect">
                          <a:avLst/>
                        </a:prstGeom>
                        <a:solidFill>
                          <a:prstClr val="white"/>
                        </a:solidFill>
                        <a:ln>
                          <a:noFill/>
                        </a:ln>
                      </wps:spPr>
                      <wps:txbx>
                        <w:txbxContent>
                          <w:p w:rsidR="009C7893" w:rsidRPr="00105115" w:rsidRDefault="009C7893" w:rsidP="009C7893">
                            <w:pPr>
                              <w:pStyle w:val="Caption"/>
                              <w:jc w:val="both"/>
                              <w:rPr>
                                <w:b/>
                                <w:i w:val="0"/>
                                <w:color w:val="auto"/>
                                <w:sz w:val="24"/>
                                <w:szCs w:val="24"/>
                              </w:rPr>
                            </w:pPr>
                            <w:r w:rsidRPr="00105115">
                              <w:rPr>
                                <w:b/>
                                <w:i w:val="0"/>
                                <w:color w:val="auto"/>
                                <w:sz w:val="24"/>
                                <w:szCs w:val="24"/>
                              </w:rPr>
                              <w:t xml:space="preserve">Figure </w:t>
                            </w:r>
                            <w:r w:rsidR="009F5CBE" w:rsidRPr="00105115">
                              <w:rPr>
                                <w:b/>
                                <w:i w:val="0"/>
                                <w:color w:val="auto"/>
                                <w:sz w:val="24"/>
                                <w:szCs w:val="24"/>
                              </w:rPr>
                              <w:t>S</w:t>
                            </w:r>
                            <w:r w:rsidR="009F5CBE">
                              <w:rPr>
                                <w:b/>
                                <w:i w:val="0"/>
                                <w:color w:val="auto"/>
                                <w:sz w:val="24"/>
                                <w:szCs w:val="24"/>
                              </w:rPr>
                              <w:t>8</w:t>
                            </w:r>
                            <w:r w:rsidRPr="00105115">
                              <w:rPr>
                                <w:i w:val="0"/>
                                <w:color w:val="auto"/>
                                <w:sz w:val="24"/>
                                <w:szCs w:val="24"/>
                              </w:rPr>
                              <w:t>. Predicted oxygen fugacity (fO</w:t>
                            </w:r>
                            <w:r w:rsidRPr="00105115">
                              <w:rPr>
                                <w:i w:val="0"/>
                                <w:color w:val="auto"/>
                                <w:sz w:val="24"/>
                                <w:szCs w:val="24"/>
                                <w:vertAlign w:val="subscript"/>
                              </w:rPr>
                              <w:t>2</w:t>
                            </w:r>
                            <w:r w:rsidRPr="00105115">
                              <w:rPr>
                                <w:i w:val="0"/>
                                <w:color w:val="auto"/>
                                <w:sz w:val="24"/>
                                <w:szCs w:val="24"/>
                              </w:rPr>
                              <w:t xml:space="preserve">) of the equilibrium fluid during high P-T metasomatism as a function of fluid-to-rock mass ratio. A fluid equilibrated with serpentinite (at f/r ~100) is subsequently allowed to react with oxide gabbro at 500 °C, 1.0–2.5 </w:t>
                            </w:r>
                            <w:proofErr w:type="gramStart"/>
                            <w:r w:rsidRPr="00105115">
                              <w:rPr>
                                <w:i w:val="0"/>
                                <w:color w:val="auto"/>
                                <w:sz w:val="24"/>
                                <w:szCs w:val="24"/>
                              </w:rPr>
                              <w:t>GPa</w:t>
                            </w:r>
                            <w:proofErr w:type="gramEnd"/>
                            <w:r w:rsidRPr="00105115">
                              <w:rPr>
                                <w:i w:val="0"/>
                                <w:color w:val="auto"/>
                                <w:sz w:val="24"/>
                                <w:szCs w:val="24"/>
                              </w:rPr>
                              <w:t xml:space="preserve">. The f/r decreases as gabbro is titrated into the fluid.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577EDEE3" id="Text Box 36" o:spid="_x0000_s1030" style="position:absolute;left:0;text-align:left;margin-left:416.05pt;margin-top:40.5pt;width:467.25pt;height:64.0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" stroked="f">
                <v:path arrowok="t"/>
                <v:textbox style="mso-fit-shape-to-text:t" inset="0,0,0,0">
                  <w:txbxContent>
                    <w:p w:rsidR="009C7893" w:rsidRPr="00105115" w:rsidRDefault="009C7893" w:rsidP="009C7893">
                      <w:pPr>
                        <w:pStyle w:val="Caption"/>
                        <w:jc w:val="both"/>
                        <w:rPr>
                          <w:b/>
                          <w:i w:val="0"/>
                          <w:color w:val="auto"/>
                          <w:sz w:val="24"/>
                          <w:szCs w:val="24"/>
                        </w:rPr>
                      </w:pPr>
                      <w:r w:rsidRPr="00105115">
                        <w:rPr>
                          <w:b/>
                          <w:i w:val="0"/>
                          <w:color w:val="auto"/>
                          <w:sz w:val="24"/>
                          <w:szCs w:val="24"/>
                        </w:rPr>
                        <w:t xml:space="preserve">Figure </w:t>
                      </w:r>
                      <w:r w:rsidR="009F5CBE" w:rsidRPr="00105115">
                        <w:rPr>
                          <w:b/>
                          <w:i w:val="0"/>
                          <w:color w:val="auto"/>
                          <w:sz w:val="24"/>
                          <w:szCs w:val="24"/>
                        </w:rPr>
                        <w:t>S</w:t>
                      </w:r>
                      <w:r w:rsidR="009F5CBE">
                        <w:rPr>
                          <w:b/>
                          <w:i w:val="0"/>
                          <w:color w:val="auto"/>
                          <w:sz w:val="24"/>
                          <w:szCs w:val="24"/>
                        </w:rPr>
                        <w:t>8</w:t>
                      </w:r>
                      <w:r w:rsidRPr="00105115">
                        <w:rPr>
                          <w:i w:val="0"/>
                          <w:color w:val="auto"/>
                          <w:sz w:val="24"/>
                          <w:szCs w:val="24"/>
                        </w:rPr>
                        <w:t>. Predicted oxygen fugacity (fO</w:t>
                      </w:r>
                      <w:r w:rsidRPr="00105115">
                        <w:rPr>
                          <w:i w:val="0"/>
                          <w:color w:val="auto"/>
                          <w:sz w:val="24"/>
                          <w:szCs w:val="24"/>
                          <w:vertAlign w:val="subscript"/>
                        </w:rPr>
                        <w:t>2</w:t>
                      </w:r>
                      <w:r w:rsidRPr="00105115">
                        <w:rPr>
                          <w:i w:val="0"/>
                          <w:color w:val="auto"/>
                          <w:sz w:val="24"/>
                          <w:szCs w:val="24"/>
                        </w:rPr>
                        <w:t xml:space="preserve">) of the equilibrium fluid during high P-T metasomatism as a function of fluid-to-rock mass ratio. A fluid equilibrated with serpentinite (at f/r ~100) is subsequently allowed to react with oxide gabbro at 500 °C, 1.0–2.5 GPa. The f/r decreases as gabbro is titrated into the fluid. </w:t>
                      </w:r>
                    </w:p>
                  </w:txbxContent>
                </v:textbox>
                <w10:wrap type="square" anchorx="margin"/>
              </v:rect>
            </w:pict>
          </mc:Fallback>
        </mc:AlternateContent>
      </w: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Pr="00D95A7D" w:rsidRDefault="009C7893" w:rsidP="009C7893">
      <w:pPr>
        <w:pStyle w:val="FigureorTableCaption"/>
        <w:jc w:val="both"/>
        <w:rPr>
          <w:b/>
        </w:rPr>
      </w:pPr>
    </w:p>
    <w:p w:rsidR="009C7893" w:rsidRDefault="0042026A" w:rsidP="009C7893">
      <w:r w:rsidRPr="0042026A">
        <w:rPr>
          <w:noProof/>
        </w:rPr>
        <w:lastRenderedPageBreak/>
        <w:drawing>
          <wp:inline distT="0" distB="0" distL="0" distR="0">
            <wp:extent cx="5943600" cy="3204214"/>
            <wp:effectExtent l="0" t="0" r="0" b="0"/>
            <wp:docPr id="8" name="Picture 8" descr="C:\Users\GG-Guest\Desktop\to be submitted\Supp figs\Fig 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Guest\Desktop\to be submitted\Supp figs\Fig S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04214"/>
                    </a:xfrm>
                    <a:prstGeom prst="rect">
                      <a:avLst/>
                    </a:prstGeom>
                    <a:noFill/>
                    <a:ln>
                      <a:noFill/>
                    </a:ln>
                  </pic:spPr>
                </pic:pic>
              </a:graphicData>
            </a:graphic>
          </wp:inline>
        </w:drawing>
      </w:r>
      <w:r w:rsidR="00355791" w:rsidRPr="00E73F02">
        <w:rPr>
          <w:noProof/>
        </w:rPr>
        <mc:AlternateContent>
          <mc:Choice Requires="wps">
            <w:drawing>
              <wp:anchor distT="0" distB="0" distL="114300" distR="114300" simplePos="0" relativeHeight="251668480" behindDoc="0" locked="0" layoutInCell="1" allowOverlap="1" wp14:anchorId="7010E4EF" wp14:editId="532B9DAF">
                <wp:simplePos x="0" y="0"/>
                <wp:positionH relativeFrom="margin">
                  <wp:align>right</wp:align>
                </wp:positionH>
                <wp:positionV relativeFrom="paragraph">
                  <wp:posOffset>3379470</wp:posOffset>
                </wp:positionV>
                <wp:extent cx="5943600" cy="704088"/>
                <wp:effectExtent l="0" t="0" r="0" b="1270"/>
                <wp:wrapSquare wrapText="bothSides"/>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704088"/>
                        </a:xfrm>
                        <a:prstGeom prst="rect">
                          <a:avLst/>
                        </a:prstGeom>
                        <a:solidFill>
                          <a:prstClr val="white"/>
                        </a:solidFill>
                        <a:ln>
                          <a:noFill/>
                        </a:ln>
                      </wps:spPr>
                      <wps:txbx>
                        <w:txbxContent>
                          <w:p w:rsidR="009C7893" w:rsidRPr="00105115" w:rsidRDefault="009C7893" w:rsidP="009C7893">
                            <w:pPr>
                              <w:pStyle w:val="Caption"/>
                              <w:jc w:val="both"/>
                              <w:rPr>
                                <w:b/>
                                <w:i w:val="0"/>
                                <w:color w:val="auto"/>
                                <w:sz w:val="24"/>
                                <w:szCs w:val="24"/>
                              </w:rPr>
                            </w:pPr>
                            <w:r w:rsidRPr="00105115">
                              <w:rPr>
                                <w:b/>
                                <w:i w:val="0"/>
                                <w:color w:val="auto"/>
                                <w:sz w:val="24"/>
                                <w:szCs w:val="24"/>
                              </w:rPr>
                              <w:t xml:space="preserve">Figure </w:t>
                            </w:r>
                            <w:r w:rsidR="009F5CBE" w:rsidRPr="00105115">
                              <w:rPr>
                                <w:b/>
                                <w:i w:val="0"/>
                                <w:color w:val="auto"/>
                                <w:sz w:val="24"/>
                                <w:szCs w:val="24"/>
                              </w:rPr>
                              <w:t>S</w:t>
                            </w:r>
                            <w:r w:rsidR="009F5CBE">
                              <w:rPr>
                                <w:b/>
                                <w:i w:val="0"/>
                                <w:color w:val="auto"/>
                                <w:sz w:val="24"/>
                                <w:szCs w:val="24"/>
                              </w:rPr>
                              <w:t>9</w:t>
                            </w:r>
                            <w:r w:rsidRPr="00105115">
                              <w:rPr>
                                <w:i w:val="0"/>
                                <w:color w:val="auto"/>
                                <w:sz w:val="24"/>
                                <w:szCs w:val="24"/>
                              </w:rPr>
                              <w:t xml:space="preserve">. Predicted alteration mineralogy and fluid composition during high P-T metasomatism as a function of fluid-to-rock mass ratio. A fluid equilibrated with serpentinite (at f/r </w:t>
                            </w:r>
                            <w:r w:rsidR="00355791">
                              <w:rPr>
                                <w:i w:val="0"/>
                                <w:color w:val="auto"/>
                                <w:sz w:val="24"/>
                                <w:szCs w:val="24"/>
                              </w:rPr>
                              <w:t xml:space="preserve">&gt; </w:t>
                            </w:r>
                            <w:r w:rsidRPr="00105115">
                              <w:rPr>
                                <w:i w:val="0"/>
                                <w:color w:val="auto"/>
                                <w:sz w:val="24"/>
                                <w:szCs w:val="24"/>
                              </w:rPr>
                              <w:t>100</w:t>
                            </w:r>
                            <w:r w:rsidR="00175C5F">
                              <w:rPr>
                                <w:i w:val="0"/>
                                <w:color w:val="auto"/>
                                <w:sz w:val="24"/>
                                <w:szCs w:val="24"/>
                              </w:rPr>
                              <w:t>0</w:t>
                            </w:r>
                            <w:r w:rsidRPr="00105115">
                              <w:rPr>
                                <w:i w:val="0"/>
                                <w:color w:val="auto"/>
                                <w:sz w:val="24"/>
                                <w:szCs w:val="24"/>
                              </w:rPr>
                              <w:t xml:space="preserve">) is subsequently allowed to react with eclogitic metagabbro in Zone V at 450–550 °C, 2.0 </w:t>
                            </w:r>
                            <w:proofErr w:type="gramStart"/>
                            <w:r w:rsidRPr="00105115">
                              <w:rPr>
                                <w:i w:val="0"/>
                                <w:color w:val="auto"/>
                                <w:sz w:val="24"/>
                                <w:szCs w:val="24"/>
                              </w:rPr>
                              <w:t>GPa</w:t>
                            </w:r>
                            <w:proofErr w:type="gramEnd"/>
                            <w:r w:rsidRPr="00105115">
                              <w:rPr>
                                <w:i w:val="0"/>
                                <w:color w:val="auto"/>
                                <w:sz w:val="24"/>
                                <w:szCs w:val="24"/>
                              </w:rPr>
                              <w:t xml:space="preserve">. The f/r decreases as </w:t>
                            </w:r>
                            <w:r w:rsidR="004E426C">
                              <w:rPr>
                                <w:i w:val="0"/>
                                <w:color w:val="auto"/>
                                <w:sz w:val="24"/>
                                <w:szCs w:val="24"/>
                              </w:rPr>
                              <w:t>eclogite</w:t>
                            </w:r>
                            <w:r w:rsidRPr="00105115">
                              <w:rPr>
                                <w:i w:val="0"/>
                                <w:color w:val="auto"/>
                                <w:sz w:val="24"/>
                                <w:szCs w:val="24"/>
                              </w:rPr>
                              <w:t xml:space="preserve"> is titrated into the fluid.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010E4EF" id="Text Box 15" o:spid="_x0000_s1031" style="position:absolute;margin-left:416.8pt;margin-top:266.1pt;width:468pt;height:55.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" stroked="f">
                <v:path arrowok="t"/>
                <v:textbox inset="0,0,0,0">
                  <w:txbxContent>
                    <w:p w:rsidR="009C7893" w:rsidRPr="00105115" w:rsidRDefault="009C7893" w:rsidP="009C7893">
                      <w:pPr>
                        <w:pStyle w:val="Caption"/>
                        <w:jc w:val="both"/>
                        <w:rPr>
                          <w:b/>
                          <w:i w:val="0"/>
                          <w:color w:val="auto"/>
                          <w:sz w:val="24"/>
                          <w:szCs w:val="24"/>
                        </w:rPr>
                      </w:pPr>
                      <w:r w:rsidRPr="00105115">
                        <w:rPr>
                          <w:b/>
                          <w:i w:val="0"/>
                          <w:color w:val="auto"/>
                          <w:sz w:val="24"/>
                          <w:szCs w:val="24"/>
                        </w:rPr>
                        <w:t xml:space="preserve">Figure </w:t>
                      </w:r>
                      <w:r w:rsidR="009F5CBE" w:rsidRPr="00105115">
                        <w:rPr>
                          <w:b/>
                          <w:i w:val="0"/>
                          <w:color w:val="auto"/>
                          <w:sz w:val="24"/>
                          <w:szCs w:val="24"/>
                        </w:rPr>
                        <w:t>S</w:t>
                      </w:r>
                      <w:r w:rsidR="009F5CBE">
                        <w:rPr>
                          <w:b/>
                          <w:i w:val="0"/>
                          <w:color w:val="auto"/>
                          <w:sz w:val="24"/>
                          <w:szCs w:val="24"/>
                        </w:rPr>
                        <w:t>9</w:t>
                      </w:r>
                      <w:r w:rsidRPr="00105115">
                        <w:rPr>
                          <w:i w:val="0"/>
                          <w:color w:val="auto"/>
                          <w:sz w:val="24"/>
                          <w:szCs w:val="24"/>
                        </w:rPr>
                        <w:t xml:space="preserve">. Predicted alteration mineralogy and fluid composition during high P-T metasomatism as a function of fluid-to-rock mass ratio. A fluid equilibrated with serpentinite (at f/r </w:t>
                      </w:r>
                      <w:r w:rsidR="00355791">
                        <w:rPr>
                          <w:i w:val="0"/>
                          <w:color w:val="auto"/>
                          <w:sz w:val="24"/>
                          <w:szCs w:val="24"/>
                        </w:rPr>
                        <w:t xml:space="preserve">&gt; </w:t>
                      </w:r>
                      <w:r w:rsidRPr="00105115">
                        <w:rPr>
                          <w:i w:val="0"/>
                          <w:color w:val="auto"/>
                          <w:sz w:val="24"/>
                          <w:szCs w:val="24"/>
                        </w:rPr>
                        <w:t>100</w:t>
                      </w:r>
                      <w:r w:rsidR="00175C5F">
                        <w:rPr>
                          <w:i w:val="0"/>
                          <w:color w:val="auto"/>
                          <w:sz w:val="24"/>
                          <w:szCs w:val="24"/>
                        </w:rPr>
                        <w:t>0</w:t>
                      </w:r>
                      <w:r w:rsidRPr="00105115">
                        <w:rPr>
                          <w:i w:val="0"/>
                          <w:color w:val="auto"/>
                          <w:sz w:val="24"/>
                          <w:szCs w:val="24"/>
                        </w:rPr>
                        <w:t xml:space="preserve">) is subsequently allowed to react with eclogitic metagabbro in Zone V at 450–550 °C, 2.0 </w:t>
                      </w:r>
                      <w:proofErr w:type="gramStart"/>
                      <w:r w:rsidRPr="00105115">
                        <w:rPr>
                          <w:i w:val="0"/>
                          <w:color w:val="auto"/>
                          <w:sz w:val="24"/>
                          <w:szCs w:val="24"/>
                        </w:rPr>
                        <w:t>GPa</w:t>
                      </w:r>
                      <w:proofErr w:type="gramEnd"/>
                      <w:r w:rsidRPr="00105115">
                        <w:rPr>
                          <w:i w:val="0"/>
                          <w:color w:val="auto"/>
                          <w:sz w:val="24"/>
                          <w:szCs w:val="24"/>
                        </w:rPr>
                        <w:t xml:space="preserve">. The f/r decreases as </w:t>
                      </w:r>
                      <w:r w:rsidR="004E426C">
                        <w:rPr>
                          <w:i w:val="0"/>
                          <w:color w:val="auto"/>
                          <w:sz w:val="24"/>
                          <w:szCs w:val="24"/>
                        </w:rPr>
                        <w:t>eclogite</w:t>
                      </w:r>
                      <w:r w:rsidRPr="00105115">
                        <w:rPr>
                          <w:i w:val="0"/>
                          <w:color w:val="auto"/>
                          <w:sz w:val="24"/>
                          <w:szCs w:val="24"/>
                        </w:rPr>
                        <w:t xml:space="preserve"> is titrated into the fluid. </w:t>
                      </w:r>
                    </w:p>
                  </w:txbxContent>
                </v:textbox>
                <w10:wrap type="square" anchorx="margin"/>
              </v:rect>
            </w:pict>
          </mc:Fallback>
        </mc:AlternateContent>
      </w:r>
    </w:p>
    <w:p w:rsidR="00355791" w:rsidRDefault="00355791" w:rsidP="009C7893"/>
    <w:p w:rsidR="00355791" w:rsidRDefault="00355791" w:rsidP="009C7893"/>
    <w:p w:rsidR="00355791" w:rsidRDefault="00355791" w:rsidP="009C7893"/>
    <w:p w:rsidR="00355791" w:rsidRDefault="00355791" w:rsidP="009C7893"/>
    <w:p w:rsidR="00355791" w:rsidRDefault="00355791" w:rsidP="009C7893"/>
    <w:p w:rsidR="00355791" w:rsidRDefault="00355791" w:rsidP="009C7893"/>
    <w:p w:rsidR="00355791" w:rsidRDefault="00355791" w:rsidP="009C7893"/>
    <w:p w:rsidR="00355791" w:rsidRDefault="00355791" w:rsidP="009C7893"/>
    <w:p w:rsidR="00355791" w:rsidRDefault="00355791" w:rsidP="009C7893"/>
    <w:p w:rsidR="00355791" w:rsidRPr="00D95A7D" w:rsidRDefault="00355791" w:rsidP="009C7893"/>
    <w:p w:rsidR="009C7893" w:rsidRPr="00D95A7D" w:rsidRDefault="009C7893" w:rsidP="009C7893"/>
    <w:p w:rsidR="009C7893" w:rsidRPr="00D95A7D" w:rsidRDefault="009C7893" w:rsidP="009C7893"/>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r w:rsidRPr="00E73F02">
        <w:rPr>
          <w:noProof/>
        </w:rPr>
        <w:lastRenderedPageBreak/>
        <w:drawing>
          <wp:anchor distT="0" distB="0" distL="114300" distR="114300" simplePos="0" relativeHeight="251673600" behindDoc="0" locked="0" layoutInCell="1" allowOverlap="1">
            <wp:simplePos x="914400" y="1970314"/>
            <wp:positionH relativeFrom="margin">
              <wp:align>center</wp:align>
            </wp:positionH>
            <wp:positionV relativeFrom="margin">
              <wp:align>top</wp:align>
            </wp:positionV>
            <wp:extent cx="5175885" cy="52006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885" cy="5200650"/>
                    </a:xfrm>
                    <a:prstGeom prst="rect">
                      <a:avLst/>
                    </a:prstGeom>
                    <a:noFill/>
                  </pic:spPr>
                </pic:pic>
              </a:graphicData>
            </a:graphic>
          </wp:anchor>
        </w:drawing>
      </w:r>
    </w:p>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C96447" w:rsidP="00B66DFD"/>
    <w:p w:rsidR="00C96447" w:rsidRPr="00D95A7D" w:rsidRDefault="00673F22" w:rsidP="00B66DFD">
      <w:bookmarkStart w:id="0" w:name="_GoBack"/>
      <w:bookmarkEnd w:id="0"/>
      <w:r w:rsidRPr="00E73F02">
        <w:rPr>
          <w:noProof/>
        </w:rPr>
        <mc:AlternateContent>
          <mc:Choice Requires="wps">
            <w:drawing>
              <wp:anchor distT="0" distB="0" distL="114300" distR="114300" simplePos="0" relativeHeight="251675648" behindDoc="0" locked="0" layoutInCell="1" allowOverlap="1" wp14:anchorId="084F8D3D" wp14:editId="6EEA24B7">
                <wp:simplePos x="0" y="0"/>
                <wp:positionH relativeFrom="margin">
                  <wp:align>right</wp:align>
                </wp:positionH>
                <wp:positionV relativeFrom="paragraph">
                  <wp:posOffset>1049850</wp:posOffset>
                </wp:positionV>
                <wp:extent cx="5943600" cy="698500"/>
                <wp:effectExtent l="0" t="0" r="0" b="6350"/>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698500"/>
                        </a:xfrm>
                        <a:prstGeom prst="rect">
                          <a:avLst/>
                        </a:prstGeom>
                        <a:solidFill>
                          <a:prstClr val="white"/>
                        </a:solidFill>
                        <a:ln>
                          <a:noFill/>
                        </a:ln>
                      </wps:spPr>
                      <wps:txbx>
                        <w:txbxContent>
                          <w:p w:rsidR="00C96447" w:rsidRPr="00105115" w:rsidRDefault="00C96447">
                            <w:pPr>
                              <w:pStyle w:val="Caption"/>
                              <w:jc w:val="both"/>
                              <w:rPr>
                                <w:b/>
                                <w:i w:val="0"/>
                                <w:color w:val="auto"/>
                                <w:sz w:val="24"/>
                                <w:szCs w:val="24"/>
                              </w:rPr>
                            </w:pPr>
                            <w:r w:rsidRPr="00105115">
                              <w:rPr>
                                <w:b/>
                                <w:i w:val="0"/>
                                <w:color w:val="auto"/>
                                <w:sz w:val="24"/>
                                <w:szCs w:val="24"/>
                              </w:rPr>
                              <w:t>Figure S</w:t>
                            </w:r>
                            <w:r w:rsidR="009F5CBE">
                              <w:rPr>
                                <w:b/>
                                <w:i w:val="0"/>
                                <w:color w:val="auto"/>
                                <w:sz w:val="24"/>
                                <w:szCs w:val="24"/>
                              </w:rPr>
                              <w:t>10</w:t>
                            </w:r>
                            <w:r w:rsidRPr="00105115">
                              <w:rPr>
                                <w:i w:val="0"/>
                                <w:color w:val="auto"/>
                                <w:sz w:val="24"/>
                                <w:szCs w:val="24"/>
                              </w:rPr>
                              <w:t xml:space="preserve">. </w:t>
                            </w:r>
                            <w:r w:rsidR="00092BFD" w:rsidRPr="00105115">
                              <w:rPr>
                                <w:i w:val="0"/>
                                <w:color w:val="auto"/>
                                <w:sz w:val="24"/>
                                <w:szCs w:val="24"/>
                              </w:rPr>
                              <w:t>Mass changes for elements shown as fractions (</w:t>
                            </w:r>
                            <w:r w:rsidR="00FA5C2A" w:rsidRPr="00105115">
                              <w:rPr>
                                <w:i w:val="0"/>
                                <w:color w:val="auto"/>
                                <w:sz w:val="24"/>
                                <w:szCs w:val="24"/>
                              </w:rPr>
                              <w:t>values</w:t>
                            </w:r>
                            <w:r w:rsidR="00092BFD" w:rsidRPr="00105115">
                              <w:rPr>
                                <w:i w:val="0"/>
                                <w:color w:val="auto"/>
                                <w:sz w:val="24"/>
                                <w:szCs w:val="24"/>
                              </w:rPr>
                              <w:t>/100)</w:t>
                            </w:r>
                            <w:r w:rsidR="00FA5C2A" w:rsidRPr="00105115">
                              <w:rPr>
                                <w:i w:val="0"/>
                                <w:color w:val="auto"/>
                                <w:sz w:val="24"/>
                                <w:szCs w:val="24"/>
                              </w:rPr>
                              <w:t>.</w:t>
                            </w:r>
                            <w:r w:rsidR="00092BFD" w:rsidRPr="00105115">
                              <w:rPr>
                                <w:i w:val="0"/>
                                <w:color w:val="auto"/>
                                <w:sz w:val="24"/>
                                <w:szCs w:val="24"/>
                              </w:rPr>
                              <w:t xml:space="preserve"> </w:t>
                            </w:r>
                            <w:r w:rsidR="00666837" w:rsidRPr="00105115">
                              <w:rPr>
                                <w:i w:val="0"/>
                                <w:color w:val="auto"/>
                                <w:sz w:val="24"/>
                                <w:szCs w:val="24"/>
                              </w:rPr>
                              <w:t>N</w:t>
                            </w:r>
                            <w:r w:rsidR="00092BFD" w:rsidRPr="00105115">
                              <w:rPr>
                                <w:i w:val="0"/>
                                <w:color w:val="auto"/>
                                <w:sz w:val="24"/>
                                <w:szCs w:val="24"/>
                              </w:rPr>
                              <w:t xml:space="preserve">egative values indicate </w:t>
                            </w:r>
                            <w:r w:rsidR="002C6EAA" w:rsidRPr="00105115">
                              <w:rPr>
                                <w:i w:val="0"/>
                                <w:color w:val="auto"/>
                                <w:sz w:val="24"/>
                                <w:szCs w:val="24"/>
                              </w:rPr>
                              <w:t xml:space="preserve">mass </w:t>
                            </w:r>
                            <w:r w:rsidR="00092BFD" w:rsidRPr="00105115">
                              <w:rPr>
                                <w:i w:val="0"/>
                                <w:color w:val="auto"/>
                                <w:sz w:val="24"/>
                                <w:szCs w:val="24"/>
                              </w:rPr>
                              <w:t>loss, p</w:t>
                            </w:r>
                            <w:r w:rsidR="00666837" w:rsidRPr="00105115">
                              <w:rPr>
                                <w:i w:val="0"/>
                                <w:color w:val="auto"/>
                                <w:sz w:val="24"/>
                                <w:szCs w:val="24"/>
                              </w:rPr>
                              <w:t>ositive values</w:t>
                            </w:r>
                            <w:r w:rsidR="002C6EAA" w:rsidRPr="00105115">
                              <w:rPr>
                                <w:i w:val="0"/>
                                <w:color w:val="auto"/>
                                <w:sz w:val="24"/>
                                <w:szCs w:val="24"/>
                              </w:rPr>
                              <w:t xml:space="preserve"> </w:t>
                            </w:r>
                            <w:r w:rsidR="00C97261" w:rsidRPr="00105115">
                              <w:rPr>
                                <w:i w:val="0"/>
                                <w:color w:val="auto"/>
                                <w:sz w:val="24"/>
                                <w:szCs w:val="24"/>
                              </w:rPr>
                              <w:t xml:space="preserve">indicate </w:t>
                            </w:r>
                            <w:r w:rsidR="00666837" w:rsidRPr="00105115">
                              <w:rPr>
                                <w:i w:val="0"/>
                                <w:color w:val="auto"/>
                                <w:sz w:val="24"/>
                                <w:szCs w:val="24"/>
                              </w:rPr>
                              <w:t>gain. Details</w:t>
                            </w:r>
                            <w:r w:rsidR="00376CC2" w:rsidRPr="00105115">
                              <w:rPr>
                                <w:i w:val="0"/>
                                <w:color w:val="auto"/>
                                <w:sz w:val="24"/>
                                <w:szCs w:val="24"/>
                              </w:rPr>
                              <w:t xml:space="preserve"> and assumptions</w:t>
                            </w:r>
                            <w:r w:rsidR="00666837" w:rsidRPr="00105115">
                              <w:rPr>
                                <w:i w:val="0"/>
                                <w:color w:val="auto"/>
                                <w:sz w:val="24"/>
                                <w:szCs w:val="24"/>
                              </w:rPr>
                              <w:t xml:space="preserve"> on mass balance calculations are provided in the supplementary.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84F8D3D" id="_x0000_s1032" style="position:absolute;margin-left:416.8pt;margin-top:82.65pt;width:468pt;height:55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" stroked="f">
                <v:path arrowok="t"/>
                <v:textbox inset="0,0,0,0">
                  <w:txbxContent>
                    <w:p w:rsidR="00C96447" w:rsidRPr="00105115" w:rsidRDefault="00C96447">
                      <w:pPr>
                        <w:pStyle w:val="Caption"/>
                        <w:jc w:val="both"/>
                        <w:rPr>
                          <w:b/>
                          <w:i w:val="0"/>
                          <w:color w:val="auto"/>
                          <w:sz w:val="24"/>
                          <w:szCs w:val="24"/>
                        </w:rPr>
                      </w:pPr>
                      <w:r w:rsidRPr="00105115">
                        <w:rPr>
                          <w:b/>
                          <w:i w:val="0"/>
                          <w:color w:val="auto"/>
                          <w:sz w:val="24"/>
                          <w:szCs w:val="24"/>
                        </w:rPr>
                        <w:t>Figure S</w:t>
                      </w:r>
                      <w:r w:rsidR="009F5CBE">
                        <w:rPr>
                          <w:b/>
                          <w:i w:val="0"/>
                          <w:color w:val="auto"/>
                          <w:sz w:val="24"/>
                          <w:szCs w:val="24"/>
                        </w:rPr>
                        <w:t>10</w:t>
                      </w:r>
                      <w:r w:rsidRPr="00105115">
                        <w:rPr>
                          <w:i w:val="0"/>
                          <w:color w:val="auto"/>
                          <w:sz w:val="24"/>
                          <w:szCs w:val="24"/>
                        </w:rPr>
                        <w:t xml:space="preserve">. </w:t>
                      </w:r>
                      <w:r w:rsidR="00092BFD" w:rsidRPr="00105115">
                        <w:rPr>
                          <w:i w:val="0"/>
                          <w:color w:val="auto"/>
                          <w:sz w:val="24"/>
                          <w:szCs w:val="24"/>
                        </w:rPr>
                        <w:t>Mass changes for elements shown as fractions (</w:t>
                      </w:r>
                      <w:r w:rsidR="00FA5C2A" w:rsidRPr="00105115">
                        <w:rPr>
                          <w:i w:val="0"/>
                          <w:color w:val="auto"/>
                          <w:sz w:val="24"/>
                          <w:szCs w:val="24"/>
                        </w:rPr>
                        <w:t>values</w:t>
                      </w:r>
                      <w:r w:rsidR="00092BFD" w:rsidRPr="00105115">
                        <w:rPr>
                          <w:i w:val="0"/>
                          <w:color w:val="auto"/>
                          <w:sz w:val="24"/>
                          <w:szCs w:val="24"/>
                        </w:rPr>
                        <w:t>/100)</w:t>
                      </w:r>
                      <w:r w:rsidR="00FA5C2A" w:rsidRPr="00105115">
                        <w:rPr>
                          <w:i w:val="0"/>
                          <w:color w:val="auto"/>
                          <w:sz w:val="24"/>
                          <w:szCs w:val="24"/>
                        </w:rPr>
                        <w:t>.</w:t>
                      </w:r>
                      <w:r w:rsidR="00092BFD" w:rsidRPr="00105115">
                        <w:rPr>
                          <w:i w:val="0"/>
                          <w:color w:val="auto"/>
                          <w:sz w:val="24"/>
                          <w:szCs w:val="24"/>
                        </w:rPr>
                        <w:t xml:space="preserve"> </w:t>
                      </w:r>
                      <w:r w:rsidR="00666837" w:rsidRPr="00105115">
                        <w:rPr>
                          <w:i w:val="0"/>
                          <w:color w:val="auto"/>
                          <w:sz w:val="24"/>
                          <w:szCs w:val="24"/>
                        </w:rPr>
                        <w:t>N</w:t>
                      </w:r>
                      <w:r w:rsidR="00092BFD" w:rsidRPr="00105115">
                        <w:rPr>
                          <w:i w:val="0"/>
                          <w:color w:val="auto"/>
                          <w:sz w:val="24"/>
                          <w:szCs w:val="24"/>
                        </w:rPr>
                        <w:t xml:space="preserve">egative values indicate </w:t>
                      </w:r>
                      <w:r w:rsidR="002C6EAA" w:rsidRPr="00105115">
                        <w:rPr>
                          <w:i w:val="0"/>
                          <w:color w:val="auto"/>
                          <w:sz w:val="24"/>
                          <w:szCs w:val="24"/>
                        </w:rPr>
                        <w:t xml:space="preserve">mass </w:t>
                      </w:r>
                      <w:r w:rsidR="00092BFD" w:rsidRPr="00105115">
                        <w:rPr>
                          <w:i w:val="0"/>
                          <w:color w:val="auto"/>
                          <w:sz w:val="24"/>
                          <w:szCs w:val="24"/>
                        </w:rPr>
                        <w:t>loss, p</w:t>
                      </w:r>
                      <w:r w:rsidR="00666837" w:rsidRPr="00105115">
                        <w:rPr>
                          <w:i w:val="0"/>
                          <w:color w:val="auto"/>
                          <w:sz w:val="24"/>
                          <w:szCs w:val="24"/>
                        </w:rPr>
                        <w:t>ositive values</w:t>
                      </w:r>
                      <w:r w:rsidR="002C6EAA" w:rsidRPr="00105115">
                        <w:rPr>
                          <w:i w:val="0"/>
                          <w:color w:val="auto"/>
                          <w:sz w:val="24"/>
                          <w:szCs w:val="24"/>
                        </w:rPr>
                        <w:t xml:space="preserve"> </w:t>
                      </w:r>
                      <w:r w:rsidR="00C97261" w:rsidRPr="00105115">
                        <w:rPr>
                          <w:i w:val="0"/>
                          <w:color w:val="auto"/>
                          <w:sz w:val="24"/>
                          <w:szCs w:val="24"/>
                        </w:rPr>
                        <w:t xml:space="preserve">indicate </w:t>
                      </w:r>
                      <w:r w:rsidR="00666837" w:rsidRPr="00105115">
                        <w:rPr>
                          <w:i w:val="0"/>
                          <w:color w:val="auto"/>
                          <w:sz w:val="24"/>
                          <w:szCs w:val="24"/>
                        </w:rPr>
                        <w:t>gain. Details</w:t>
                      </w:r>
                      <w:r w:rsidR="00376CC2" w:rsidRPr="00105115">
                        <w:rPr>
                          <w:i w:val="0"/>
                          <w:color w:val="auto"/>
                          <w:sz w:val="24"/>
                          <w:szCs w:val="24"/>
                        </w:rPr>
                        <w:t xml:space="preserve"> and assumptions</w:t>
                      </w:r>
                      <w:r w:rsidR="00666837" w:rsidRPr="00105115">
                        <w:rPr>
                          <w:i w:val="0"/>
                          <w:color w:val="auto"/>
                          <w:sz w:val="24"/>
                          <w:szCs w:val="24"/>
                        </w:rPr>
                        <w:t xml:space="preserve"> on mass balance calculations are provided in the supplementary. </w:t>
                      </w:r>
                    </w:p>
                  </w:txbxContent>
                </v:textbox>
                <w10:wrap type="square" anchorx="margin"/>
              </v:rect>
            </w:pict>
          </mc:Fallback>
        </mc:AlternateContent>
      </w:r>
    </w:p>
    <w:sectPr w:rsidR="00C96447" w:rsidRPr="00D95A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DFD"/>
    <w:rsid w:val="00021C8F"/>
    <w:rsid w:val="0003447F"/>
    <w:rsid w:val="0004322F"/>
    <w:rsid w:val="0005607E"/>
    <w:rsid w:val="00060EF2"/>
    <w:rsid w:val="00065BF7"/>
    <w:rsid w:val="0008533E"/>
    <w:rsid w:val="00092BFD"/>
    <w:rsid w:val="000E3E12"/>
    <w:rsid w:val="000E41D9"/>
    <w:rsid w:val="000E42B6"/>
    <w:rsid w:val="00105115"/>
    <w:rsid w:val="00111DC4"/>
    <w:rsid w:val="00131B4C"/>
    <w:rsid w:val="00136F5F"/>
    <w:rsid w:val="00145B31"/>
    <w:rsid w:val="00146D53"/>
    <w:rsid w:val="00151C37"/>
    <w:rsid w:val="00154351"/>
    <w:rsid w:val="00175C5F"/>
    <w:rsid w:val="001C321E"/>
    <w:rsid w:val="001F380A"/>
    <w:rsid w:val="001F63E0"/>
    <w:rsid w:val="001F73F9"/>
    <w:rsid w:val="00245D17"/>
    <w:rsid w:val="00261262"/>
    <w:rsid w:val="002B7636"/>
    <w:rsid w:val="002C6EAA"/>
    <w:rsid w:val="00314869"/>
    <w:rsid w:val="0032650F"/>
    <w:rsid w:val="00326C67"/>
    <w:rsid w:val="0033591C"/>
    <w:rsid w:val="00355791"/>
    <w:rsid w:val="00376CC2"/>
    <w:rsid w:val="003932F6"/>
    <w:rsid w:val="003C0B67"/>
    <w:rsid w:val="003C14BA"/>
    <w:rsid w:val="003D1D22"/>
    <w:rsid w:val="003F25E0"/>
    <w:rsid w:val="003F53CB"/>
    <w:rsid w:val="003F69FE"/>
    <w:rsid w:val="004031D5"/>
    <w:rsid w:val="004051DF"/>
    <w:rsid w:val="00410F96"/>
    <w:rsid w:val="0041264F"/>
    <w:rsid w:val="0042026A"/>
    <w:rsid w:val="00444420"/>
    <w:rsid w:val="00457192"/>
    <w:rsid w:val="00460F53"/>
    <w:rsid w:val="0046797D"/>
    <w:rsid w:val="004C3721"/>
    <w:rsid w:val="004E153D"/>
    <w:rsid w:val="004E426C"/>
    <w:rsid w:val="00517F54"/>
    <w:rsid w:val="00524435"/>
    <w:rsid w:val="0053118A"/>
    <w:rsid w:val="005369E8"/>
    <w:rsid w:val="005640BC"/>
    <w:rsid w:val="00572C65"/>
    <w:rsid w:val="00574864"/>
    <w:rsid w:val="00596357"/>
    <w:rsid w:val="005B345F"/>
    <w:rsid w:val="005C4DD8"/>
    <w:rsid w:val="005E677A"/>
    <w:rsid w:val="006154A6"/>
    <w:rsid w:val="00666837"/>
    <w:rsid w:val="00673F22"/>
    <w:rsid w:val="00674E61"/>
    <w:rsid w:val="0069157C"/>
    <w:rsid w:val="006A0250"/>
    <w:rsid w:val="006A24C6"/>
    <w:rsid w:val="007358D7"/>
    <w:rsid w:val="00761AEB"/>
    <w:rsid w:val="00762CE5"/>
    <w:rsid w:val="007721F3"/>
    <w:rsid w:val="007A45BD"/>
    <w:rsid w:val="007B3DEC"/>
    <w:rsid w:val="007C0073"/>
    <w:rsid w:val="007C0184"/>
    <w:rsid w:val="007C4D65"/>
    <w:rsid w:val="007D1661"/>
    <w:rsid w:val="007D53F4"/>
    <w:rsid w:val="007F0F2E"/>
    <w:rsid w:val="00800664"/>
    <w:rsid w:val="00801C8B"/>
    <w:rsid w:val="0080217D"/>
    <w:rsid w:val="008074C2"/>
    <w:rsid w:val="00811811"/>
    <w:rsid w:val="00815AF9"/>
    <w:rsid w:val="008256D8"/>
    <w:rsid w:val="00832EE9"/>
    <w:rsid w:val="00842A81"/>
    <w:rsid w:val="00855D05"/>
    <w:rsid w:val="008E308D"/>
    <w:rsid w:val="008F50C2"/>
    <w:rsid w:val="009175A2"/>
    <w:rsid w:val="009526CA"/>
    <w:rsid w:val="00987AB9"/>
    <w:rsid w:val="009C7893"/>
    <w:rsid w:val="009E60A5"/>
    <w:rsid w:val="009F1FEB"/>
    <w:rsid w:val="009F5CBE"/>
    <w:rsid w:val="00A06E9D"/>
    <w:rsid w:val="00A075D2"/>
    <w:rsid w:val="00A16200"/>
    <w:rsid w:val="00A17A8E"/>
    <w:rsid w:val="00A56C3F"/>
    <w:rsid w:val="00A93B67"/>
    <w:rsid w:val="00AB095E"/>
    <w:rsid w:val="00AC408A"/>
    <w:rsid w:val="00AD0F82"/>
    <w:rsid w:val="00AE45B9"/>
    <w:rsid w:val="00AF01D3"/>
    <w:rsid w:val="00AF6F43"/>
    <w:rsid w:val="00B07908"/>
    <w:rsid w:val="00B266FF"/>
    <w:rsid w:val="00B33379"/>
    <w:rsid w:val="00B63399"/>
    <w:rsid w:val="00B66DFD"/>
    <w:rsid w:val="00B84164"/>
    <w:rsid w:val="00BA3B07"/>
    <w:rsid w:val="00BA4526"/>
    <w:rsid w:val="00BD4C94"/>
    <w:rsid w:val="00C0028F"/>
    <w:rsid w:val="00C14646"/>
    <w:rsid w:val="00C31A34"/>
    <w:rsid w:val="00C31A64"/>
    <w:rsid w:val="00C32E38"/>
    <w:rsid w:val="00C473FF"/>
    <w:rsid w:val="00C5546E"/>
    <w:rsid w:val="00C652FF"/>
    <w:rsid w:val="00C6752E"/>
    <w:rsid w:val="00C73F12"/>
    <w:rsid w:val="00C77A11"/>
    <w:rsid w:val="00C9350F"/>
    <w:rsid w:val="00C96447"/>
    <w:rsid w:val="00C97261"/>
    <w:rsid w:val="00C97D5E"/>
    <w:rsid w:val="00CA2B9D"/>
    <w:rsid w:val="00CD1603"/>
    <w:rsid w:val="00CE6B53"/>
    <w:rsid w:val="00D10EBB"/>
    <w:rsid w:val="00D13937"/>
    <w:rsid w:val="00D32932"/>
    <w:rsid w:val="00D41B15"/>
    <w:rsid w:val="00D55458"/>
    <w:rsid w:val="00D82998"/>
    <w:rsid w:val="00D95A7D"/>
    <w:rsid w:val="00DD3344"/>
    <w:rsid w:val="00DF4EA3"/>
    <w:rsid w:val="00E323C2"/>
    <w:rsid w:val="00E73F02"/>
    <w:rsid w:val="00E82B83"/>
    <w:rsid w:val="00E96C24"/>
    <w:rsid w:val="00EE179E"/>
    <w:rsid w:val="00EE584B"/>
    <w:rsid w:val="00F07827"/>
    <w:rsid w:val="00F07B76"/>
    <w:rsid w:val="00F13BFF"/>
    <w:rsid w:val="00F479D4"/>
    <w:rsid w:val="00F72DBF"/>
    <w:rsid w:val="00F825C3"/>
    <w:rsid w:val="00F96A28"/>
    <w:rsid w:val="00F96C9C"/>
    <w:rsid w:val="00FA5C2A"/>
    <w:rsid w:val="00FF08C4"/>
    <w:rsid w:val="00FF1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437E45-BEAA-42B1-8A02-ED59E2FA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DFD"/>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rsid w:val="00B66DFD"/>
    <w:pPr>
      <w:ind w:left="720" w:hanging="720"/>
    </w:pPr>
  </w:style>
  <w:style w:type="paragraph" w:styleId="NoSpacing">
    <w:name w:val="No Spacing"/>
    <w:uiPriority w:val="1"/>
    <w:qFormat/>
    <w:rsid w:val="00B66DFD"/>
    <w:pPr>
      <w:spacing w:after="0" w:line="240" w:lineRule="auto"/>
    </w:pPr>
    <w:rPr>
      <w:rFonts w:ascii="Times New Roman" w:eastAsia="Times New Roman" w:hAnsi="Times New Roman" w:cs="Times New Roman"/>
      <w:sz w:val="24"/>
      <w:szCs w:val="20"/>
    </w:rPr>
  </w:style>
  <w:style w:type="paragraph" w:customStyle="1" w:styleId="FigureorTableCaption">
    <w:name w:val="Figure or Table Caption"/>
    <w:basedOn w:val="Normal"/>
    <w:rsid w:val="00B66DFD"/>
    <w:pPr>
      <w:keepNext/>
      <w:pBdr>
        <w:top w:val="none" w:sz="4" w:space="0" w:color="000000"/>
        <w:left w:val="none" w:sz="4" w:space="0" w:color="000000"/>
        <w:bottom w:val="none" w:sz="4" w:space="0" w:color="000000"/>
        <w:right w:val="none" w:sz="4" w:space="0" w:color="000000"/>
        <w:between w:val="none" w:sz="4" w:space="0" w:color="000000"/>
      </w:pBdr>
      <w:spacing w:before="240"/>
      <w:outlineLvl w:val="0"/>
    </w:pPr>
    <w:rPr>
      <w:szCs w:val="24"/>
    </w:rPr>
  </w:style>
  <w:style w:type="paragraph" w:styleId="BalloonText">
    <w:name w:val="Balloon Text"/>
    <w:basedOn w:val="Normal"/>
    <w:link w:val="BalloonTextChar"/>
    <w:uiPriority w:val="99"/>
    <w:semiHidden/>
    <w:unhideWhenUsed/>
    <w:rsid w:val="00C32E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E38"/>
    <w:rPr>
      <w:rFonts w:ascii="Segoe UI" w:eastAsia="Times New Roman" w:hAnsi="Segoe UI" w:cs="Segoe UI"/>
      <w:sz w:val="18"/>
      <w:szCs w:val="18"/>
    </w:rPr>
  </w:style>
  <w:style w:type="paragraph" w:styleId="Caption">
    <w:name w:val="caption"/>
    <w:basedOn w:val="Normal"/>
    <w:next w:val="Normal"/>
    <w:uiPriority w:val="35"/>
    <w:unhideWhenUsed/>
    <w:qFormat/>
    <w:rsid w:val="009C7893"/>
    <w:pPr>
      <w:pBdr>
        <w:top w:val="none" w:sz="4" w:space="0" w:color="000000"/>
        <w:left w:val="none" w:sz="4" w:space="0" w:color="000000"/>
        <w:bottom w:val="none" w:sz="4" w:space="0" w:color="000000"/>
        <w:right w:val="none" w:sz="4" w:space="0" w:color="000000"/>
        <w:between w:val="none" w:sz="4" w:space="0" w:color="000000"/>
      </w:pBdr>
      <w:spacing w:after="200"/>
    </w:pPr>
    <w:rPr>
      <w:rFonts w:eastAsia="Calibr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9530E-813A-468B-877A-2DABA3BA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16429</Words>
  <Characters>93648</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GG-Guest</dc:creator>
  <cp:keywords/>
  <dc:description/>
  <cp:lastModifiedBy>GG-Guest</cp:lastModifiedBy>
  <cp:revision>7</cp:revision>
  <dcterms:created xsi:type="dcterms:W3CDTF">2022-06-03T20:04:00Z</dcterms:created>
  <dcterms:modified xsi:type="dcterms:W3CDTF">2022-06-03T20:48:00Z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id="9yYxG2nq"/&gt;&lt;style id="http://www.zotero.org/styles/elsevier-harvard"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