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C957" w14:textId="77777777" w:rsidR="007150D3" w:rsidRPr="000A6384" w:rsidRDefault="007150D3" w:rsidP="007150D3">
      <w:pPr>
        <w:spacing w:line="240" w:lineRule="auto"/>
        <w:jc w:val="center"/>
      </w:pPr>
      <w:r>
        <w:t>Global Ecology and Biogeography</w:t>
      </w:r>
    </w:p>
    <w:p w14:paraId="46570105" w14:textId="77777777" w:rsidR="007150D3" w:rsidRDefault="007150D3" w:rsidP="007150D3">
      <w:pPr>
        <w:spacing w:line="240" w:lineRule="auto"/>
        <w:jc w:val="center"/>
        <w:rPr>
          <w:b/>
        </w:rPr>
      </w:pPr>
      <w:r>
        <w:rPr>
          <w:b/>
        </w:rPr>
        <w:t>SUPPORTING INFORMATION</w:t>
      </w:r>
    </w:p>
    <w:p w14:paraId="12CF04BF" w14:textId="77777777" w:rsidR="007150D3" w:rsidRDefault="007150D3" w:rsidP="007150D3">
      <w:pPr>
        <w:pBdr>
          <w:top w:val="nil"/>
          <w:left w:val="nil"/>
          <w:bottom w:val="nil"/>
          <w:right w:val="nil"/>
          <w:between w:val="nil"/>
        </w:pBdr>
        <w:spacing w:after="240" w:line="240" w:lineRule="auto"/>
        <w:jc w:val="center"/>
        <w:rPr>
          <w:b/>
          <w:sz w:val="24"/>
          <w:szCs w:val="24"/>
        </w:rPr>
      </w:pPr>
      <w:r w:rsidRPr="0061582B">
        <w:rPr>
          <w:b/>
          <w:sz w:val="24"/>
          <w:szCs w:val="24"/>
        </w:rPr>
        <w:t>Climatic and biogeographic drivers of functional diversity in the flora of the Canary Islands</w:t>
      </w:r>
    </w:p>
    <w:p w14:paraId="031A6446" w14:textId="0A389373" w:rsidR="003E111E" w:rsidRDefault="003E111E"/>
    <w:p w14:paraId="094F7AAD" w14:textId="77777777" w:rsidR="007150D3" w:rsidRPr="0014167C" w:rsidRDefault="007150D3" w:rsidP="007150D3">
      <w:pPr>
        <w:spacing w:line="240" w:lineRule="auto"/>
        <w:jc w:val="both"/>
        <w:rPr>
          <w:b/>
          <w:sz w:val="20"/>
        </w:rPr>
      </w:pPr>
      <w:r>
        <w:rPr>
          <w:b/>
          <w:sz w:val="20"/>
        </w:rPr>
        <w:t xml:space="preserve">APPENDIX S3. </w:t>
      </w:r>
      <w:bookmarkStart w:id="0" w:name="_Hlk90893563"/>
      <w:r>
        <w:t>Calculation of e</w:t>
      </w:r>
      <w:r w:rsidRPr="0014167C">
        <w:t>nvironmental variables</w:t>
      </w:r>
    </w:p>
    <w:bookmarkEnd w:id="0"/>
    <w:p w14:paraId="4922008F" w14:textId="77777777" w:rsidR="007150D3" w:rsidRPr="00D25F52" w:rsidRDefault="007150D3" w:rsidP="007150D3">
      <w:pPr>
        <w:spacing w:after="0" w:line="240" w:lineRule="auto"/>
        <w:jc w:val="both"/>
      </w:pPr>
      <w:r w:rsidRPr="00D25F52">
        <w:t xml:space="preserve">Monthly mean temperature and monthly total precipitation were interpolated on a 500 m x 500 m grid cell scale from a dense net of climate measurements (n = 155 for temperature and n = 305 for precipitation) provided by the </w:t>
      </w:r>
      <w:proofErr w:type="spellStart"/>
      <w:r w:rsidRPr="00D25F52">
        <w:t>Agencia</w:t>
      </w:r>
      <w:proofErr w:type="spellEnd"/>
      <w:r w:rsidRPr="00D25F52">
        <w:t xml:space="preserve"> </w:t>
      </w:r>
      <w:proofErr w:type="spellStart"/>
      <w:r w:rsidRPr="00D25F52">
        <w:t>Estatal</w:t>
      </w:r>
      <w:proofErr w:type="spellEnd"/>
      <w:r w:rsidRPr="00D25F52">
        <w:t xml:space="preserve"> de </w:t>
      </w:r>
      <w:proofErr w:type="spellStart"/>
      <w:r w:rsidRPr="00D25F52">
        <w:t>Meteorología</w:t>
      </w:r>
      <w:proofErr w:type="spellEnd"/>
      <w:r w:rsidRPr="00D25F52">
        <w:t xml:space="preserve"> (AEMET). Climate interpolation included spatial variables, elevation, aspect, slope, rain shadow effects and precipitation </w:t>
      </w:r>
      <w:proofErr w:type="gramStart"/>
      <w:r w:rsidRPr="00D25F52">
        <w:t>increases</w:t>
      </w:r>
      <w:proofErr w:type="gramEnd"/>
      <w:r w:rsidRPr="00D25F52">
        <w:t xml:space="preserve"> caused by orographic lift of air masses (</w:t>
      </w:r>
      <w:r w:rsidRPr="0014167C">
        <w:t>assuming northerly wind directions from 020°)</w:t>
      </w:r>
      <w:r w:rsidRPr="00D25F52">
        <w:t xml:space="preserve"> as well as cloud cover (</w:t>
      </w:r>
      <w:proofErr w:type="spellStart"/>
      <w:r w:rsidRPr="00EF7AA2">
        <w:t>Platnick</w:t>
      </w:r>
      <w:proofErr w:type="spellEnd"/>
      <w:r w:rsidRPr="00EF7AA2">
        <w:t xml:space="preserve"> et al., 2015) as e</w:t>
      </w:r>
      <w:r w:rsidRPr="00D25F52">
        <w:t xml:space="preserve">xplanatory variables in a multiple regression (for temperature) and a boosted regression tree model (for precipitation; </w:t>
      </w:r>
      <w:r>
        <w:t xml:space="preserve">Irl, </w:t>
      </w:r>
      <w:proofErr w:type="spellStart"/>
      <w:r>
        <w:t>Obermeier</w:t>
      </w:r>
      <w:proofErr w:type="spellEnd"/>
      <w:r>
        <w:t>, Beierkuhnlein &amp; Steinbauer,</w:t>
      </w:r>
      <w:r w:rsidRPr="00D25F52">
        <w:t xml:space="preserve"> 2020). In the Teide violet communities above 2400 m </w:t>
      </w:r>
      <w:proofErr w:type="spellStart"/>
      <w:r w:rsidRPr="00D25F52">
        <w:t>a.s.l</w:t>
      </w:r>
      <w:proofErr w:type="spellEnd"/>
      <w:r w:rsidRPr="00D25F52">
        <w:t>. (</w:t>
      </w:r>
      <w:r>
        <w:t>del Arco Aguilar, González-González, Garzón-Machado &amp; Pizarro-Hernández,</w:t>
      </w:r>
      <w:r w:rsidRPr="00D25F52">
        <w:t xml:space="preserve"> 2010) we can find cold and dry environments which are very rare and different from the environmental conditions that are found elsewhere in the Canary Islands. Hence, we removed grid cells over 2400 m </w:t>
      </w:r>
      <w:proofErr w:type="spellStart"/>
      <w:r w:rsidRPr="00D25F52">
        <w:t>a.s.l</w:t>
      </w:r>
      <w:proofErr w:type="spellEnd"/>
      <w:r w:rsidRPr="00D25F52">
        <w:t>. to avoid spatial autocorrelation and approximate an even distribution of grid cells along the remaining environmental gradient. This has only a minor effect on our analyses as alien species mainly do not occur at higher elevations and can hence not be compared to endemic and non-endemic native species there. Monthly mean temperature was used to calculate potential evapotranspiration according to the Thornthwaite equation (Thornthwaite, 1948) using the ‘SPEI’ package in R (</w:t>
      </w:r>
      <w:proofErr w:type="spellStart"/>
      <w:r w:rsidRPr="00D25F52">
        <w:t>Beguería</w:t>
      </w:r>
      <w:proofErr w:type="spellEnd"/>
      <w:r w:rsidRPr="00D25F52">
        <w:t xml:space="preserve"> &amp; Vicente-Serrano, 2017). Subsequ</w:t>
      </w:r>
      <w:r>
        <w:t>ently, we calculated the Humidity</w:t>
      </w:r>
      <w:r w:rsidRPr="00D25F52">
        <w:t xml:space="preserve"> Index after UNEP (1992) which is given by:</w:t>
      </w:r>
    </w:p>
    <w:p w14:paraId="387C5341" w14:textId="77777777" w:rsidR="007150D3" w:rsidRPr="00D25F52" w:rsidRDefault="007150D3" w:rsidP="007150D3">
      <w:pPr>
        <w:spacing w:after="0" w:line="240" w:lineRule="auto"/>
        <w:jc w:val="center"/>
      </w:pPr>
      <m:oMath>
        <m:r>
          <w:rPr>
            <w:rFonts w:ascii="Cambria Math" w:eastAsia="Cambria Math" w:hAnsi="Cambria Math" w:cs="Cambria Math"/>
            <w:sz w:val="28"/>
            <w:szCs w:val="28"/>
          </w:rPr>
          <m:t>Humidity index=</m:t>
        </m:r>
        <m:f>
          <m:fPr>
            <m:ctrlPr>
              <w:rPr>
                <w:rFonts w:ascii="Cambria Math" w:eastAsia="Cambria Math" w:hAnsi="Cambria Math" w:cs="Cambria Math"/>
                <w:sz w:val="28"/>
                <w:szCs w:val="28"/>
              </w:rPr>
            </m:ctrlPr>
          </m:fPr>
          <m:num>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i</m:t>
                </m:r>
              </m:sub>
              <m:sup>
                <m:r>
                  <w:rPr>
                    <w:rFonts w:ascii="Cambria Math" w:eastAsia="Cambria Math" w:hAnsi="Cambria Math" w:cs="Cambria Math"/>
                    <w:sz w:val="28"/>
                    <w:szCs w:val="28"/>
                  </w:rPr>
                  <m:t>12</m:t>
                </m:r>
              </m:sup>
              <m:e>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P</m:t>
                        </m:r>
                      </m:e>
                      <m:sub>
                        <m:r>
                          <w:rPr>
                            <w:rFonts w:ascii="Cambria Math" w:eastAsia="Cambria Math" w:hAnsi="Cambria Math" w:cs="Cambria Math"/>
                            <w:sz w:val="28"/>
                            <w:szCs w:val="28"/>
                          </w:rPr>
                          <m:t>i</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PET</m:t>
                        </m:r>
                      </m:e>
                      <m:sub>
                        <m:r>
                          <w:rPr>
                            <w:rFonts w:ascii="Cambria Math" w:eastAsia="Cambria Math" w:hAnsi="Cambria Math" w:cs="Cambria Math"/>
                            <w:sz w:val="28"/>
                            <w:szCs w:val="28"/>
                          </w:rPr>
                          <m:t>i</m:t>
                        </m:r>
                      </m:sub>
                    </m:sSub>
                  </m:den>
                </m:f>
              </m:e>
            </m:nary>
          </m:num>
          <m:den>
            <m:r>
              <w:rPr>
                <w:rFonts w:ascii="Cambria Math" w:eastAsia="Cambria Math" w:hAnsi="Cambria Math" w:cs="Cambria Math"/>
                <w:sz w:val="28"/>
                <w:szCs w:val="28"/>
              </w:rPr>
              <m:t>12</m:t>
            </m:r>
          </m:den>
        </m:f>
      </m:oMath>
      <w:r w:rsidRPr="00D25F52">
        <w:rPr>
          <w:rFonts w:ascii="Cambria Math" w:eastAsia="Cambria Math" w:hAnsi="Cambria Math" w:cs="Cambria Math"/>
          <w:sz w:val="28"/>
          <w:szCs w:val="28"/>
        </w:rPr>
        <w:t xml:space="preserve"> ,</w:t>
      </w:r>
    </w:p>
    <w:p w14:paraId="1492AE45" w14:textId="77777777" w:rsidR="007150D3" w:rsidRPr="00D25F52" w:rsidRDefault="007150D3" w:rsidP="007150D3">
      <w:pPr>
        <w:spacing w:after="0" w:line="240" w:lineRule="auto"/>
        <w:jc w:val="both"/>
      </w:pPr>
      <w:r w:rsidRPr="00D25F52">
        <w:t>where P is the monthly mean precipitation and PET the monthly potential</w:t>
      </w:r>
      <w:r>
        <w:t xml:space="preserve"> evapotranspiration. The Humidity</w:t>
      </w:r>
      <w:r w:rsidRPr="00D25F52">
        <w:t xml:space="preserve"> index is useful as it classifies the type of climate in relation to water availability (UNEP, 1992). </w:t>
      </w:r>
      <w:r>
        <w:t>Humidity</w:t>
      </w:r>
      <w:r w:rsidRPr="00D25F52">
        <w:t xml:space="preserve"> index ranged approximately from 0.07 (arid) to 2.05 (humid) across the </w:t>
      </w:r>
      <w:r>
        <w:t>five islands (Table 1; Figure S3.1</w:t>
      </w:r>
      <w:r w:rsidRPr="00D25F52">
        <w:t>a).</w:t>
      </w:r>
    </w:p>
    <w:p w14:paraId="5A3455BF" w14:textId="77777777" w:rsidR="007150D3" w:rsidRDefault="007150D3" w:rsidP="007150D3">
      <w:pPr>
        <w:spacing w:after="0" w:line="240" w:lineRule="auto"/>
        <w:ind w:firstLine="708"/>
        <w:jc w:val="both"/>
      </w:pPr>
      <w:r>
        <w:t xml:space="preserve">We further calculated geographical isolation per grid </w:t>
      </w:r>
      <w:sdt>
        <w:sdtPr>
          <w:tag w:val="goog_rdk_262"/>
          <w:id w:val="154959770"/>
        </w:sdtPr>
        <w:sdtContent/>
      </w:sdt>
      <w:sdt>
        <w:sdtPr>
          <w:tag w:val="goog_rdk_263"/>
          <w:id w:val="-1862817643"/>
        </w:sdtPr>
        <w:sdtContent/>
      </w:sdt>
      <w:r>
        <w:t xml:space="preserve">cell based on the distance to climatically similar land mass (Weigelt &amp; Kreft, 2013). Geographical isolation was quantified as the distance of a grid cell to the nearest terrestrial area on the continent that has a mean annual temperature within 1°C, following </w:t>
      </w:r>
      <w:r w:rsidRPr="00EF7AA2">
        <w:t>Steinbauer et al. (2016</w:t>
      </w:r>
      <w:r>
        <w:t>). Only the focal grid cell and grid cells beyond the archipelago were used in this calculation because endemism is defined at the archipelago level. Mean annual temperature for the continent was obtained from 1 km x 1 km resolution CHELSA data (</w:t>
      </w:r>
      <w:r w:rsidRPr="00EF7AA2">
        <w:t>Karger et al.,</w:t>
      </w:r>
      <w:r>
        <w:t xml:space="preserve"> 2017). Processing of spatial data was done using the R package ‘raster’ (</w:t>
      </w:r>
      <w:proofErr w:type="spellStart"/>
      <w:r>
        <w:t>Hijmans</w:t>
      </w:r>
      <w:proofErr w:type="spellEnd"/>
      <w:r>
        <w:t>, 2019). Geographical isolation of the island grid cells ranged from 196.5 km to 885 km to the closest continental grid cell with similar environmental conditions (Table 1; Figure S3.1b).</w:t>
      </w:r>
    </w:p>
    <w:p w14:paraId="24CA6192" w14:textId="77777777" w:rsidR="007150D3" w:rsidRPr="00170E66" w:rsidRDefault="007150D3" w:rsidP="007150D3">
      <w:pPr>
        <w:spacing w:after="0" w:line="240" w:lineRule="auto"/>
        <w:ind w:firstLine="708"/>
        <w:jc w:val="both"/>
      </w:pPr>
      <w:r w:rsidRPr="00170E66">
        <w:t>We calculated topographic complexity per grid cell as it relates to the rate of elevational change in response to changes in location (</w:t>
      </w:r>
      <w:proofErr w:type="spellStart"/>
      <w:r w:rsidRPr="00170E66">
        <w:t>Amatulli</w:t>
      </w:r>
      <w:proofErr w:type="spellEnd"/>
      <w:r w:rsidRPr="00170E66">
        <w:t xml:space="preserve"> </w:t>
      </w:r>
      <w:r w:rsidRPr="00170E66">
        <w:rPr>
          <w:i/>
        </w:rPr>
        <w:t>et al.</w:t>
      </w:r>
      <w:r w:rsidRPr="00170E66">
        <w:t>, 2018) and can therefore act as a surrogate for habitat heterogeneity (</w:t>
      </w:r>
      <w:r w:rsidRPr="00EF7AA2">
        <w:t>Irl et al.,</w:t>
      </w:r>
      <w:r w:rsidRPr="00170E66">
        <w:t xml:space="preserve"> 2015). We estimated topographic complexity per grid cell by using a moving window approach that calculates the surface area for a cell based on slope information from a specified set of smaller grid cells (in this study 20 x 20</w:t>
      </w:r>
      <w:r>
        <w:t xml:space="preserve"> grid </w:t>
      </w:r>
      <w:proofErr w:type="gramStart"/>
      <w:r>
        <w:t>cells</w:t>
      </w:r>
      <w:r w:rsidRPr="00170E66">
        <w:t>;</w:t>
      </w:r>
      <w:proofErr w:type="gramEnd"/>
      <w:r w:rsidRPr="00170E66">
        <w:t xml:space="preserve"> after </w:t>
      </w:r>
      <w:proofErr w:type="spellStart"/>
      <w:r w:rsidRPr="00170E66">
        <w:t>Jenness</w:t>
      </w:r>
      <w:proofErr w:type="spellEnd"/>
      <w:r w:rsidRPr="00170E66">
        <w:t xml:space="preserve">, 2004): </w:t>
      </w:r>
    </w:p>
    <w:p w14:paraId="030DE812" w14:textId="77777777" w:rsidR="007150D3" w:rsidRDefault="007150D3" w:rsidP="007150D3">
      <w:pPr>
        <w:spacing w:after="0" w:line="240" w:lineRule="auto"/>
        <w:ind w:firstLine="708"/>
        <w:jc w:val="both"/>
      </w:pPr>
      <m:oMath>
        <m:r>
          <w:rPr>
            <w:rFonts w:ascii="Cambria Math" w:eastAsia="Cambria Math" w:hAnsi="Cambria Math" w:cs="Cambria Math"/>
            <w:sz w:val="28"/>
            <w:szCs w:val="28"/>
          </w:rPr>
          <m:t xml:space="preserve">Topographic complexity index = </m:t>
        </m:r>
        <m:f>
          <m:fPr>
            <m:ctrlPr>
              <w:rPr>
                <w:rFonts w:ascii="Cambria Math" w:eastAsia="Cambria Math" w:hAnsi="Cambria Math" w:cs="Cambria Math"/>
                <w:sz w:val="28"/>
                <w:szCs w:val="28"/>
              </w:rPr>
            </m:ctrlPr>
          </m:fPr>
          <m:num>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500mx500m</m:t>
                </m:r>
              </m:sub>
              <m:sup/>
              <m:e/>
            </m:nary>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Area</m:t>
                    </m:r>
                  </m:e>
                  <m:sub>
                    <m:r>
                      <w:rPr>
                        <w:rFonts w:ascii="Cambria Math" w:eastAsia="Cambria Math" w:hAnsi="Cambria Math" w:cs="Cambria Math"/>
                        <w:sz w:val="28"/>
                        <w:szCs w:val="28"/>
                      </w:rPr>
                      <m:t>25mx25m</m:t>
                    </m:r>
                  </m:sub>
                </m:sSub>
              </m:num>
              <m:den>
                <m:r>
                  <w:rPr>
                    <w:rFonts w:ascii="Cambria Math" w:eastAsia="Cambria Math" w:hAnsi="Cambria Math" w:cs="Cambria Math"/>
                    <w:sz w:val="28"/>
                    <w:szCs w:val="28"/>
                  </w:rPr>
                  <m:t xml:space="preserve">cos </m:t>
                </m:r>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Slope</m:t>
                        </m:r>
                      </m:e>
                      <m:sub>
                        <m:r>
                          <w:rPr>
                            <w:rFonts w:ascii="Cambria Math" w:eastAsia="Cambria Math" w:hAnsi="Cambria Math" w:cs="Cambria Math"/>
                            <w:sz w:val="28"/>
                            <w:szCs w:val="28"/>
                          </w:rPr>
                          <m:t xml:space="preserve">25mx25m </m:t>
                        </m:r>
                      </m:sub>
                    </m:sSub>
                  </m:e>
                </m:d>
                <m:r>
                  <w:rPr>
                    <w:rFonts w:ascii="Cambria Math" w:eastAsia="Cambria Math" w:hAnsi="Cambria Math" w:cs="Cambria Math"/>
                    <w:sz w:val="28"/>
                    <w:szCs w:val="28"/>
                  </w:rPr>
                  <m:t xml:space="preserve"> </m:t>
                </m:r>
              </m:den>
            </m:f>
            <m:r>
              <w:rPr>
                <w:rFonts w:ascii="Cambria Math" w:eastAsia="Cambria Math" w:hAnsi="Cambria Math" w:cs="Cambria Math"/>
                <w:sz w:val="28"/>
                <w:szCs w:val="28"/>
              </w:rPr>
              <m:t>)</m:t>
            </m:r>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Area</m:t>
                </m:r>
              </m:e>
              <m:sub>
                <m:r>
                  <w:rPr>
                    <w:rFonts w:ascii="Cambria Math" w:eastAsia="Cambria Math" w:hAnsi="Cambria Math" w:cs="Cambria Math"/>
                    <w:sz w:val="28"/>
                    <w:szCs w:val="28"/>
                  </w:rPr>
                  <m:t>500mx500m</m:t>
                </m:r>
              </m:sub>
            </m:sSub>
          </m:den>
        </m:f>
      </m:oMath>
      <w:r>
        <w:rPr>
          <w:rFonts w:ascii="Cambria Math" w:eastAsia="Cambria Math" w:hAnsi="Cambria Math" w:cs="Cambria Math"/>
          <w:sz w:val="32"/>
          <w:szCs w:val="32"/>
        </w:rPr>
        <w:t>,</w:t>
      </w:r>
    </w:p>
    <w:p w14:paraId="478CBFB3" w14:textId="77777777" w:rsidR="007150D3" w:rsidRDefault="007150D3" w:rsidP="007150D3">
      <w:pPr>
        <w:spacing w:after="0" w:line="240" w:lineRule="auto"/>
        <w:jc w:val="both"/>
      </w:pPr>
      <w:r>
        <w:t>where Area</w:t>
      </w:r>
      <w:r>
        <w:rPr>
          <w:vertAlign w:val="subscript"/>
        </w:rPr>
        <w:t xml:space="preserve">25mx25m </w:t>
      </w:r>
      <w:r>
        <w:t>is the area per grid cell from a 25 m x 25 m digital elevation model (DEM; GRAFCAN, 2019), Slope</w:t>
      </w:r>
      <w:r>
        <w:rPr>
          <w:vertAlign w:val="subscript"/>
        </w:rPr>
        <w:t xml:space="preserve">25mx25m </w:t>
      </w:r>
      <w:r>
        <w:t>the slope (in radians) of each grid cell from the same DEM in degrees, and Area</w:t>
      </w:r>
      <w:r>
        <w:rPr>
          <w:vertAlign w:val="subscript"/>
        </w:rPr>
        <w:t xml:space="preserve">500mx500m </w:t>
      </w:r>
      <w:r>
        <w:t xml:space="preserve">the area per grid cell from a 500 m x 500 m DEM containing all grid cells form the 25 m x </w:t>
      </w:r>
      <w:r>
        <w:lastRenderedPageBreak/>
        <w:t>25 m DEM. Topographic complexity ranged from 1 (flat) to 2.17 (high complexity; Table 1; Figure S3.1c).</w:t>
      </w:r>
    </w:p>
    <w:p w14:paraId="7DA3029A" w14:textId="77777777" w:rsidR="007150D3" w:rsidRPr="00170E66" w:rsidRDefault="007150D3" w:rsidP="007150D3">
      <w:pPr>
        <w:spacing w:after="0" w:line="240" w:lineRule="auto"/>
        <w:ind w:firstLine="708"/>
        <w:jc w:val="both"/>
      </w:pPr>
      <w:r w:rsidRPr="00170E66">
        <w:t>Furthermore, we calculated geological age per grid cell as it represents a proxy for plant nutrient availability (</w:t>
      </w:r>
      <w:r>
        <w:t>Lambers, Raven, Shaver &amp; Smith,</w:t>
      </w:r>
      <w:r w:rsidRPr="00170E66">
        <w:t xml:space="preserve"> 2008) which is known to generate functional diversity </w:t>
      </w:r>
      <w:r>
        <w:t xml:space="preserve">(Lambers, </w:t>
      </w:r>
      <w:proofErr w:type="spellStart"/>
      <w:r>
        <w:t>Brundrett</w:t>
      </w:r>
      <w:proofErr w:type="spellEnd"/>
      <w:r>
        <w:t>, Raven &amp; Hopper,</w:t>
      </w:r>
      <w:r w:rsidRPr="00170E66">
        <w:t xml:space="preserve"> 2011). We derived geological age per grid cell from a continuous digital geological map of Spain (scale 1:50,000; </w:t>
      </w:r>
      <w:proofErr w:type="spellStart"/>
      <w:r>
        <w:t>Bellido</w:t>
      </w:r>
      <w:proofErr w:type="spellEnd"/>
      <w:r>
        <w:t xml:space="preserve"> </w:t>
      </w:r>
      <w:proofErr w:type="spellStart"/>
      <w:r>
        <w:t>Mulas</w:t>
      </w:r>
      <w:proofErr w:type="spellEnd"/>
      <w:r>
        <w:t xml:space="preserve">, Pineda Velasco, Gómez </w:t>
      </w:r>
      <w:proofErr w:type="spellStart"/>
      <w:r>
        <w:t>Sainz</w:t>
      </w:r>
      <w:proofErr w:type="spellEnd"/>
      <w:r>
        <w:t xml:space="preserve"> de Aja &amp; Barrera,</w:t>
      </w:r>
      <w:r w:rsidRPr="00170E66">
        <w:t xml:space="preserve"> 2020). We calculated geological age as the mean age of the geological </w:t>
      </w:r>
      <w:proofErr w:type="gramStart"/>
      <w:r>
        <w:t>time period</w:t>
      </w:r>
      <w:proofErr w:type="gramEnd"/>
      <w:r w:rsidRPr="00170E66">
        <w:t xml:space="preserve"> that we assigned to each grid cell of the Canary Islands based on the geological map. Mean geological age per grid cell ranged from 6 ka to 13.8 Ma (Table 1; Figure S</w:t>
      </w:r>
      <w:r>
        <w:t>3.</w:t>
      </w:r>
      <w:r w:rsidRPr="00170E66">
        <w:t>1d).</w:t>
      </w:r>
    </w:p>
    <w:p w14:paraId="71A7D736" w14:textId="77777777" w:rsidR="007150D3" w:rsidRDefault="007150D3" w:rsidP="007150D3">
      <w:pPr>
        <w:spacing w:line="240" w:lineRule="auto"/>
        <w:ind w:firstLine="708"/>
        <w:jc w:val="both"/>
      </w:pPr>
      <w:r w:rsidRPr="00170E66">
        <w:t>For further analyse</w:t>
      </w:r>
      <w:r>
        <w:t>s we ln-transformed the humidity</w:t>
      </w:r>
      <w:r w:rsidRPr="00170E66">
        <w:t xml:space="preserve"> and topographic complexity index to approximate normality and subsequently centred and scaled all environmental variables, yielding estimates in standard deviation units per grid cell. After standardi</w:t>
      </w:r>
      <w:r>
        <w:t>s</w:t>
      </w:r>
      <w:r w:rsidRPr="00170E66">
        <w:t>ation</w:t>
      </w:r>
      <w:r>
        <w:t>,</w:t>
      </w:r>
      <w:r w:rsidRPr="00170E66">
        <w:t xml:space="preserve"> we calculated correlation coefficients (Pearson’s r) betw</w:t>
      </w:r>
      <w:r>
        <w:t xml:space="preserve">een the environmental </w:t>
      </w:r>
      <w:r w:rsidRPr="0014167C">
        <w:t xml:space="preserve">variables, as well as elevation (Table </w:t>
      </w:r>
      <w:r>
        <w:t>S3.1).</w:t>
      </w:r>
    </w:p>
    <w:p w14:paraId="4EF829D4" w14:textId="77777777" w:rsidR="007150D3" w:rsidRDefault="007150D3" w:rsidP="007150D3">
      <w:pPr>
        <w:spacing w:line="240" w:lineRule="auto"/>
        <w:jc w:val="both"/>
      </w:pPr>
      <w:r>
        <w:rPr>
          <w:noProof/>
        </w:rPr>
        <w:drawing>
          <wp:inline distT="0" distB="0" distL="0" distR="0" wp14:anchorId="5E75D2D3" wp14:editId="6925C436">
            <wp:extent cx="5760720" cy="40798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mate_Bio_CI_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079875"/>
                    </a:xfrm>
                    <a:prstGeom prst="rect">
                      <a:avLst/>
                    </a:prstGeom>
                  </pic:spPr>
                </pic:pic>
              </a:graphicData>
            </a:graphic>
          </wp:inline>
        </w:drawing>
      </w:r>
    </w:p>
    <w:p w14:paraId="2169838F" w14:textId="77777777" w:rsidR="007150D3" w:rsidRPr="00234F0C" w:rsidRDefault="007150D3" w:rsidP="007150D3">
      <w:pPr>
        <w:spacing w:line="240" w:lineRule="auto"/>
        <w:jc w:val="both"/>
        <w:rPr>
          <w:sz w:val="20"/>
          <w:szCs w:val="20"/>
        </w:rPr>
      </w:pPr>
      <w:bookmarkStart w:id="1" w:name="_Hlk96511443"/>
      <w:r>
        <w:rPr>
          <w:b/>
          <w:sz w:val="20"/>
          <w:szCs w:val="20"/>
        </w:rPr>
        <w:t>Figure S3.1.</w:t>
      </w:r>
      <w:r>
        <w:rPr>
          <w:sz w:val="20"/>
          <w:szCs w:val="20"/>
        </w:rPr>
        <w:t xml:space="preserve"> Climatic and biogeographic variables across the Canary Islands. </w:t>
      </w:r>
      <w:bookmarkEnd w:id="1"/>
      <w:r>
        <w:rPr>
          <w:sz w:val="20"/>
          <w:szCs w:val="20"/>
        </w:rPr>
        <w:t xml:space="preserve">a) Humidity was quantified as mean annual precipitation in relation to mean annual potential evapotranspiration per grid cell, b) geographical isolation was quantified as the distance of a grid cell to the nearest terrestrial area on the continent that has a mean annual temperature within 1°C, c) topographic complexity per grid cell was estimated by calculating the ratio between 3D and 2D surface area, e) geological age per grid cell was derived from a continuous digital geological map of Spain (scale 1:50,000; </w:t>
      </w:r>
      <w:proofErr w:type="spellStart"/>
      <w:r>
        <w:rPr>
          <w:sz w:val="20"/>
          <w:szCs w:val="20"/>
        </w:rPr>
        <w:t>Bellido</w:t>
      </w:r>
      <w:proofErr w:type="spellEnd"/>
      <w:r>
        <w:rPr>
          <w:sz w:val="20"/>
          <w:szCs w:val="20"/>
        </w:rPr>
        <w:t xml:space="preserve"> </w:t>
      </w:r>
      <w:proofErr w:type="spellStart"/>
      <w:r>
        <w:rPr>
          <w:sz w:val="20"/>
          <w:szCs w:val="20"/>
        </w:rPr>
        <w:t>Mulas</w:t>
      </w:r>
      <w:proofErr w:type="spellEnd"/>
      <w:r>
        <w:rPr>
          <w:sz w:val="20"/>
          <w:szCs w:val="20"/>
        </w:rPr>
        <w:t xml:space="preserve"> et al., 2020).</w:t>
      </w:r>
    </w:p>
    <w:p w14:paraId="67E8BABF" w14:textId="77777777" w:rsidR="007150D3" w:rsidRPr="0002704D" w:rsidRDefault="007150D3" w:rsidP="007150D3">
      <w:pPr>
        <w:spacing w:line="240" w:lineRule="auto"/>
        <w:jc w:val="both"/>
        <w:rPr>
          <w:sz w:val="20"/>
          <w:szCs w:val="20"/>
        </w:rPr>
      </w:pPr>
      <w:bookmarkStart w:id="2" w:name="_Hlk96511463"/>
      <w:r>
        <w:rPr>
          <w:b/>
          <w:sz w:val="20"/>
          <w:szCs w:val="20"/>
        </w:rPr>
        <w:t>Table S3.1</w:t>
      </w:r>
      <w:r w:rsidRPr="005E2B9E">
        <w:rPr>
          <w:b/>
          <w:sz w:val="20"/>
          <w:szCs w:val="20"/>
        </w:rPr>
        <w:t>.</w:t>
      </w:r>
      <w:r w:rsidRPr="00D91A49">
        <w:rPr>
          <w:b/>
          <w:sz w:val="20"/>
          <w:szCs w:val="20"/>
        </w:rPr>
        <w:t xml:space="preserve"> </w:t>
      </w:r>
      <w:r w:rsidRPr="00D91A49">
        <w:rPr>
          <w:sz w:val="20"/>
          <w:szCs w:val="20"/>
        </w:rPr>
        <w:t>Pearson’s correlation coefficien</w:t>
      </w:r>
      <w:r>
        <w:rPr>
          <w:sz w:val="20"/>
          <w:szCs w:val="20"/>
        </w:rPr>
        <w:t xml:space="preserve">t between </w:t>
      </w:r>
      <w:bookmarkEnd w:id="2"/>
      <w:r>
        <w:rPr>
          <w:sz w:val="20"/>
          <w:szCs w:val="20"/>
        </w:rPr>
        <w:t>humidity, geographical</w:t>
      </w:r>
      <w:r w:rsidRPr="00D91A49">
        <w:rPr>
          <w:sz w:val="20"/>
          <w:szCs w:val="20"/>
        </w:rPr>
        <w:t xml:space="preserve"> isolation</w:t>
      </w:r>
      <w:r>
        <w:rPr>
          <w:sz w:val="20"/>
          <w:szCs w:val="20"/>
        </w:rPr>
        <w:t xml:space="preserve">, topographic </w:t>
      </w:r>
      <w:proofErr w:type="gramStart"/>
      <w:r>
        <w:rPr>
          <w:sz w:val="20"/>
          <w:szCs w:val="20"/>
        </w:rPr>
        <w:t>complexity</w:t>
      </w:r>
      <w:proofErr w:type="gramEnd"/>
      <w:r>
        <w:rPr>
          <w:sz w:val="20"/>
          <w:szCs w:val="20"/>
        </w:rPr>
        <w:t xml:space="preserve"> and geological age </w:t>
      </w:r>
      <w:r w:rsidRPr="00D91A49">
        <w:rPr>
          <w:sz w:val="20"/>
          <w:szCs w:val="20"/>
        </w:rPr>
        <w:t>on the Canary Islands</w:t>
      </w:r>
      <w:r>
        <w:rPr>
          <w:sz w:val="20"/>
          <w:szCs w:val="20"/>
        </w:rPr>
        <w:t xml:space="preserve"> </w:t>
      </w:r>
      <w:r w:rsidRPr="00D91A49">
        <w:rPr>
          <w:sz w:val="20"/>
          <w:szCs w:val="20"/>
        </w:rPr>
        <w:t>based on 500 m x 500 m grid cells</w:t>
      </w:r>
      <w:r>
        <w:rPr>
          <w:sz w:val="20"/>
          <w:szCs w:val="20"/>
        </w:rPr>
        <w:t>. Coefficients given in black are</w:t>
      </w:r>
      <w:r w:rsidRPr="00D91A49">
        <w:rPr>
          <w:sz w:val="20"/>
          <w:szCs w:val="20"/>
        </w:rPr>
        <w:t xml:space="preserve"> based on</w:t>
      </w:r>
      <w:r>
        <w:rPr>
          <w:sz w:val="20"/>
          <w:szCs w:val="20"/>
        </w:rPr>
        <w:t xml:space="preserve"> observed</w:t>
      </w:r>
      <w:r w:rsidRPr="00D91A49">
        <w:rPr>
          <w:sz w:val="20"/>
          <w:szCs w:val="20"/>
        </w:rPr>
        <w:t xml:space="preserve"> </w:t>
      </w:r>
      <w:r>
        <w:rPr>
          <w:sz w:val="20"/>
          <w:szCs w:val="20"/>
        </w:rPr>
        <w:t>FD</w:t>
      </w:r>
      <w:r>
        <w:rPr>
          <w:sz w:val="20"/>
          <w:szCs w:val="20"/>
          <w:vertAlign w:val="subscript"/>
        </w:rPr>
        <w:t>SES</w:t>
      </w:r>
      <w:r w:rsidRPr="00D91A49">
        <w:rPr>
          <w:sz w:val="20"/>
          <w:szCs w:val="20"/>
        </w:rPr>
        <w:t xml:space="preserve"> </w:t>
      </w:r>
      <w:r>
        <w:rPr>
          <w:sz w:val="20"/>
          <w:szCs w:val="20"/>
        </w:rPr>
        <w:t xml:space="preserve">grid cells </w:t>
      </w:r>
      <w:r w:rsidRPr="00E70FB6">
        <w:rPr>
          <w:sz w:val="20"/>
          <w:szCs w:val="20"/>
        </w:rPr>
        <w:t xml:space="preserve">(n = </w:t>
      </w:r>
      <w:r>
        <w:rPr>
          <w:sz w:val="20"/>
          <w:szCs w:val="20"/>
        </w:rPr>
        <w:t>3,065), coefficients given in grey are based on modelled FD</w:t>
      </w:r>
      <w:r>
        <w:rPr>
          <w:sz w:val="20"/>
          <w:szCs w:val="20"/>
          <w:vertAlign w:val="subscript"/>
        </w:rPr>
        <w:t xml:space="preserve">SES </w:t>
      </w:r>
      <w:r>
        <w:rPr>
          <w:sz w:val="20"/>
          <w:szCs w:val="20"/>
        </w:rPr>
        <w:t>grid cells (</w:t>
      </w:r>
      <w:r w:rsidRPr="005E2B9E">
        <w:rPr>
          <w:sz w:val="20"/>
          <w:szCs w:val="20"/>
        </w:rPr>
        <w:t>n =</w:t>
      </w:r>
      <w:r>
        <w:rPr>
          <w:sz w:val="20"/>
          <w:szCs w:val="20"/>
        </w:rPr>
        <w:t> 17,095).</w:t>
      </w:r>
    </w:p>
    <w:tbl>
      <w:tblPr>
        <w:tblStyle w:val="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0"/>
        <w:gridCol w:w="1213"/>
        <w:gridCol w:w="1682"/>
        <w:gridCol w:w="1947"/>
        <w:gridCol w:w="1249"/>
        <w:gridCol w:w="991"/>
      </w:tblGrid>
      <w:tr w:rsidR="007150D3" w:rsidRPr="00D91A49" w14:paraId="7356E1F6" w14:textId="77777777" w:rsidTr="005B628A">
        <w:trPr>
          <w:trHeight w:val="283"/>
        </w:trPr>
        <w:tc>
          <w:tcPr>
            <w:tcW w:w="0" w:type="auto"/>
            <w:shd w:val="clear" w:color="auto" w:fill="auto"/>
          </w:tcPr>
          <w:p w14:paraId="66511B42" w14:textId="77777777" w:rsidR="007150D3" w:rsidRPr="00D91A49" w:rsidRDefault="007150D3" w:rsidP="005B628A">
            <w:pPr>
              <w:jc w:val="both"/>
              <w:rPr>
                <w:b/>
                <w:sz w:val="20"/>
                <w:szCs w:val="20"/>
              </w:rPr>
            </w:pPr>
          </w:p>
        </w:tc>
        <w:tc>
          <w:tcPr>
            <w:tcW w:w="0" w:type="auto"/>
            <w:shd w:val="clear" w:color="auto" w:fill="auto"/>
          </w:tcPr>
          <w:p w14:paraId="508FA611" w14:textId="77777777" w:rsidR="007150D3" w:rsidRPr="00D91A49" w:rsidRDefault="007150D3" w:rsidP="005B628A">
            <w:pPr>
              <w:jc w:val="both"/>
              <w:rPr>
                <w:b/>
                <w:sz w:val="20"/>
                <w:szCs w:val="20"/>
              </w:rPr>
            </w:pPr>
            <w:r>
              <w:rPr>
                <w:b/>
                <w:sz w:val="20"/>
                <w:szCs w:val="20"/>
              </w:rPr>
              <w:t>Log – Humidity</w:t>
            </w:r>
          </w:p>
        </w:tc>
        <w:tc>
          <w:tcPr>
            <w:tcW w:w="0" w:type="auto"/>
            <w:shd w:val="clear" w:color="auto" w:fill="auto"/>
          </w:tcPr>
          <w:p w14:paraId="31E2B404" w14:textId="77777777" w:rsidR="007150D3" w:rsidRPr="00D91A49" w:rsidRDefault="007150D3" w:rsidP="005B628A">
            <w:pPr>
              <w:jc w:val="both"/>
              <w:rPr>
                <w:b/>
                <w:sz w:val="20"/>
                <w:szCs w:val="20"/>
              </w:rPr>
            </w:pPr>
            <w:r>
              <w:rPr>
                <w:b/>
                <w:sz w:val="20"/>
                <w:szCs w:val="20"/>
              </w:rPr>
              <w:t>Geographical isolation</w:t>
            </w:r>
          </w:p>
        </w:tc>
        <w:tc>
          <w:tcPr>
            <w:tcW w:w="0" w:type="auto"/>
            <w:shd w:val="clear" w:color="auto" w:fill="auto"/>
          </w:tcPr>
          <w:p w14:paraId="6120CF20" w14:textId="77777777" w:rsidR="007150D3" w:rsidRPr="00D91A49" w:rsidRDefault="007150D3" w:rsidP="005B628A">
            <w:pPr>
              <w:jc w:val="both"/>
              <w:rPr>
                <w:b/>
                <w:sz w:val="20"/>
                <w:szCs w:val="20"/>
              </w:rPr>
            </w:pPr>
            <w:r w:rsidRPr="00D91A49">
              <w:rPr>
                <w:b/>
                <w:sz w:val="20"/>
                <w:szCs w:val="20"/>
              </w:rPr>
              <w:t xml:space="preserve">Log </w:t>
            </w:r>
            <w:r>
              <w:rPr>
                <w:b/>
                <w:sz w:val="20"/>
                <w:szCs w:val="20"/>
              </w:rPr>
              <w:t>–</w:t>
            </w:r>
            <w:r w:rsidRPr="00D91A49">
              <w:rPr>
                <w:b/>
                <w:sz w:val="20"/>
                <w:szCs w:val="20"/>
              </w:rPr>
              <w:t xml:space="preserve"> </w:t>
            </w:r>
            <w:r>
              <w:rPr>
                <w:b/>
                <w:sz w:val="20"/>
                <w:szCs w:val="20"/>
              </w:rPr>
              <w:t>Topographic complexity</w:t>
            </w:r>
          </w:p>
        </w:tc>
        <w:tc>
          <w:tcPr>
            <w:tcW w:w="0" w:type="auto"/>
          </w:tcPr>
          <w:p w14:paraId="42B6D804" w14:textId="77777777" w:rsidR="007150D3" w:rsidRPr="00D91A49" w:rsidRDefault="007150D3" w:rsidP="005B628A">
            <w:pPr>
              <w:jc w:val="both"/>
              <w:rPr>
                <w:b/>
                <w:sz w:val="20"/>
                <w:szCs w:val="20"/>
              </w:rPr>
            </w:pPr>
            <w:r>
              <w:rPr>
                <w:b/>
                <w:sz w:val="20"/>
                <w:szCs w:val="20"/>
              </w:rPr>
              <w:t>Geological age</w:t>
            </w:r>
          </w:p>
        </w:tc>
        <w:tc>
          <w:tcPr>
            <w:tcW w:w="0" w:type="auto"/>
          </w:tcPr>
          <w:p w14:paraId="7B89DFAD" w14:textId="77777777" w:rsidR="007150D3" w:rsidRDefault="007150D3" w:rsidP="005B628A">
            <w:pPr>
              <w:jc w:val="both"/>
              <w:rPr>
                <w:b/>
                <w:sz w:val="20"/>
                <w:szCs w:val="20"/>
              </w:rPr>
            </w:pPr>
            <w:r>
              <w:rPr>
                <w:b/>
                <w:sz w:val="20"/>
                <w:szCs w:val="20"/>
              </w:rPr>
              <w:t>Elevation</w:t>
            </w:r>
          </w:p>
        </w:tc>
      </w:tr>
      <w:tr w:rsidR="007150D3" w:rsidRPr="00D91A49" w14:paraId="587CF149" w14:textId="77777777" w:rsidTr="005B628A">
        <w:trPr>
          <w:trHeight w:val="283"/>
        </w:trPr>
        <w:tc>
          <w:tcPr>
            <w:tcW w:w="0" w:type="auto"/>
            <w:shd w:val="clear" w:color="auto" w:fill="auto"/>
          </w:tcPr>
          <w:p w14:paraId="67278CC8" w14:textId="77777777" w:rsidR="007150D3" w:rsidRPr="00D91A49" w:rsidRDefault="007150D3" w:rsidP="005B628A">
            <w:pPr>
              <w:jc w:val="both"/>
              <w:rPr>
                <w:b/>
                <w:sz w:val="20"/>
                <w:szCs w:val="20"/>
              </w:rPr>
            </w:pPr>
            <w:r>
              <w:rPr>
                <w:b/>
                <w:sz w:val="20"/>
                <w:szCs w:val="20"/>
              </w:rPr>
              <w:t>Log - Humidity</w:t>
            </w:r>
          </w:p>
        </w:tc>
        <w:tc>
          <w:tcPr>
            <w:tcW w:w="0" w:type="auto"/>
            <w:shd w:val="clear" w:color="auto" w:fill="auto"/>
          </w:tcPr>
          <w:p w14:paraId="7350BC94" w14:textId="77777777" w:rsidR="007150D3" w:rsidRPr="005E2B9E" w:rsidRDefault="007150D3" w:rsidP="005B628A">
            <w:pPr>
              <w:jc w:val="both"/>
              <w:rPr>
                <w:color w:val="595959" w:themeColor="text1" w:themeTint="A6"/>
                <w:sz w:val="20"/>
                <w:szCs w:val="20"/>
              </w:rPr>
            </w:pPr>
            <w:r w:rsidRPr="005E2B9E">
              <w:rPr>
                <w:sz w:val="20"/>
                <w:szCs w:val="20"/>
              </w:rPr>
              <w:t>-</w:t>
            </w:r>
          </w:p>
        </w:tc>
        <w:tc>
          <w:tcPr>
            <w:tcW w:w="0" w:type="auto"/>
            <w:shd w:val="clear" w:color="auto" w:fill="auto"/>
          </w:tcPr>
          <w:p w14:paraId="7B5F777E" w14:textId="77777777" w:rsidR="007150D3" w:rsidRPr="005E2B9E" w:rsidRDefault="007150D3" w:rsidP="005B628A">
            <w:pPr>
              <w:jc w:val="both"/>
              <w:rPr>
                <w:color w:val="595959" w:themeColor="text1" w:themeTint="A6"/>
                <w:sz w:val="20"/>
                <w:szCs w:val="20"/>
              </w:rPr>
            </w:pPr>
            <w:r w:rsidRPr="005E2B9E">
              <w:rPr>
                <w:color w:val="595959" w:themeColor="text1" w:themeTint="A6"/>
                <w:sz w:val="20"/>
                <w:szCs w:val="20"/>
              </w:rPr>
              <w:t>0.89</w:t>
            </w:r>
            <w:r>
              <w:rPr>
                <w:color w:val="595959" w:themeColor="text1" w:themeTint="A6"/>
                <w:sz w:val="20"/>
                <w:szCs w:val="20"/>
              </w:rPr>
              <w:t>1</w:t>
            </w:r>
          </w:p>
        </w:tc>
        <w:tc>
          <w:tcPr>
            <w:tcW w:w="0" w:type="auto"/>
            <w:shd w:val="clear" w:color="auto" w:fill="auto"/>
          </w:tcPr>
          <w:p w14:paraId="18781530"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0.244</w:t>
            </w:r>
          </w:p>
        </w:tc>
        <w:tc>
          <w:tcPr>
            <w:tcW w:w="0" w:type="auto"/>
          </w:tcPr>
          <w:p w14:paraId="51D18204"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-0.291</w:t>
            </w:r>
          </w:p>
        </w:tc>
        <w:tc>
          <w:tcPr>
            <w:tcW w:w="0" w:type="auto"/>
          </w:tcPr>
          <w:p w14:paraId="6D75BA67" w14:textId="77777777" w:rsidR="007150D3" w:rsidRDefault="007150D3" w:rsidP="005B628A">
            <w:pPr>
              <w:jc w:val="both"/>
              <w:rPr>
                <w:color w:val="595959" w:themeColor="text1" w:themeTint="A6"/>
                <w:sz w:val="20"/>
                <w:szCs w:val="20"/>
              </w:rPr>
            </w:pPr>
            <w:r>
              <w:rPr>
                <w:color w:val="595959" w:themeColor="text1" w:themeTint="A6"/>
                <w:sz w:val="20"/>
                <w:szCs w:val="20"/>
              </w:rPr>
              <w:t>0.781</w:t>
            </w:r>
          </w:p>
        </w:tc>
      </w:tr>
      <w:tr w:rsidR="007150D3" w:rsidRPr="00D91A49" w14:paraId="445DDBE0" w14:textId="77777777" w:rsidTr="005B628A">
        <w:trPr>
          <w:trHeight w:val="283"/>
        </w:trPr>
        <w:tc>
          <w:tcPr>
            <w:tcW w:w="0" w:type="auto"/>
            <w:shd w:val="clear" w:color="auto" w:fill="auto"/>
          </w:tcPr>
          <w:p w14:paraId="4C415EB3" w14:textId="77777777" w:rsidR="007150D3" w:rsidRPr="00D91A49" w:rsidRDefault="007150D3" w:rsidP="005B628A">
            <w:pPr>
              <w:jc w:val="both"/>
              <w:rPr>
                <w:b/>
                <w:sz w:val="20"/>
                <w:szCs w:val="20"/>
              </w:rPr>
            </w:pPr>
            <w:r>
              <w:rPr>
                <w:b/>
                <w:sz w:val="20"/>
                <w:szCs w:val="20"/>
              </w:rPr>
              <w:lastRenderedPageBreak/>
              <w:t>Geographical isolation</w:t>
            </w:r>
          </w:p>
        </w:tc>
        <w:tc>
          <w:tcPr>
            <w:tcW w:w="0" w:type="auto"/>
            <w:shd w:val="clear" w:color="auto" w:fill="auto"/>
          </w:tcPr>
          <w:p w14:paraId="02DAE96D" w14:textId="77777777" w:rsidR="007150D3" w:rsidRPr="005E2B9E" w:rsidRDefault="007150D3" w:rsidP="005B628A">
            <w:pPr>
              <w:jc w:val="both"/>
              <w:rPr>
                <w:sz w:val="20"/>
                <w:szCs w:val="20"/>
              </w:rPr>
            </w:pPr>
            <w:r w:rsidRPr="005E2B9E">
              <w:rPr>
                <w:sz w:val="20"/>
                <w:szCs w:val="20"/>
              </w:rPr>
              <w:t>0.804</w:t>
            </w:r>
          </w:p>
        </w:tc>
        <w:tc>
          <w:tcPr>
            <w:tcW w:w="0" w:type="auto"/>
            <w:shd w:val="clear" w:color="auto" w:fill="auto"/>
          </w:tcPr>
          <w:p w14:paraId="23399965" w14:textId="77777777" w:rsidR="007150D3" w:rsidRPr="005E2B9E" w:rsidRDefault="007150D3" w:rsidP="005B628A">
            <w:pPr>
              <w:jc w:val="both"/>
              <w:rPr>
                <w:sz w:val="20"/>
                <w:szCs w:val="20"/>
              </w:rPr>
            </w:pPr>
            <w:r w:rsidRPr="005E2B9E">
              <w:rPr>
                <w:sz w:val="20"/>
                <w:szCs w:val="20"/>
              </w:rPr>
              <w:t>-</w:t>
            </w:r>
          </w:p>
        </w:tc>
        <w:tc>
          <w:tcPr>
            <w:tcW w:w="0" w:type="auto"/>
            <w:shd w:val="clear" w:color="auto" w:fill="auto"/>
          </w:tcPr>
          <w:p w14:paraId="73BE8445"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0.296</w:t>
            </w:r>
          </w:p>
        </w:tc>
        <w:tc>
          <w:tcPr>
            <w:tcW w:w="0" w:type="auto"/>
          </w:tcPr>
          <w:p w14:paraId="6EE52DF8"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-0.302</w:t>
            </w:r>
          </w:p>
        </w:tc>
        <w:tc>
          <w:tcPr>
            <w:tcW w:w="0" w:type="auto"/>
          </w:tcPr>
          <w:p w14:paraId="69217A4D"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0.784</w:t>
            </w:r>
          </w:p>
        </w:tc>
      </w:tr>
      <w:tr w:rsidR="007150D3" w:rsidRPr="00D91A49" w14:paraId="0BDC2C26" w14:textId="77777777" w:rsidTr="005B628A">
        <w:trPr>
          <w:trHeight w:val="283"/>
        </w:trPr>
        <w:tc>
          <w:tcPr>
            <w:tcW w:w="0" w:type="auto"/>
            <w:shd w:val="clear" w:color="auto" w:fill="auto"/>
          </w:tcPr>
          <w:p w14:paraId="5FC8FC89" w14:textId="77777777" w:rsidR="007150D3" w:rsidRPr="00D91A49" w:rsidRDefault="007150D3" w:rsidP="005B628A">
            <w:pPr>
              <w:jc w:val="both"/>
              <w:rPr>
                <w:b/>
                <w:sz w:val="20"/>
                <w:szCs w:val="20"/>
              </w:rPr>
            </w:pPr>
            <w:r w:rsidRPr="00D91A49">
              <w:rPr>
                <w:b/>
                <w:sz w:val="20"/>
                <w:szCs w:val="20"/>
              </w:rPr>
              <w:t xml:space="preserve">Log </w:t>
            </w:r>
            <w:r>
              <w:rPr>
                <w:b/>
                <w:sz w:val="20"/>
                <w:szCs w:val="20"/>
              </w:rPr>
              <w:t>–</w:t>
            </w:r>
            <w:r w:rsidRPr="00D91A49">
              <w:rPr>
                <w:b/>
                <w:sz w:val="20"/>
                <w:szCs w:val="20"/>
              </w:rPr>
              <w:t xml:space="preserve"> </w:t>
            </w:r>
            <w:r>
              <w:rPr>
                <w:b/>
                <w:sz w:val="20"/>
                <w:szCs w:val="20"/>
              </w:rPr>
              <w:t>Topographic complexity</w:t>
            </w:r>
          </w:p>
        </w:tc>
        <w:tc>
          <w:tcPr>
            <w:tcW w:w="0" w:type="auto"/>
            <w:shd w:val="clear" w:color="auto" w:fill="auto"/>
          </w:tcPr>
          <w:p w14:paraId="3C8CFDA5" w14:textId="77777777" w:rsidR="007150D3" w:rsidRPr="00D91A49" w:rsidRDefault="007150D3" w:rsidP="005B628A">
            <w:pPr>
              <w:jc w:val="both"/>
              <w:rPr>
                <w:sz w:val="20"/>
                <w:szCs w:val="20"/>
              </w:rPr>
            </w:pPr>
            <w:r>
              <w:rPr>
                <w:sz w:val="20"/>
                <w:szCs w:val="20"/>
              </w:rPr>
              <w:t>0.191</w:t>
            </w:r>
          </w:p>
        </w:tc>
        <w:tc>
          <w:tcPr>
            <w:tcW w:w="0" w:type="auto"/>
            <w:shd w:val="clear" w:color="auto" w:fill="auto"/>
          </w:tcPr>
          <w:p w14:paraId="07EB6FAC" w14:textId="77777777" w:rsidR="007150D3" w:rsidRPr="00D91A49" w:rsidRDefault="007150D3" w:rsidP="005B628A">
            <w:pPr>
              <w:jc w:val="both"/>
              <w:rPr>
                <w:sz w:val="20"/>
                <w:szCs w:val="20"/>
              </w:rPr>
            </w:pPr>
            <w:r>
              <w:rPr>
                <w:sz w:val="20"/>
                <w:szCs w:val="20"/>
              </w:rPr>
              <w:t>0.379</w:t>
            </w:r>
          </w:p>
        </w:tc>
        <w:tc>
          <w:tcPr>
            <w:tcW w:w="0" w:type="auto"/>
            <w:shd w:val="clear" w:color="auto" w:fill="auto"/>
          </w:tcPr>
          <w:p w14:paraId="6E27CCF5" w14:textId="77777777" w:rsidR="007150D3" w:rsidRPr="005E2B9E" w:rsidRDefault="007150D3" w:rsidP="005B628A">
            <w:pPr>
              <w:jc w:val="both"/>
              <w:rPr>
                <w:sz w:val="20"/>
                <w:szCs w:val="20"/>
              </w:rPr>
            </w:pPr>
            <w:r w:rsidRPr="005E2B9E">
              <w:rPr>
                <w:sz w:val="20"/>
                <w:szCs w:val="20"/>
              </w:rPr>
              <w:t>-</w:t>
            </w:r>
          </w:p>
        </w:tc>
        <w:tc>
          <w:tcPr>
            <w:tcW w:w="0" w:type="auto"/>
          </w:tcPr>
          <w:p w14:paraId="07EECB0B"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0.371</w:t>
            </w:r>
          </w:p>
        </w:tc>
        <w:tc>
          <w:tcPr>
            <w:tcW w:w="0" w:type="auto"/>
          </w:tcPr>
          <w:p w14:paraId="6EF0182B" w14:textId="77777777" w:rsidR="007150D3" w:rsidRPr="005E2B9E" w:rsidRDefault="007150D3" w:rsidP="005B628A">
            <w:pPr>
              <w:jc w:val="both"/>
              <w:rPr>
                <w:color w:val="595959" w:themeColor="text1" w:themeTint="A6"/>
                <w:sz w:val="20"/>
                <w:szCs w:val="20"/>
              </w:rPr>
            </w:pPr>
            <w:r>
              <w:rPr>
                <w:color w:val="595959" w:themeColor="text1" w:themeTint="A6"/>
                <w:sz w:val="20"/>
                <w:szCs w:val="20"/>
              </w:rPr>
              <w:t>0.210</w:t>
            </w:r>
          </w:p>
        </w:tc>
      </w:tr>
      <w:tr w:rsidR="007150D3" w:rsidRPr="00D91A49" w14:paraId="057729A5" w14:textId="77777777" w:rsidTr="005B628A">
        <w:trPr>
          <w:trHeight w:val="283"/>
        </w:trPr>
        <w:tc>
          <w:tcPr>
            <w:tcW w:w="0" w:type="auto"/>
            <w:shd w:val="clear" w:color="auto" w:fill="auto"/>
          </w:tcPr>
          <w:p w14:paraId="18967178" w14:textId="77777777" w:rsidR="007150D3" w:rsidRPr="00D91A49" w:rsidRDefault="007150D3" w:rsidP="005B628A">
            <w:pPr>
              <w:jc w:val="both"/>
              <w:rPr>
                <w:b/>
                <w:sz w:val="20"/>
                <w:szCs w:val="20"/>
              </w:rPr>
            </w:pPr>
            <w:r>
              <w:rPr>
                <w:b/>
                <w:sz w:val="20"/>
                <w:szCs w:val="20"/>
              </w:rPr>
              <w:t>Geological age</w:t>
            </w:r>
          </w:p>
        </w:tc>
        <w:tc>
          <w:tcPr>
            <w:tcW w:w="0" w:type="auto"/>
            <w:shd w:val="clear" w:color="auto" w:fill="auto"/>
          </w:tcPr>
          <w:p w14:paraId="5E8BBCE4" w14:textId="77777777" w:rsidR="007150D3" w:rsidRPr="00D91A49" w:rsidRDefault="007150D3" w:rsidP="005B628A">
            <w:pPr>
              <w:jc w:val="both"/>
              <w:rPr>
                <w:sz w:val="20"/>
                <w:szCs w:val="20"/>
              </w:rPr>
            </w:pPr>
            <w:r>
              <w:rPr>
                <w:sz w:val="20"/>
                <w:szCs w:val="20"/>
              </w:rPr>
              <w:t>-0.198</w:t>
            </w:r>
          </w:p>
        </w:tc>
        <w:tc>
          <w:tcPr>
            <w:tcW w:w="0" w:type="auto"/>
            <w:shd w:val="clear" w:color="auto" w:fill="auto"/>
          </w:tcPr>
          <w:p w14:paraId="31DA6ECA" w14:textId="77777777" w:rsidR="007150D3" w:rsidRPr="00D91A49" w:rsidRDefault="007150D3" w:rsidP="005B628A">
            <w:pPr>
              <w:jc w:val="both"/>
              <w:rPr>
                <w:sz w:val="20"/>
                <w:szCs w:val="20"/>
              </w:rPr>
            </w:pPr>
            <w:r>
              <w:rPr>
                <w:sz w:val="20"/>
                <w:szCs w:val="20"/>
              </w:rPr>
              <w:t>-0.128</w:t>
            </w:r>
          </w:p>
        </w:tc>
        <w:tc>
          <w:tcPr>
            <w:tcW w:w="0" w:type="auto"/>
            <w:shd w:val="clear" w:color="auto" w:fill="auto"/>
          </w:tcPr>
          <w:p w14:paraId="23D90DCE" w14:textId="77777777" w:rsidR="007150D3" w:rsidRPr="00D91A49" w:rsidRDefault="007150D3" w:rsidP="005B628A">
            <w:pPr>
              <w:jc w:val="both"/>
              <w:rPr>
                <w:sz w:val="20"/>
                <w:szCs w:val="20"/>
              </w:rPr>
            </w:pPr>
            <w:r>
              <w:rPr>
                <w:sz w:val="20"/>
                <w:szCs w:val="20"/>
              </w:rPr>
              <w:t>0.418</w:t>
            </w:r>
          </w:p>
        </w:tc>
        <w:tc>
          <w:tcPr>
            <w:tcW w:w="0" w:type="auto"/>
          </w:tcPr>
          <w:p w14:paraId="58F36A2E" w14:textId="77777777" w:rsidR="007150D3" w:rsidRPr="00D91A49" w:rsidRDefault="007150D3" w:rsidP="005B628A">
            <w:pPr>
              <w:jc w:val="both"/>
              <w:rPr>
                <w:sz w:val="20"/>
                <w:szCs w:val="20"/>
              </w:rPr>
            </w:pPr>
            <w:r>
              <w:rPr>
                <w:sz w:val="20"/>
                <w:szCs w:val="20"/>
              </w:rPr>
              <w:t>-</w:t>
            </w:r>
          </w:p>
        </w:tc>
        <w:tc>
          <w:tcPr>
            <w:tcW w:w="0" w:type="auto"/>
          </w:tcPr>
          <w:p w14:paraId="0D3D5875" w14:textId="77777777" w:rsidR="007150D3" w:rsidRDefault="007150D3" w:rsidP="005B628A">
            <w:pPr>
              <w:jc w:val="both"/>
              <w:rPr>
                <w:sz w:val="20"/>
                <w:szCs w:val="20"/>
              </w:rPr>
            </w:pPr>
            <w:r w:rsidRPr="005E2B9E">
              <w:rPr>
                <w:color w:val="595959" w:themeColor="text1" w:themeTint="A6"/>
                <w:sz w:val="20"/>
                <w:szCs w:val="20"/>
              </w:rPr>
              <w:t>-0.129</w:t>
            </w:r>
          </w:p>
        </w:tc>
      </w:tr>
      <w:tr w:rsidR="007150D3" w:rsidRPr="00D91A49" w14:paraId="4FCEAEAF" w14:textId="77777777" w:rsidTr="005B628A">
        <w:trPr>
          <w:trHeight w:val="283"/>
        </w:trPr>
        <w:tc>
          <w:tcPr>
            <w:tcW w:w="0" w:type="auto"/>
            <w:shd w:val="clear" w:color="auto" w:fill="auto"/>
          </w:tcPr>
          <w:p w14:paraId="478547B4" w14:textId="77777777" w:rsidR="007150D3" w:rsidRPr="00E70FB6" w:rsidRDefault="007150D3" w:rsidP="005B628A">
            <w:pPr>
              <w:jc w:val="both"/>
              <w:rPr>
                <w:b/>
                <w:sz w:val="20"/>
                <w:szCs w:val="20"/>
              </w:rPr>
            </w:pPr>
            <w:r w:rsidRPr="00E70FB6">
              <w:rPr>
                <w:b/>
                <w:sz w:val="20"/>
                <w:szCs w:val="20"/>
              </w:rPr>
              <w:t>Elevation</w:t>
            </w:r>
          </w:p>
        </w:tc>
        <w:tc>
          <w:tcPr>
            <w:tcW w:w="0" w:type="auto"/>
            <w:shd w:val="clear" w:color="auto" w:fill="auto"/>
          </w:tcPr>
          <w:p w14:paraId="5F1C9709" w14:textId="77777777" w:rsidR="007150D3" w:rsidRPr="00E70FB6" w:rsidRDefault="007150D3" w:rsidP="005B628A">
            <w:pPr>
              <w:jc w:val="both"/>
              <w:rPr>
                <w:sz w:val="20"/>
                <w:szCs w:val="20"/>
              </w:rPr>
            </w:pPr>
            <w:r>
              <w:rPr>
                <w:sz w:val="20"/>
                <w:szCs w:val="20"/>
              </w:rPr>
              <w:t>0.720</w:t>
            </w:r>
          </w:p>
        </w:tc>
        <w:tc>
          <w:tcPr>
            <w:tcW w:w="0" w:type="auto"/>
            <w:shd w:val="clear" w:color="auto" w:fill="auto"/>
          </w:tcPr>
          <w:p w14:paraId="66DB1B85" w14:textId="77777777" w:rsidR="007150D3" w:rsidRPr="00E70FB6" w:rsidRDefault="007150D3" w:rsidP="005B628A">
            <w:pPr>
              <w:jc w:val="both"/>
              <w:rPr>
                <w:sz w:val="20"/>
                <w:szCs w:val="20"/>
              </w:rPr>
            </w:pPr>
            <w:r>
              <w:rPr>
                <w:sz w:val="20"/>
                <w:szCs w:val="20"/>
              </w:rPr>
              <w:t>0.723</w:t>
            </w:r>
          </w:p>
        </w:tc>
        <w:tc>
          <w:tcPr>
            <w:tcW w:w="0" w:type="auto"/>
            <w:shd w:val="clear" w:color="auto" w:fill="auto"/>
          </w:tcPr>
          <w:p w14:paraId="7EBBA2B1" w14:textId="77777777" w:rsidR="007150D3" w:rsidRPr="00E70FB6" w:rsidRDefault="007150D3" w:rsidP="005B628A">
            <w:pPr>
              <w:jc w:val="both"/>
              <w:rPr>
                <w:sz w:val="20"/>
                <w:szCs w:val="20"/>
              </w:rPr>
            </w:pPr>
            <w:r>
              <w:rPr>
                <w:sz w:val="20"/>
                <w:szCs w:val="20"/>
              </w:rPr>
              <w:t>0.189</w:t>
            </w:r>
          </w:p>
        </w:tc>
        <w:tc>
          <w:tcPr>
            <w:tcW w:w="0" w:type="auto"/>
          </w:tcPr>
          <w:p w14:paraId="7F5D5749" w14:textId="77777777" w:rsidR="007150D3" w:rsidRPr="00E70FB6" w:rsidRDefault="007150D3" w:rsidP="005B628A">
            <w:pPr>
              <w:jc w:val="both"/>
              <w:rPr>
                <w:sz w:val="20"/>
                <w:szCs w:val="20"/>
              </w:rPr>
            </w:pPr>
            <w:r>
              <w:rPr>
                <w:sz w:val="20"/>
                <w:szCs w:val="20"/>
              </w:rPr>
              <w:t>-0.045</w:t>
            </w:r>
          </w:p>
        </w:tc>
        <w:tc>
          <w:tcPr>
            <w:tcW w:w="0" w:type="auto"/>
          </w:tcPr>
          <w:p w14:paraId="3AEA7671" w14:textId="77777777" w:rsidR="007150D3" w:rsidRDefault="007150D3" w:rsidP="005B628A">
            <w:pPr>
              <w:jc w:val="both"/>
              <w:rPr>
                <w:sz w:val="20"/>
                <w:szCs w:val="20"/>
              </w:rPr>
            </w:pPr>
            <w:r>
              <w:rPr>
                <w:sz w:val="20"/>
                <w:szCs w:val="20"/>
              </w:rPr>
              <w:t>-</w:t>
            </w:r>
          </w:p>
        </w:tc>
      </w:tr>
    </w:tbl>
    <w:p w14:paraId="47103D0D" w14:textId="77777777" w:rsidR="007150D3" w:rsidRDefault="007150D3" w:rsidP="007150D3">
      <w:pPr>
        <w:spacing w:line="240" w:lineRule="auto"/>
        <w:jc w:val="both"/>
      </w:pPr>
    </w:p>
    <w:p w14:paraId="5502EE84" w14:textId="77777777" w:rsidR="007150D3" w:rsidRDefault="007150D3" w:rsidP="007150D3">
      <w:pPr>
        <w:spacing w:line="240" w:lineRule="auto"/>
        <w:jc w:val="both"/>
      </w:pPr>
    </w:p>
    <w:p w14:paraId="6C853323" w14:textId="77777777" w:rsidR="007150D3" w:rsidRDefault="007150D3" w:rsidP="007150D3">
      <w:pPr>
        <w:spacing w:line="240" w:lineRule="auto"/>
        <w:jc w:val="both"/>
        <w:rPr>
          <w:b/>
        </w:rPr>
      </w:pPr>
      <w:r>
        <w:rPr>
          <w:b/>
        </w:rPr>
        <w:t>References</w:t>
      </w:r>
    </w:p>
    <w:p w14:paraId="4D07C937" w14:textId="77777777" w:rsidR="007150D3" w:rsidRDefault="007150D3" w:rsidP="007150D3">
      <w:pPr>
        <w:widowControl w:val="0"/>
        <w:spacing w:line="240" w:lineRule="auto"/>
        <w:ind w:left="480" w:hanging="480"/>
        <w:jc w:val="both"/>
      </w:pPr>
      <w:proofErr w:type="spellStart"/>
      <w:r>
        <w:t>Amatulli</w:t>
      </w:r>
      <w:proofErr w:type="spellEnd"/>
      <w:r>
        <w:t xml:space="preserve">, G., </w:t>
      </w:r>
      <w:proofErr w:type="spellStart"/>
      <w:r>
        <w:t>Domisch</w:t>
      </w:r>
      <w:proofErr w:type="spellEnd"/>
      <w:r>
        <w:t xml:space="preserve">, S., </w:t>
      </w:r>
      <w:proofErr w:type="spellStart"/>
      <w:r>
        <w:t>Tuanmu</w:t>
      </w:r>
      <w:proofErr w:type="spellEnd"/>
      <w:r>
        <w:t xml:space="preserve">, M.N., </w:t>
      </w:r>
      <w:proofErr w:type="spellStart"/>
      <w:r>
        <w:t>Parmentier</w:t>
      </w:r>
      <w:proofErr w:type="spellEnd"/>
      <w:r>
        <w:t xml:space="preserve">, B., </w:t>
      </w:r>
      <w:proofErr w:type="spellStart"/>
      <w:r>
        <w:t>Ranipeta</w:t>
      </w:r>
      <w:proofErr w:type="spellEnd"/>
      <w:r>
        <w:t xml:space="preserve">, A., </w:t>
      </w:r>
      <w:proofErr w:type="spellStart"/>
      <w:r>
        <w:t>Malczyk</w:t>
      </w:r>
      <w:proofErr w:type="spellEnd"/>
      <w:r>
        <w:t xml:space="preserve">, J. &amp; </w:t>
      </w:r>
      <w:proofErr w:type="spellStart"/>
      <w:r>
        <w:t>Jetz</w:t>
      </w:r>
      <w:proofErr w:type="spellEnd"/>
      <w:r>
        <w:t xml:space="preserve">, W. (2018) Data Descriptor: A suite of global, cross-scale topographic variables for environmental and biodiversity </w:t>
      </w:r>
      <w:proofErr w:type="spellStart"/>
      <w:r>
        <w:t>modeling</w:t>
      </w:r>
      <w:proofErr w:type="spellEnd"/>
      <w:r>
        <w:t xml:space="preserve">. </w:t>
      </w:r>
      <w:r>
        <w:rPr>
          <w:i/>
        </w:rPr>
        <w:t>Scientific Data</w:t>
      </w:r>
      <w:r>
        <w:t xml:space="preserve">, </w:t>
      </w:r>
      <w:r>
        <w:rPr>
          <w:b/>
        </w:rPr>
        <w:t>5</w:t>
      </w:r>
      <w:r>
        <w:t>, 180040.</w:t>
      </w:r>
    </w:p>
    <w:p w14:paraId="3EBF146E" w14:textId="77777777" w:rsidR="007150D3" w:rsidRDefault="007150D3" w:rsidP="007150D3">
      <w:pPr>
        <w:widowControl w:val="0"/>
        <w:spacing w:line="240" w:lineRule="auto"/>
        <w:ind w:left="480" w:hanging="480"/>
        <w:jc w:val="both"/>
      </w:pPr>
      <w:proofErr w:type="spellStart"/>
      <w:r>
        <w:t>Beguería</w:t>
      </w:r>
      <w:proofErr w:type="spellEnd"/>
      <w:r>
        <w:t>, S. &amp; Vicente-Serrano, S.M. (2017) SPEI: Calculation of the Standardised Precipitation-Evapotranspiration Index.</w:t>
      </w:r>
    </w:p>
    <w:p w14:paraId="437F8472" w14:textId="77777777" w:rsidR="007150D3" w:rsidRPr="002E744A" w:rsidRDefault="007150D3" w:rsidP="007150D3">
      <w:pPr>
        <w:widowControl w:val="0"/>
        <w:spacing w:line="240" w:lineRule="auto"/>
        <w:ind w:left="480" w:hanging="480"/>
        <w:jc w:val="both"/>
        <w:rPr>
          <w:lang w:val="es-ES"/>
        </w:rPr>
      </w:pPr>
      <w:r w:rsidRPr="002E744A">
        <w:rPr>
          <w:lang w:val="es-ES"/>
        </w:rPr>
        <w:t xml:space="preserve">Bellido Mulas, F., Pineda Velasco, A., Gómez Sainz de Aja, J.A. &amp; Barrera, J.L. (2020) Mapa Geológico Digital continuo E. 1:25:000, Zona Canarias. </w:t>
      </w:r>
      <w:r w:rsidRPr="002E744A">
        <w:rPr>
          <w:i/>
          <w:lang w:val="es-ES"/>
        </w:rPr>
        <w:t xml:space="preserve">GEODE. Mapa Geológico Digital continuo de </w:t>
      </w:r>
      <w:proofErr w:type="spellStart"/>
      <w:r w:rsidRPr="002E744A">
        <w:rPr>
          <w:i/>
          <w:lang w:val="es-ES"/>
        </w:rPr>
        <w:t>Espana</w:t>
      </w:r>
      <w:proofErr w:type="spellEnd"/>
      <w:r w:rsidRPr="002E744A">
        <w:rPr>
          <w:lang w:val="es-ES"/>
        </w:rPr>
        <w:t>.</w:t>
      </w:r>
    </w:p>
    <w:p w14:paraId="0E08E401" w14:textId="77777777" w:rsidR="007150D3" w:rsidRDefault="007150D3" w:rsidP="007150D3">
      <w:pPr>
        <w:widowControl w:val="0"/>
        <w:spacing w:line="240" w:lineRule="auto"/>
        <w:ind w:left="480" w:hanging="480"/>
        <w:jc w:val="both"/>
      </w:pPr>
      <w:r w:rsidRPr="002E744A">
        <w:rPr>
          <w:lang w:val="es-ES"/>
        </w:rPr>
        <w:t xml:space="preserve">del Arco Aguilar, M.J., González-González, R., Garzón-Machado, V. &amp; Pizarro-Hernández, B. (2010) Actual and </w:t>
      </w:r>
      <w:proofErr w:type="spellStart"/>
      <w:r w:rsidRPr="002E744A">
        <w:rPr>
          <w:lang w:val="es-ES"/>
        </w:rPr>
        <w:t>potential</w:t>
      </w:r>
      <w:proofErr w:type="spellEnd"/>
      <w:r w:rsidRPr="002E744A">
        <w:rPr>
          <w:lang w:val="es-ES"/>
        </w:rPr>
        <w:t xml:space="preserve"> natural </w:t>
      </w:r>
      <w:proofErr w:type="spellStart"/>
      <w:r w:rsidRPr="002E744A">
        <w:rPr>
          <w:lang w:val="es-ES"/>
        </w:rPr>
        <w:t>vegetation</w:t>
      </w:r>
      <w:proofErr w:type="spellEnd"/>
      <w:r w:rsidRPr="002E744A">
        <w:rPr>
          <w:lang w:val="es-ES"/>
        </w:rPr>
        <w:t xml:space="preserve"> </w:t>
      </w:r>
      <w:proofErr w:type="spellStart"/>
      <w:r w:rsidRPr="002E744A">
        <w:rPr>
          <w:lang w:val="es-ES"/>
        </w:rPr>
        <w:t>on</w:t>
      </w:r>
      <w:proofErr w:type="spellEnd"/>
      <w:r w:rsidRPr="002E744A">
        <w:rPr>
          <w:lang w:val="es-ES"/>
        </w:rPr>
        <w:t xml:space="preserve"> </w:t>
      </w:r>
      <w:proofErr w:type="spellStart"/>
      <w:r w:rsidRPr="002E744A">
        <w:rPr>
          <w:lang w:val="es-ES"/>
        </w:rPr>
        <w:t>the</w:t>
      </w:r>
      <w:proofErr w:type="spellEnd"/>
      <w:r w:rsidRPr="002E744A">
        <w:rPr>
          <w:lang w:val="es-ES"/>
        </w:rPr>
        <w:t xml:space="preserve"> </w:t>
      </w:r>
      <w:proofErr w:type="spellStart"/>
      <w:r w:rsidRPr="002E744A">
        <w:rPr>
          <w:lang w:val="es-ES"/>
        </w:rPr>
        <w:t>Canary</w:t>
      </w:r>
      <w:proofErr w:type="spellEnd"/>
      <w:r w:rsidRPr="002E744A">
        <w:rPr>
          <w:lang w:val="es-ES"/>
        </w:rPr>
        <w:t xml:space="preserve"> </w:t>
      </w:r>
      <w:proofErr w:type="spellStart"/>
      <w:r w:rsidRPr="002E744A">
        <w:rPr>
          <w:lang w:val="es-ES"/>
        </w:rPr>
        <w:t>Islands</w:t>
      </w:r>
      <w:proofErr w:type="spellEnd"/>
      <w:r w:rsidRPr="002E744A">
        <w:rPr>
          <w:lang w:val="es-ES"/>
        </w:rPr>
        <w:t xml:space="preserve"> and </w:t>
      </w:r>
      <w:proofErr w:type="spellStart"/>
      <w:r w:rsidRPr="002E744A">
        <w:rPr>
          <w:lang w:val="es-ES"/>
        </w:rPr>
        <w:t>its</w:t>
      </w:r>
      <w:proofErr w:type="spellEnd"/>
      <w:r w:rsidRPr="002E744A">
        <w:rPr>
          <w:lang w:val="es-ES"/>
        </w:rPr>
        <w:t xml:space="preserve"> </w:t>
      </w:r>
      <w:proofErr w:type="spellStart"/>
      <w:r w:rsidRPr="002E744A">
        <w:rPr>
          <w:lang w:val="es-ES"/>
        </w:rPr>
        <w:t>conservation</w:t>
      </w:r>
      <w:proofErr w:type="spellEnd"/>
      <w:r w:rsidRPr="002E744A">
        <w:rPr>
          <w:lang w:val="es-ES"/>
        </w:rPr>
        <w:t xml:space="preserve"> </w:t>
      </w:r>
      <w:proofErr w:type="gramStart"/>
      <w:r w:rsidRPr="002E744A">
        <w:rPr>
          <w:lang w:val="es-ES"/>
        </w:rPr>
        <w:t>status</w:t>
      </w:r>
      <w:proofErr w:type="gramEnd"/>
      <w:r w:rsidRPr="002E744A">
        <w:rPr>
          <w:lang w:val="es-ES"/>
        </w:rPr>
        <w:t xml:space="preserve">. </w:t>
      </w:r>
      <w:r>
        <w:rPr>
          <w:i/>
        </w:rPr>
        <w:t>Biodiversity and Conservation</w:t>
      </w:r>
      <w:r>
        <w:t xml:space="preserve">, </w:t>
      </w:r>
      <w:r>
        <w:rPr>
          <w:b/>
        </w:rPr>
        <w:t>19</w:t>
      </w:r>
      <w:r>
        <w:t>, 3089–3140.</w:t>
      </w:r>
    </w:p>
    <w:p w14:paraId="061FC4FF" w14:textId="77777777" w:rsidR="007150D3" w:rsidRDefault="007150D3" w:rsidP="007150D3">
      <w:pPr>
        <w:widowControl w:val="0"/>
        <w:spacing w:line="240" w:lineRule="auto"/>
        <w:ind w:left="480" w:hanging="480"/>
        <w:jc w:val="both"/>
      </w:pPr>
      <w:r>
        <w:t xml:space="preserve">GRAFCAN (2019) </w:t>
      </w:r>
      <w:proofErr w:type="spellStart"/>
      <w:r>
        <w:t>Cartográfica</w:t>
      </w:r>
      <w:proofErr w:type="spellEnd"/>
      <w:r>
        <w:t xml:space="preserve"> de Canarias.</w:t>
      </w:r>
    </w:p>
    <w:p w14:paraId="0BD51AD2" w14:textId="77777777" w:rsidR="007150D3" w:rsidRDefault="007150D3" w:rsidP="007150D3">
      <w:pPr>
        <w:widowControl w:val="0"/>
        <w:spacing w:line="240" w:lineRule="auto"/>
        <w:ind w:left="480" w:hanging="480"/>
        <w:jc w:val="both"/>
      </w:pPr>
      <w:proofErr w:type="spellStart"/>
      <w:r>
        <w:t>Hijmans</w:t>
      </w:r>
      <w:proofErr w:type="spellEnd"/>
      <w:r>
        <w:t xml:space="preserve">, R.J. (2019) raster: Geographic Data Analysis and </w:t>
      </w:r>
      <w:proofErr w:type="spellStart"/>
      <w:r>
        <w:t>Modeling</w:t>
      </w:r>
      <w:proofErr w:type="spellEnd"/>
      <w:r>
        <w:t>.</w:t>
      </w:r>
    </w:p>
    <w:p w14:paraId="097295E7" w14:textId="77777777" w:rsidR="007150D3" w:rsidRDefault="007150D3" w:rsidP="007150D3">
      <w:pPr>
        <w:widowControl w:val="0"/>
        <w:spacing w:line="240" w:lineRule="auto"/>
        <w:ind w:left="480" w:hanging="480"/>
        <w:jc w:val="both"/>
      </w:pPr>
      <w:r>
        <w:t xml:space="preserve">Irl, S.D.H., </w:t>
      </w:r>
      <w:proofErr w:type="spellStart"/>
      <w:r>
        <w:t>Obermeier</w:t>
      </w:r>
      <w:proofErr w:type="spellEnd"/>
      <w:r>
        <w:t xml:space="preserve">, A., Beierkuhnlein, C. &amp; Steinbauer, M.J. (2020) Climate controls plant life form patterns on a high-elevation oceanic island. </w:t>
      </w:r>
      <w:r>
        <w:rPr>
          <w:i/>
        </w:rPr>
        <w:t>Journal of Biogeography</w:t>
      </w:r>
      <w:r>
        <w:t xml:space="preserve">, </w:t>
      </w:r>
      <w:r>
        <w:rPr>
          <w:b/>
        </w:rPr>
        <w:t>47</w:t>
      </w:r>
      <w:r>
        <w:t>, 2261–2273.</w:t>
      </w:r>
    </w:p>
    <w:p w14:paraId="0BED6775" w14:textId="77777777" w:rsidR="007150D3" w:rsidRDefault="007150D3" w:rsidP="007150D3">
      <w:pPr>
        <w:widowControl w:val="0"/>
        <w:spacing w:line="240" w:lineRule="auto"/>
        <w:ind w:left="480" w:hanging="480"/>
        <w:jc w:val="both"/>
      </w:pPr>
      <w:r>
        <w:t xml:space="preserve">Irl, S.D.H., Harter, D.E.V., Steinbauer, M.J., Gallego Puyol, D., Fernández-Palacios, J.M., Jentsch, A. &amp; Beierkuhnlein, C. (2015) Climate vs. topography - spatial patterns of plant species diversity and endemism on a high-elevation island. </w:t>
      </w:r>
      <w:r>
        <w:rPr>
          <w:i/>
        </w:rPr>
        <w:t>Journal of Ecology</w:t>
      </w:r>
      <w:r>
        <w:t xml:space="preserve">, </w:t>
      </w:r>
      <w:r>
        <w:rPr>
          <w:b/>
        </w:rPr>
        <w:t>103</w:t>
      </w:r>
      <w:r>
        <w:t>, 1621–1633.</w:t>
      </w:r>
    </w:p>
    <w:p w14:paraId="2DA6B13F" w14:textId="77777777" w:rsidR="007150D3" w:rsidRDefault="007150D3" w:rsidP="007150D3">
      <w:pPr>
        <w:widowControl w:val="0"/>
        <w:spacing w:line="240" w:lineRule="auto"/>
        <w:ind w:left="480" w:hanging="480"/>
        <w:jc w:val="both"/>
      </w:pPr>
      <w:proofErr w:type="spellStart"/>
      <w:r>
        <w:t>Jenness</w:t>
      </w:r>
      <w:proofErr w:type="spellEnd"/>
      <w:r>
        <w:t xml:space="preserve">, J.S. (2004) Calculating landscape surface area from digital elevation models. </w:t>
      </w:r>
      <w:r>
        <w:rPr>
          <w:i/>
        </w:rPr>
        <w:t>Wildlife Society Bulletin</w:t>
      </w:r>
      <w:r>
        <w:t xml:space="preserve">, </w:t>
      </w:r>
      <w:r>
        <w:rPr>
          <w:b/>
        </w:rPr>
        <w:t>32</w:t>
      </w:r>
      <w:r>
        <w:t>, 829–839.</w:t>
      </w:r>
    </w:p>
    <w:p w14:paraId="6EEA8B23" w14:textId="77777777" w:rsidR="007150D3" w:rsidRDefault="007150D3" w:rsidP="007150D3">
      <w:pPr>
        <w:widowControl w:val="0"/>
        <w:spacing w:line="240" w:lineRule="auto"/>
        <w:ind w:left="480" w:hanging="480"/>
        <w:jc w:val="both"/>
      </w:pPr>
      <w:r>
        <w:t xml:space="preserve">Karger, D.N., Conrad, O., </w:t>
      </w:r>
      <w:proofErr w:type="spellStart"/>
      <w:r>
        <w:t>Böhner</w:t>
      </w:r>
      <w:proofErr w:type="spellEnd"/>
      <w:r>
        <w:t xml:space="preserve">, J., </w:t>
      </w:r>
      <w:proofErr w:type="spellStart"/>
      <w:r>
        <w:t>Kawohl</w:t>
      </w:r>
      <w:proofErr w:type="spellEnd"/>
      <w:r>
        <w:t>, T., Kreft, H., Soria-</w:t>
      </w:r>
      <w:proofErr w:type="spellStart"/>
      <w:r>
        <w:t>Auza</w:t>
      </w:r>
      <w:proofErr w:type="spellEnd"/>
      <w:r>
        <w:t xml:space="preserve">, R.W., … Kessler, M. (2017) </w:t>
      </w:r>
      <w:proofErr w:type="spellStart"/>
      <w:r>
        <w:t>Climatologies</w:t>
      </w:r>
      <w:proofErr w:type="spellEnd"/>
      <w:r>
        <w:t xml:space="preserve"> at high resolution for the earth’s land surface areas. </w:t>
      </w:r>
      <w:r>
        <w:rPr>
          <w:i/>
        </w:rPr>
        <w:t>Scientific Data</w:t>
      </w:r>
      <w:r>
        <w:t xml:space="preserve">, </w:t>
      </w:r>
      <w:r>
        <w:rPr>
          <w:b/>
        </w:rPr>
        <w:t>4</w:t>
      </w:r>
      <w:r>
        <w:t>, 1–20.</w:t>
      </w:r>
    </w:p>
    <w:p w14:paraId="36E8A1F8" w14:textId="77777777" w:rsidR="007150D3" w:rsidRDefault="007150D3" w:rsidP="007150D3">
      <w:pPr>
        <w:widowControl w:val="0"/>
        <w:spacing w:line="240" w:lineRule="auto"/>
        <w:ind w:left="480" w:hanging="480"/>
        <w:jc w:val="both"/>
      </w:pPr>
      <w:r>
        <w:t xml:space="preserve">Lambers, H., </w:t>
      </w:r>
      <w:proofErr w:type="spellStart"/>
      <w:r>
        <w:t>Brundrett</w:t>
      </w:r>
      <w:proofErr w:type="spellEnd"/>
      <w:r>
        <w:t xml:space="preserve">, M.C., Raven, J.A. &amp; Hopper, S.D. (2011) Plant mineral nutrition in ancient landscapes: High plant species diversity on infertile soils is linked to functional diversity for nutritional strategies. </w:t>
      </w:r>
      <w:r>
        <w:rPr>
          <w:i/>
        </w:rPr>
        <w:t>Plant and Soil</w:t>
      </w:r>
      <w:r>
        <w:t xml:space="preserve">, </w:t>
      </w:r>
      <w:r>
        <w:rPr>
          <w:b/>
        </w:rPr>
        <w:t>348</w:t>
      </w:r>
      <w:r>
        <w:t>, 7–27.</w:t>
      </w:r>
    </w:p>
    <w:p w14:paraId="159A826F" w14:textId="77777777" w:rsidR="007150D3" w:rsidRDefault="007150D3" w:rsidP="007150D3">
      <w:pPr>
        <w:widowControl w:val="0"/>
        <w:spacing w:line="240" w:lineRule="auto"/>
        <w:ind w:left="480" w:hanging="480"/>
        <w:jc w:val="both"/>
      </w:pPr>
      <w:r>
        <w:t xml:space="preserve">Lambers, H., Raven, J.A., Shaver, G.R. &amp; Smith, S.E. (2008) Plant nutrient-acquisition strategies change with soil age. </w:t>
      </w:r>
      <w:r>
        <w:rPr>
          <w:i/>
        </w:rPr>
        <w:t>Trends in Ecology and Evolution</w:t>
      </w:r>
      <w:r>
        <w:t xml:space="preserve">, </w:t>
      </w:r>
      <w:r>
        <w:rPr>
          <w:b/>
        </w:rPr>
        <w:t>23</w:t>
      </w:r>
      <w:r>
        <w:t>, 95–103.</w:t>
      </w:r>
    </w:p>
    <w:p w14:paraId="638A9FE8" w14:textId="77777777" w:rsidR="007150D3" w:rsidRDefault="007150D3" w:rsidP="007150D3">
      <w:pPr>
        <w:widowControl w:val="0"/>
        <w:spacing w:line="240" w:lineRule="auto"/>
        <w:ind w:left="480" w:hanging="480"/>
        <w:jc w:val="both"/>
      </w:pPr>
      <w:proofErr w:type="spellStart"/>
      <w:r w:rsidRPr="008C0E5E">
        <w:t>Platnick</w:t>
      </w:r>
      <w:proofErr w:type="spellEnd"/>
      <w:r w:rsidRPr="008C0E5E">
        <w:t xml:space="preserve">, S., Ackerman, S.A., King, M.D., Meyer, K., Menzel, W.P., </w:t>
      </w:r>
      <w:proofErr w:type="spellStart"/>
      <w:r w:rsidRPr="008C0E5E">
        <w:t>Holz</w:t>
      </w:r>
      <w:proofErr w:type="spellEnd"/>
      <w:r w:rsidRPr="008C0E5E">
        <w:t xml:space="preserve">, R.E., … </w:t>
      </w:r>
      <w:r>
        <w:t xml:space="preserve">Yang, P. (2015) MODIS atmosphere L2 cloud product (06_L2). </w:t>
      </w:r>
      <w:r>
        <w:rPr>
          <w:i/>
        </w:rPr>
        <w:t>NASA MODIS Adaptive Processing System</w:t>
      </w:r>
      <w:r>
        <w:t>.</w:t>
      </w:r>
    </w:p>
    <w:p w14:paraId="58258157" w14:textId="77777777" w:rsidR="007150D3" w:rsidRDefault="007150D3" w:rsidP="007150D3">
      <w:pPr>
        <w:widowControl w:val="0"/>
        <w:spacing w:line="240" w:lineRule="auto"/>
        <w:ind w:left="480" w:hanging="480"/>
        <w:jc w:val="both"/>
      </w:pPr>
      <w:r>
        <w:t xml:space="preserve">Steinbauer, M.J., Field, R., </w:t>
      </w:r>
      <w:proofErr w:type="spellStart"/>
      <w:r>
        <w:t>Grytnes</w:t>
      </w:r>
      <w:proofErr w:type="spellEnd"/>
      <w:r>
        <w:t xml:space="preserve">, J.A., </w:t>
      </w:r>
      <w:proofErr w:type="spellStart"/>
      <w:r>
        <w:t>Trigas</w:t>
      </w:r>
      <w:proofErr w:type="spellEnd"/>
      <w:r>
        <w:t xml:space="preserve">, P., Ah-Peng, C., </w:t>
      </w:r>
      <w:proofErr w:type="spellStart"/>
      <w:r>
        <w:t>Attorre</w:t>
      </w:r>
      <w:proofErr w:type="spellEnd"/>
      <w:r>
        <w:t xml:space="preserve">, F., … Beierkuhnlein, C. (2016) Topography-driven isolation, </w:t>
      </w:r>
      <w:proofErr w:type="gramStart"/>
      <w:r>
        <w:t>speciation</w:t>
      </w:r>
      <w:proofErr w:type="gramEnd"/>
      <w:r>
        <w:t xml:space="preserve"> and a global increase of endemism with elevation. </w:t>
      </w:r>
      <w:r>
        <w:rPr>
          <w:i/>
        </w:rPr>
        <w:t>Global Ecology and Biogeography</w:t>
      </w:r>
      <w:r>
        <w:t xml:space="preserve">, </w:t>
      </w:r>
      <w:r>
        <w:rPr>
          <w:b/>
        </w:rPr>
        <w:t>25</w:t>
      </w:r>
      <w:r>
        <w:t>, 1097–1107.</w:t>
      </w:r>
    </w:p>
    <w:p w14:paraId="31DFBC53" w14:textId="77777777" w:rsidR="007150D3" w:rsidRDefault="007150D3" w:rsidP="007150D3">
      <w:pPr>
        <w:widowControl w:val="0"/>
        <w:spacing w:line="240" w:lineRule="auto"/>
        <w:ind w:left="480" w:hanging="480"/>
        <w:jc w:val="both"/>
      </w:pPr>
      <w:r>
        <w:t xml:space="preserve">Thornthwaite, C.W. (1948) An Approach toward a Rational Classification of Climate. </w:t>
      </w:r>
      <w:r>
        <w:rPr>
          <w:i/>
        </w:rPr>
        <w:t>Geographical Review</w:t>
      </w:r>
      <w:r>
        <w:t xml:space="preserve">, </w:t>
      </w:r>
      <w:r>
        <w:rPr>
          <w:b/>
        </w:rPr>
        <w:t>38</w:t>
      </w:r>
      <w:r>
        <w:t>, 55–94.</w:t>
      </w:r>
    </w:p>
    <w:p w14:paraId="6F488E32" w14:textId="77777777" w:rsidR="007150D3" w:rsidRDefault="007150D3" w:rsidP="007150D3">
      <w:pPr>
        <w:widowControl w:val="0"/>
        <w:spacing w:line="240" w:lineRule="auto"/>
        <w:ind w:left="480" w:hanging="480"/>
        <w:jc w:val="both"/>
      </w:pPr>
      <w:r>
        <w:lastRenderedPageBreak/>
        <w:t xml:space="preserve">UNEP (1992) </w:t>
      </w:r>
      <w:r>
        <w:rPr>
          <w:i/>
        </w:rPr>
        <w:t>World Atlas of Desertification</w:t>
      </w:r>
      <w:r>
        <w:t>, Edward Arnold, London.</w:t>
      </w:r>
    </w:p>
    <w:p w14:paraId="377D5F3F" w14:textId="5364A2B5" w:rsidR="007150D3" w:rsidRDefault="007150D3" w:rsidP="007150D3">
      <w:pPr>
        <w:widowControl w:val="0"/>
        <w:spacing w:line="240" w:lineRule="auto"/>
        <w:ind w:left="480" w:hanging="480"/>
        <w:jc w:val="both"/>
      </w:pPr>
      <w:r>
        <w:t xml:space="preserve">Weigelt, P. &amp; Kreft, H. (2013) </w:t>
      </w:r>
      <w:proofErr w:type="gramStart"/>
      <w:r>
        <w:t>Quantifying island</w:t>
      </w:r>
      <w:proofErr w:type="gramEnd"/>
      <w:r>
        <w:t xml:space="preserve"> isolation - insights from global patterns of insular plant species richness. </w:t>
      </w:r>
      <w:proofErr w:type="spellStart"/>
      <w:r>
        <w:rPr>
          <w:i/>
        </w:rPr>
        <w:t>Ecography</w:t>
      </w:r>
      <w:proofErr w:type="spellEnd"/>
      <w:r>
        <w:t xml:space="preserve">, </w:t>
      </w:r>
      <w:r>
        <w:rPr>
          <w:b/>
        </w:rPr>
        <w:t>36</w:t>
      </w:r>
      <w:r>
        <w:t>, 417–429.</w:t>
      </w:r>
    </w:p>
    <w:sectPr w:rsidR="007150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D3"/>
    <w:rsid w:val="003E111E"/>
    <w:rsid w:val="00715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0232"/>
  <w15:chartTrackingRefBased/>
  <w15:docId w15:val="{2C5D7D82-8024-4525-B5E4-5723875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0D3"/>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7150D3"/>
    <w:pPr>
      <w:spacing w:after="0" w:line="240" w:lineRule="auto"/>
    </w:pPr>
    <w:rPr>
      <w:rFonts w:ascii="Calibri" w:eastAsia="Calibri" w:hAnsi="Calibri" w:cs="Calibri"/>
      <w:lang w:val="en-GB" w:eastAsia="en-GB"/>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8097</Characters>
  <Application>Microsoft Office Word</Application>
  <DocSecurity>0</DocSecurity>
  <Lines>67</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hanz@geo.uni-frankfurt.de</dc:creator>
  <cp:keywords/>
  <dc:description/>
  <cp:lastModifiedBy>hanz@geo.uni-frankfurt.de</cp:lastModifiedBy>
  <cp:revision>1</cp:revision>
  <dcterms:created xsi:type="dcterms:W3CDTF">2022-03-06T16:17:00Z</dcterms:created>
  <dcterms:modified xsi:type="dcterms:W3CDTF">2022-03-06T16:18:00Z</dcterms:modified>
</cp:coreProperties>
</file>