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11404" w14:textId="61DF90B3" w:rsidR="00A2697F" w:rsidRPr="007A2711" w:rsidRDefault="00A2697F" w:rsidP="00A2697F">
      <w:pPr>
        <w:rPr>
          <w:lang w:val="en-US"/>
        </w:rPr>
      </w:pPr>
      <w:r w:rsidRPr="00B34D99">
        <w:rPr>
          <w:b/>
          <w:lang w:val="en-US"/>
        </w:rPr>
        <w:t xml:space="preserve">Supplementary </w:t>
      </w:r>
      <w:r>
        <w:rPr>
          <w:b/>
          <w:lang w:val="en-US"/>
        </w:rPr>
        <w:t>Information 1</w:t>
      </w:r>
      <w:r w:rsidRPr="00B34D99">
        <w:rPr>
          <w:b/>
          <w:lang w:val="en-US"/>
        </w:rPr>
        <w:t>.</w:t>
      </w:r>
      <w:r w:rsidRPr="00B34D99">
        <w:rPr>
          <w:lang w:val="en-US"/>
        </w:rPr>
        <w:t xml:space="preserve"> Correlation matrix (Pearson’s </w:t>
      </w:r>
      <w:r w:rsidRPr="00226CD5">
        <w:rPr>
          <w:i/>
          <w:lang w:val="en-US"/>
        </w:rPr>
        <w:t>r</w:t>
      </w:r>
      <w:r w:rsidRPr="00B34D99">
        <w:rPr>
          <w:lang w:val="en-US"/>
        </w:rPr>
        <w:t>) and descriptive statistics for all measure</w:t>
      </w:r>
      <w:r>
        <w:rPr>
          <w:lang w:val="en-US"/>
        </w:rPr>
        <w:t>s</w:t>
      </w:r>
      <w:r w:rsidRPr="00B34D99">
        <w:rPr>
          <w:lang w:val="en-US"/>
        </w:rPr>
        <w:t xml:space="preserve">. </w:t>
      </w:r>
      <w:r w:rsidR="007A2711">
        <w:rPr>
          <w:color w:val="201F1E"/>
          <w:lang w:val="en-US"/>
        </w:rPr>
        <w:t>A</w:t>
      </w:r>
      <w:r w:rsidR="007A2711" w:rsidRPr="007A2711">
        <w:rPr>
          <w:color w:val="201F1E"/>
          <w:lang w:val="en-US"/>
        </w:rPr>
        <w:t xml:space="preserve">ll complete pairs of observations of the </w:t>
      </w:r>
      <w:r w:rsidR="007A2711">
        <w:rPr>
          <w:color w:val="201F1E"/>
          <w:lang w:val="en-US"/>
        </w:rPr>
        <w:t xml:space="preserve">variables were used to calculate correlation coefficients. </w:t>
      </w:r>
      <w:r w:rsidRPr="00B34D99">
        <w:rPr>
          <w:lang w:val="en-US"/>
        </w:rPr>
        <w:t xml:space="preserve">Unit for all associative and item memory tests is proportion hits – proportion false alarms (proportion). Unit for all cortical region of interest is cortical thickness (mm). </w:t>
      </w:r>
      <w:r w:rsidR="00EB704B">
        <w:rPr>
          <w:lang w:val="en-US"/>
        </w:rPr>
        <w:t>Unit for the hippocampus is volume (</w:t>
      </w:r>
      <w:r w:rsidR="00EB704B" w:rsidRPr="00B34D99">
        <w:rPr>
          <w:lang w:val="en-US"/>
        </w:rPr>
        <w:t>mm</w:t>
      </w:r>
      <w:r w:rsidR="00EB704B" w:rsidRPr="00B34D99">
        <w:rPr>
          <w:vertAlign w:val="superscript"/>
          <w:lang w:val="en-US"/>
        </w:rPr>
        <w:t>3</w:t>
      </w:r>
      <w:r w:rsidR="00EB704B" w:rsidRPr="00B34D99">
        <w:rPr>
          <w:lang w:val="en-US"/>
        </w:rPr>
        <w:t>)</w:t>
      </w:r>
      <w:r w:rsidR="00EB704B">
        <w:rPr>
          <w:lang w:val="en-US"/>
        </w:rPr>
        <w:t xml:space="preserve">, provided as unadjusted, </w:t>
      </w:r>
      <w:r w:rsidR="00EB704B" w:rsidRPr="00EB704B">
        <w:rPr>
          <w:i/>
          <w:lang w:val="en-US"/>
        </w:rPr>
        <w:t>HC(raw)</w:t>
      </w:r>
      <w:r w:rsidR="00EB704B">
        <w:rPr>
          <w:lang w:val="en-US"/>
        </w:rPr>
        <w:t xml:space="preserve">, and as adjusted for </w:t>
      </w:r>
      <w:r w:rsidR="00EB704B" w:rsidRPr="00B34D99">
        <w:rPr>
          <w:lang w:val="en-US"/>
        </w:rPr>
        <w:t>total intracranial volume</w:t>
      </w:r>
      <w:r w:rsidR="00EB704B">
        <w:rPr>
          <w:lang w:val="en-US"/>
        </w:rPr>
        <w:t xml:space="preserve">, </w:t>
      </w:r>
      <w:r w:rsidR="00EB704B" w:rsidRPr="00EB704B">
        <w:rPr>
          <w:i/>
          <w:lang w:val="en-US"/>
        </w:rPr>
        <w:t>HC(adj)</w:t>
      </w:r>
      <w:r w:rsidR="00EB704B" w:rsidRPr="00B34D99">
        <w:rPr>
          <w:lang w:val="en-US"/>
        </w:rPr>
        <w:t xml:space="preserve">. </w:t>
      </w:r>
      <w:r w:rsidR="00EB704B">
        <w:rPr>
          <w:lang w:val="en-US"/>
        </w:rPr>
        <w:t>Unit for total intracranial volume is volume (</w:t>
      </w:r>
      <w:r w:rsidR="00EB704B" w:rsidRPr="00B34D99">
        <w:rPr>
          <w:lang w:val="en-US"/>
        </w:rPr>
        <w:t>mm</w:t>
      </w:r>
      <w:r w:rsidR="00EB704B" w:rsidRPr="00B34D99">
        <w:rPr>
          <w:vertAlign w:val="superscript"/>
          <w:lang w:val="en-US"/>
        </w:rPr>
        <w:t>3</w:t>
      </w:r>
      <w:r w:rsidR="00EB704B" w:rsidRPr="00B34D99">
        <w:rPr>
          <w:lang w:val="en-US"/>
        </w:rPr>
        <w:t>)</w:t>
      </w:r>
      <w:r w:rsidR="00EB704B">
        <w:rPr>
          <w:lang w:val="en-US"/>
        </w:rPr>
        <w:t xml:space="preserve">. </w:t>
      </w:r>
    </w:p>
    <w:p w14:paraId="46D99E57" w14:textId="77B3E1CC" w:rsidR="00A2697F" w:rsidRPr="007A2711" w:rsidRDefault="00A2697F" w:rsidP="00A2697F">
      <w:pPr>
        <w:rPr>
          <w:lang w:val="en-US"/>
        </w:rPr>
      </w:pPr>
    </w:p>
    <w:p w14:paraId="6FC0B3CD" w14:textId="74496993" w:rsidR="00A2697F" w:rsidRDefault="005D2B9B">
      <w:pPr>
        <w:rPr>
          <w:b/>
          <w:lang w:val="en-US"/>
        </w:rPr>
      </w:pPr>
      <w:r>
        <w:rPr>
          <w:b/>
          <w:noProof/>
          <w:lang w:val="en-US"/>
        </w:rPr>
        <w:object w:dxaOrig="21460" w:dyaOrig="5930" w14:anchorId="3F642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22.55pt;height:199.3pt;mso-width-percent:0;mso-height-percent:0;mso-width-percent:0;mso-height-percent:0" o:ole="">
            <v:imagedata r:id="rId4" o:title=""/>
          </v:shape>
          <o:OLEObject Type="Embed" ProgID="Excel.Sheet.12" ShapeID="_x0000_i1027" DrawAspect="Content" ObjectID="_1637515920" r:id="rId5"/>
        </w:object>
      </w:r>
    </w:p>
    <w:p w14:paraId="4E425507" w14:textId="77777777" w:rsidR="00A2697F" w:rsidRDefault="00A2697F">
      <w:pPr>
        <w:rPr>
          <w:b/>
          <w:lang w:val="en-US"/>
        </w:rPr>
      </w:pPr>
    </w:p>
    <w:p w14:paraId="537B3F49" w14:textId="77777777" w:rsidR="00A2697F" w:rsidRDefault="00A2697F">
      <w:pPr>
        <w:rPr>
          <w:b/>
          <w:lang w:val="en-US"/>
        </w:rPr>
      </w:pPr>
      <w:r>
        <w:rPr>
          <w:b/>
          <w:lang w:val="en-US"/>
        </w:rPr>
        <w:br w:type="page"/>
      </w:r>
    </w:p>
    <w:p w14:paraId="0AAF6D3A" w14:textId="1B09CA1D" w:rsidR="00BF2024" w:rsidRDefault="00BF2024">
      <w:pPr>
        <w:rPr>
          <w:lang w:val="en-US"/>
        </w:rPr>
      </w:pPr>
      <w:r w:rsidRPr="00B34D99">
        <w:rPr>
          <w:b/>
          <w:lang w:val="en-US"/>
        </w:rPr>
        <w:lastRenderedPageBreak/>
        <w:t xml:space="preserve">Supplementary </w:t>
      </w:r>
      <w:r>
        <w:rPr>
          <w:b/>
          <w:lang w:val="en-US"/>
        </w:rPr>
        <w:t xml:space="preserve">Information </w:t>
      </w:r>
      <w:r w:rsidR="00A2697F">
        <w:rPr>
          <w:b/>
          <w:lang w:val="en-US"/>
        </w:rPr>
        <w:t>2</w:t>
      </w:r>
      <w:r>
        <w:rPr>
          <w:b/>
          <w:lang w:val="en-US"/>
        </w:rPr>
        <w:t xml:space="preserve">. </w:t>
      </w:r>
      <w:r>
        <w:rPr>
          <w:lang w:val="en-US"/>
        </w:rPr>
        <w:t xml:space="preserve">Standardized factor loadings for the measures in the cognitive model. </w:t>
      </w:r>
    </w:p>
    <w:p w14:paraId="5AC380B5" w14:textId="77777777" w:rsidR="00BF2024" w:rsidRDefault="00BF2024">
      <w:pPr>
        <w:rPr>
          <w:b/>
          <w:lang w:val="en-US"/>
        </w:rPr>
      </w:pPr>
    </w:p>
    <w:p w14:paraId="049AFFFC" w14:textId="77777777" w:rsidR="00BF2024" w:rsidRDefault="00BF2024">
      <w:pPr>
        <w:rPr>
          <w:b/>
          <w:lang w:val="en-US"/>
        </w:rPr>
      </w:pPr>
    </w:p>
    <w:p w14:paraId="50B603E3" w14:textId="0FD46F05" w:rsidR="00DD23DC" w:rsidRDefault="005D2B9B">
      <w:pPr>
        <w:rPr>
          <w:b/>
          <w:noProof/>
          <w:lang w:val="en-US"/>
        </w:rPr>
      </w:pPr>
      <w:r>
        <w:rPr>
          <w:b/>
          <w:noProof/>
          <w:lang w:val="en-US"/>
        </w:rPr>
        <w:object w:dxaOrig="4760" w:dyaOrig="7060" w14:anchorId="2235531F">
          <v:shape id="_x0000_i1026" type="#_x0000_t75" alt="" style="width:217.3pt;height:320.15pt;mso-width-percent:0;mso-height-percent:0;mso-width-percent:0;mso-height-percent:0" o:ole="">
            <v:imagedata r:id="rId6" o:title=""/>
          </v:shape>
          <o:OLEObject Type="Embed" ProgID="Excel.Sheet.12" ShapeID="_x0000_i1026" DrawAspect="Content" ObjectID="_1637515921" r:id="rId7"/>
        </w:object>
      </w:r>
      <w:r w:rsidR="00BF2024">
        <w:rPr>
          <w:b/>
          <w:noProof/>
          <w:lang w:val="en-US"/>
        </w:rPr>
        <w:drawing>
          <wp:inline distT="0" distB="0" distL="0" distR="0" wp14:anchorId="5D5142DE" wp14:editId="56863C28">
            <wp:extent cx="5186050" cy="1493022"/>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gnitiveModel_Fig1A_final.pdf"/>
                    <pic:cNvPicPr/>
                  </pic:nvPicPr>
                  <pic:blipFill rotWithShape="1">
                    <a:blip r:embed="rId8">
                      <a:extLst>
                        <a:ext uri="{28A0092B-C50C-407E-A947-70E740481C1C}">
                          <a14:useLocalDpi xmlns:a14="http://schemas.microsoft.com/office/drawing/2010/main" val="0"/>
                        </a:ext>
                      </a:extLst>
                    </a:blip>
                    <a:srcRect l="92" t="22376" r="-92" b="41331"/>
                    <a:stretch/>
                  </pic:blipFill>
                  <pic:spPr bwMode="auto">
                    <a:xfrm>
                      <a:off x="0" y="0"/>
                      <a:ext cx="5202818" cy="1497849"/>
                    </a:xfrm>
                    <a:prstGeom prst="rect">
                      <a:avLst/>
                    </a:prstGeom>
                    <a:ln>
                      <a:noFill/>
                    </a:ln>
                    <a:extLst>
                      <a:ext uri="{53640926-AAD7-44D8-BBD7-CCE9431645EC}">
                        <a14:shadowObscured xmlns:a14="http://schemas.microsoft.com/office/drawing/2010/main"/>
                      </a:ext>
                    </a:extLst>
                  </pic:spPr>
                </pic:pic>
              </a:graphicData>
            </a:graphic>
          </wp:inline>
        </w:drawing>
      </w:r>
    </w:p>
    <w:p w14:paraId="63B3CEAF" w14:textId="77777777" w:rsidR="00DD23DC" w:rsidRDefault="00DD23DC">
      <w:pPr>
        <w:rPr>
          <w:b/>
          <w:noProof/>
          <w:lang w:val="en-US"/>
        </w:rPr>
      </w:pPr>
      <w:r>
        <w:rPr>
          <w:b/>
          <w:noProof/>
          <w:lang w:val="en-US"/>
        </w:rPr>
        <w:br w:type="page"/>
      </w:r>
    </w:p>
    <w:p w14:paraId="526D6776" w14:textId="6042015C" w:rsidR="00450431" w:rsidRPr="00450431" w:rsidRDefault="00471BC5" w:rsidP="00471BC5">
      <w:pPr>
        <w:pStyle w:val="StandardWeb"/>
        <w:rPr>
          <w:lang w:val="en-US"/>
        </w:rPr>
      </w:pPr>
      <w:r w:rsidRPr="00471BC5">
        <w:rPr>
          <w:b/>
          <w:lang w:val="en-US"/>
        </w:rPr>
        <w:lastRenderedPageBreak/>
        <w:t xml:space="preserve">Supplementary Information </w:t>
      </w:r>
      <w:r>
        <w:rPr>
          <w:b/>
          <w:lang w:val="en-US"/>
        </w:rPr>
        <w:t>3</w:t>
      </w:r>
      <w:r w:rsidRPr="00471BC5">
        <w:rPr>
          <w:b/>
          <w:lang w:val="en-US"/>
        </w:rPr>
        <w:t>.</w:t>
      </w:r>
      <w:r>
        <w:rPr>
          <w:b/>
          <w:lang w:val="en-US"/>
        </w:rPr>
        <w:t xml:space="preserve"> </w:t>
      </w:r>
      <w:r>
        <w:rPr>
          <w:lang w:val="en-US"/>
        </w:rPr>
        <w:t xml:space="preserve">Results from follow-up analyses of the cognitive model when including age, </w:t>
      </w:r>
      <w:r w:rsidR="002B19C9">
        <w:rPr>
          <w:lang w:val="en-US"/>
        </w:rPr>
        <w:t xml:space="preserve">regressing </w:t>
      </w:r>
      <w:r>
        <w:rPr>
          <w:lang w:val="en-US"/>
        </w:rPr>
        <w:t xml:space="preserve">age </w:t>
      </w:r>
      <w:r w:rsidR="002B19C9">
        <w:rPr>
          <w:lang w:val="en-US"/>
        </w:rPr>
        <w:t>on the latent</w:t>
      </w:r>
      <w:r>
        <w:rPr>
          <w:lang w:val="en-US"/>
        </w:rPr>
        <w:t xml:space="preserve"> associative memory and item memory</w:t>
      </w:r>
      <w:r w:rsidR="002B19C9">
        <w:rPr>
          <w:lang w:val="en-US"/>
        </w:rPr>
        <w:t xml:space="preserve"> factors</w:t>
      </w:r>
      <w:r w:rsidR="00B320FA">
        <w:rPr>
          <w:color w:val="000000" w:themeColor="text1"/>
          <w:lang w:val="en-US"/>
        </w:rPr>
        <w:t xml:space="preserve">. </w:t>
      </w:r>
      <w:r w:rsidR="00B320FA">
        <w:rPr>
          <w:lang w:val="en-US"/>
        </w:rPr>
        <w:t xml:space="preserve">The </w:t>
      </w:r>
      <w:r w:rsidR="002B19C9">
        <w:rPr>
          <w:lang w:val="en-US"/>
        </w:rPr>
        <w:t xml:space="preserve">left-hand </w:t>
      </w:r>
      <w:r w:rsidR="00B320FA">
        <w:rPr>
          <w:lang w:val="en-US"/>
        </w:rPr>
        <w:t xml:space="preserve">table includes </w:t>
      </w:r>
      <w:r w:rsidR="00B320FA" w:rsidRPr="00DD23DC">
        <w:rPr>
          <w:rFonts w:eastAsia="Times New Roman"/>
          <w:lang w:val="en-US"/>
        </w:rPr>
        <w:t>standardized parameter estimates (</w:t>
      </w:r>
      <w:r w:rsidR="00B320FA" w:rsidRPr="00DD23DC">
        <w:rPr>
          <w:rFonts w:ascii="Times New Roman,Italic" w:eastAsia="Times New Roman" w:hAnsi="Times New Roman,Italic"/>
        </w:rPr>
        <w:t>β</w:t>
      </w:r>
      <w:r w:rsidR="00B320FA" w:rsidRPr="00DD23DC">
        <w:rPr>
          <w:rFonts w:eastAsia="Times New Roman"/>
          <w:lang w:val="en-US"/>
        </w:rPr>
        <w:t xml:space="preserve">) for the correlations between </w:t>
      </w:r>
      <w:r w:rsidR="00B320FA">
        <w:rPr>
          <w:rFonts w:eastAsia="Times New Roman"/>
          <w:lang w:val="en-US"/>
        </w:rPr>
        <w:t>age</w:t>
      </w:r>
      <w:r w:rsidR="00B320FA" w:rsidRPr="00DD23DC">
        <w:rPr>
          <w:rFonts w:eastAsia="Times New Roman"/>
          <w:lang w:val="en-US"/>
        </w:rPr>
        <w:t xml:space="preserve"> and item memory (ITEM) and associative memory (AM), as well as inferential statistics for the model comparisons that tested the significance of</w:t>
      </w:r>
      <w:r w:rsidR="002B19C9">
        <w:rPr>
          <w:rFonts w:eastAsia="Times New Roman"/>
          <w:lang w:val="en-US"/>
        </w:rPr>
        <w:t xml:space="preserve"> the individual correlations, by contrasting to model</w:t>
      </w:r>
      <w:r w:rsidR="006E403D">
        <w:rPr>
          <w:rFonts w:eastAsia="Times New Roman"/>
          <w:lang w:val="en-US"/>
        </w:rPr>
        <w:t>s</w:t>
      </w:r>
      <w:r w:rsidR="002B19C9">
        <w:rPr>
          <w:rFonts w:eastAsia="Times New Roman"/>
          <w:lang w:val="en-US"/>
        </w:rPr>
        <w:t xml:space="preserve"> where the respective correlation was fixed to zero,</w:t>
      </w:r>
      <w:r w:rsidR="00B320FA" w:rsidRPr="00DD23DC">
        <w:rPr>
          <w:rFonts w:eastAsia="Times New Roman"/>
          <w:lang w:val="en-US"/>
        </w:rPr>
        <w:t xml:space="preserve"> and between these correlations</w:t>
      </w:r>
      <w:r w:rsidR="002B19C9">
        <w:rPr>
          <w:rFonts w:eastAsia="Times New Roman"/>
          <w:lang w:val="en-US"/>
        </w:rPr>
        <w:t xml:space="preserve">, by contrasting to a model where the two correlations are fixed to </w:t>
      </w:r>
      <w:r w:rsidR="00E13764">
        <w:rPr>
          <w:rFonts w:eastAsia="Times New Roman"/>
          <w:lang w:val="en-US"/>
        </w:rPr>
        <w:t xml:space="preserve">be </w:t>
      </w:r>
      <w:r w:rsidR="002B19C9">
        <w:rPr>
          <w:rFonts w:eastAsia="Times New Roman"/>
          <w:lang w:val="en-US"/>
        </w:rPr>
        <w:t>equal</w:t>
      </w:r>
      <w:r w:rsidR="00B320FA">
        <w:rPr>
          <w:rFonts w:eastAsia="Times New Roman"/>
          <w:lang w:val="en-US"/>
        </w:rPr>
        <w:t xml:space="preserve">. </w:t>
      </w:r>
      <w:r w:rsidR="002B19C9">
        <w:rPr>
          <w:rFonts w:eastAsia="Times New Roman"/>
          <w:lang w:val="en-US"/>
        </w:rPr>
        <w:t xml:space="preserve">The right-hand table includes </w:t>
      </w:r>
      <w:r w:rsidR="002B19C9">
        <w:rPr>
          <w:lang w:val="en-US"/>
        </w:rPr>
        <w:t>s</w:t>
      </w:r>
      <w:r w:rsidR="00450431">
        <w:rPr>
          <w:lang w:val="en-US"/>
        </w:rPr>
        <w:t xml:space="preserve">tandardized factor loadings for the measures in the cognitive model when including age </w:t>
      </w:r>
      <w:r w:rsidR="006E403D">
        <w:rPr>
          <w:lang w:val="en-US"/>
        </w:rPr>
        <w:t>as a variable</w:t>
      </w:r>
      <w:r w:rsidR="00450431">
        <w:rPr>
          <w:lang w:val="en-US"/>
        </w:rPr>
        <w:t>.</w:t>
      </w:r>
    </w:p>
    <w:tbl>
      <w:tblPr>
        <w:tblpPr w:leftFromText="180" w:rightFromText="180" w:vertAnchor="text" w:tblpY="1"/>
        <w:tblOverlap w:val="never"/>
        <w:tblW w:w="6804" w:type="dxa"/>
        <w:tblLook w:val="04A0" w:firstRow="1" w:lastRow="0" w:firstColumn="1" w:lastColumn="0" w:noHBand="0" w:noVBand="1"/>
      </w:tblPr>
      <w:tblGrid>
        <w:gridCol w:w="3763"/>
        <w:gridCol w:w="837"/>
        <w:gridCol w:w="1278"/>
        <w:gridCol w:w="926"/>
      </w:tblGrid>
      <w:tr w:rsidR="00B320FA" w14:paraId="7F0B1BFE" w14:textId="77777777" w:rsidTr="00C21F60">
        <w:trPr>
          <w:trHeight w:val="291"/>
        </w:trPr>
        <w:tc>
          <w:tcPr>
            <w:tcW w:w="3763" w:type="dxa"/>
            <w:tcBorders>
              <w:top w:val="nil"/>
              <w:left w:val="nil"/>
              <w:bottom w:val="single" w:sz="4" w:space="0" w:color="auto"/>
              <w:right w:val="nil"/>
            </w:tcBorders>
            <w:shd w:val="clear" w:color="auto" w:fill="auto"/>
            <w:noWrap/>
            <w:vAlign w:val="bottom"/>
            <w:hideMark/>
          </w:tcPr>
          <w:p w14:paraId="1AA9E937" w14:textId="77777777" w:rsidR="00B320FA" w:rsidRDefault="00B320FA" w:rsidP="00C21F60">
            <w:pPr>
              <w:rPr>
                <w:b/>
                <w:bCs/>
              </w:rPr>
            </w:pPr>
            <w:r>
              <w:rPr>
                <w:b/>
                <w:bCs/>
              </w:rPr>
              <w:t>Parameter</w:t>
            </w:r>
          </w:p>
        </w:tc>
        <w:tc>
          <w:tcPr>
            <w:tcW w:w="837" w:type="dxa"/>
            <w:tcBorders>
              <w:top w:val="nil"/>
              <w:left w:val="nil"/>
              <w:bottom w:val="single" w:sz="4" w:space="0" w:color="auto"/>
              <w:right w:val="nil"/>
            </w:tcBorders>
            <w:shd w:val="clear" w:color="auto" w:fill="auto"/>
            <w:noWrap/>
            <w:vAlign w:val="bottom"/>
            <w:hideMark/>
          </w:tcPr>
          <w:p w14:paraId="03649975" w14:textId="77777777" w:rsidR="00B320FA" w:rsidRDefault="00B320FA" w:rsidP="00C21F60">
            <w:pPr>
              <w:rPr>
                <w:i/>
                <w:iCs/>
                <w:color w:val="000000"/>
              </w:rPr>
            </w:pPr>
            <w:r>
              <w:rPr>
                <w:i/>
                <w:iCs/>
                <w:color w:val="000000"/>
              </w:rPr>
              <w:t>β</w:t>
            </w:r>
          </w:p>
        </w:tc>
        <w:tc>
          <w:tcPr>
            <w:tcW w:w="1278" w:type="dxa"/>
            <w:tcBorders>
              <w:top w:val="nil"/>
              <w:left w:val="nil"/>
              <w:bottom w:val="single" w:sz="4" w:space="0" w:color="auto"/>
              <w:right w:val="nil"/>
            </w:tcBorders>
            <w:shd w:val="clear" w:color="auto" w:fill="auto"/>
            <w:noWrap/>
            <w:vAlign w:val="bottom"/>
            <w:hideMark/>
          </w:tcPr>
          <w:p w14:paraId="455FD301" w14:textId="77777777" w:rsidR="00B320FA" w:rsidRDefault="00B320FA" w:rsidP="00C21F60">
            <w:pPr>
              <w:rPr>
                <w:color w:val="222222"/>
              </w:rPr>
            </w:pPr>
            <w:r>
              <w:rPr>
                <w:color w:val="222222"/>
              </w:rPr>
              <w:t>χ²</w:t>
            </w:r>
          </w:p>
        </w:tc>
        <w:tc>
          <w:tcPr>
            <w:tcW w:w="926" w:type="dxa"/>
            <w:tcBorders>
              <w:top w:val="nil"/>
              <w:left w:val="nil"/>
              <w:bottom w:val="single" w:sz="4" w:space="0" w:color="auto"/>
              <w:right w:val="nil"/>
            </w:tcBorders>
            <w:shd w:val="clear" w:color="auto" w:fill="auto"/>
            <w:noWrap/>
            <w:vAlign w:val="bottom"/>
            <w:hideMark/>
          </w:tcPr>
          <w:p w14:paraId="082E9B5E" w14:textId="77777777" w:rsidR="00B320FA" w:rsidRDefault="00B320FA" w:rsidP="00C21F60">
            <w:pPr>
              <w:rPr>
                <w:i/>
                <w:iCs/>
                <w:color w:val="000000"/>
              </w:rPr>
            </w:pPr>
            <w:r>
              <w:rPr>
                <w:i/>
                <w:iCs/>
                <w:color w:val="000000"/>
              </w:rPr>
              <w:t>p</w:t>
            </w:r>
          </w:p>
        </w:tc>
      </w:tr>
      <w:tr w:rsidR="00B320FA" w14:paraId="3ABD541F" w14:textId="77777777" w:rsidTr="00C21F60">
        <w:trPr>
          <w:trHeight w:val="291"/>
        </w:trPr>
        <w:tc>
          <w:tcPr>
            <w:tcW w:w="3763" w:type="dxa"/>
            <w:tcBorders>
              <w:top w:val="nil"/>
              <w:left w:val="nil"/>
              <w:bottom w:val="nil"/>
              <w:right w:val="nil"/>
            </w:tcBorders>
            <w:shd w:val="clear" w:color="auto" w:fill="auto"/>
            <w:noWrap/>
            <w:vAlign w:val="bottom"/>
            <w:hideMark/>
          </w:tcPr>
          <w:p w14:paraId="683DDDFA" w14:textId="77777777" w:rsidR="00B320FA" w:rsidRDefault="00B320FA" w:rsidP="00C21F60">
            <w:r>
              <w:t>AM-age correlation</w:t>
            </w:r>
          </w:p>
        </w:tc>
        <w:tc>
          <w:tcPr>
            <w:tcW w:w="837" w:type="dxa"/>
            <w:tcBorders>
              <w:top w:val="nil"/>
              <w:left w:val="nil"/>
              <w:bottom w:val="nil"/>
              <w:right w:val="nil"/>
            </w:tcBorders>
            <w:shd w:val="clear" w:color="auto" w:fill="auto"/>
            <w:noWrap/>
            <w:vAlign w:val="bottom"/>
            <w:hideMark/>
          </w:tcPr>
          <w:p w14:paraId="28799FA8" w14:textId="77777777" w:rsidR="00B320FA" w:rsidRDefault="00B320FA" w:rsidP="00C21F60">
            <w:pPr>
              <w:rPr>
                <w:color w:val="000000"/>
              </w:rPr>
            </w:pPr>
            <w:r>
              <w:rPr>
                <w:color w:val="000000"/>
              </w:rPr>
              <w:t>-0.145</w:t>
            </w:r>
          </w:p>
        </w:tc>
        <w:tc>
          <w:tcPr>
            <w:tcW w:w="1278" w:type="dxa"/>
            <w:tcBorders>
              <w:top w:val="nil"/>
              <w:left w:val="nil"/>
              <w:bottom w:val="nil"/>
              <w:right w:val="nil"/>
            </w:tcBorders>
            <w:shd w:val="clear" w:color="auto" w:fill="auto"/>
            <w:noWrap/>
            <w:vAlign w:val="bottom"/>
            <w:hideMark/>
          </w:tcPr>
          <w:p w14:paraId="5CEEAFB8" w14:textId="77777777" w:rsidR="00B320FA" w:rsidRDefault="00B320FA" w:rsidP="00C21F60">
            <w:pPr>
              <w:rPr>
                <w:color w:val="000000"/>
              </w:rPr>
            </w:pPr>
            <w:r>
              <w:rPr>
                <w:color w:val="000000"/>
              </w:rPr>
              <w:t>2.6782</w:t>
            </w:r>
          </w:p>
        </w:tc>
        <w:tc>
          <w:tcPr>
            <w:tcW w:w="926" w:type="dxa"/>
            <w:tcBorders>
              <w:top w:val="nil"/>
              <w:left w:val="nil"/>
              <w:bottom w:val="nil"/>
              <w:right w:val="nil"/>
            </w:tcBorders>
            <w:shd w:val="clear" w:color="auto" w:fill="auto"/>
            <w:noWrap/>
            <w:vAlign w:val="bottom"/>
            <w:hideMark/>
          </w:tcPr>
          <w:p w14:paraId="4BD80ED1" w14:textId="77777777" w:rsidR="00B320FA" w:rsidRDefault="00B320FA" w:rsidP="00C21F60">
            <w:pPr>
              <w:rPr>
                <w:color w:val="000000"/>
              </w:rPr>
            </w:pPr>
            <w:r>
              <w:rPr>
                <w:color w:val="000000"/>
              </w:rPr>
              <w:t>0.1017</w:t>
            </w:r>
          </w:p>
        </w:tc>
      </w:tr>
      <w:tr w:rsidR="00B320FA" w14:paraId="7BF3CF88" w14:textId="77777777" w:rsidTr="00C21F60">
        <w:trPr>
          <w:trHeight w:val="291"/>
        </w:trPr>
        <w:tc>
          <w:tcPr>
            <w:tcW w:w="3763" w:type="dxa"/>
            <w:tcBorders>
              <w:top w:val="nil"/>
              <w:left w:val="nil"/>
              <w:bottom w:val="nil"/>
              <w:right w:val="nil"/>
            </w:tcBorders>
            <w:shd w:val="clear" w:color="auto" w:fill="auto"/>
            <w:noWrap/>
            <w:vAlign w:val="bottom"/>
            <w:hideMark/>
          </w:tcPr>
          <w:p w14:paraId="0C510E32" w14:textId="77777777" w:rsidR="00B320FA" w:rsidRDefault="00B320FA" w:rsidP="00C21F60">
            <w:r>
              <w:t>ITEM-age correlation</w:t>
            </w:r>
          </w:p>
        </w:tc>
        <w:tc>
          <w:tcPr>
            <w:tcW w:w="837" w:type="dxa"/>
            <w:tcBorders>
              <w:top w:val="nil"/>
              <w:left w:val="nil"/>
              <w:bottom w:val="nil"/>
              <w:right w:val="nil"/>
            </w:tcBorders>
            <w:shd w:val="clear" w:color="auto" w:fill="auto"/>
            <w:noWrap/>
            <w:vAlign w:val="bottom"/>
            <w:hideMark/>
          </w:tcPr>
          <w:p w14:paraId="1C9A3AFB" w14:textId="77777777" w:rsidR="00B320FA" w:rsidRDefault="00B320FA" w:rsidP="00C21F60">
            <w:pPr>
              <w:rPr>
                <w:color w:val="000000"/>
              </w:rPr>
            </w:pPr>
            <w:r>
              <w:rPr>
                <w:color w:val="000000"/>
              </w:rPr>
              <w:t>-0.152</w:t>
            </w:r>
          </w:p>
        </w:tc>
        <w:tc>
          <w:tcPr>
            <w:tcW w:w="1278" w:type="dxa"/>
            <w:tcBorders>
              <w:top w:val="nil"/>
              <w:left w:val="nil"/>
              <w:bottom w:val="nil"/>
              <w:right w:val="nil"/>
            </w:tcBorders>
            <w:shd w:val="clear" w:color="auto" w:fill="auto"/>
            <w:noWrap/>
            <w:vAlign w:val="bottom"/>
            <w:hideMark/>
          </w:tcPr>
          <w:p w14:paraId="63D5661B" w14:textId="77777777" w:rsidR="00B320FA" w:rsidRDefault="00B320FA" w:rsidP="00C21F60">
            <w:pPr>
              <w:rPr>
                <w:color w:val="222222"/>
              </w:rPr>
            </w:pPr>
            <w:r>
              <w:rPr>
                <w:color w:val="222222"/>
              </w:rPr>
              <w:t>0.84956</w:t>
            </w:r>
          </w:p>
        </w:tc>
        <w:tc>
          <w:tcPr>
            <w:tcW w:w="926" w:type="dxa"/>
            <w:tcBorders>
              <w:top w:val="nil"/>
              <w:left w:val="nil"/>
              <w:bottom w:val="nil"/>
              <w:right w:val="nil"/>
            </w:tcBorders>
            <w:shd w:val="clear" w:color="auto" w:fill="auto"/>
            <w:noWrap/>
            <w:vAlign w:val="bottom"/>
            <w:hideMark/>
          </w:tcPr>
          <w:p w14:paraId="0CBAF91F" w14:textId="77777777" w:rsidR="00B320FA" w:rsidRDefault="00B320FA" w:rsidP="00C21F60">
            <w:pPr>
              <w:rPr>
                <w:color w:val="000000"/>
              </w:rPr>
            </w:pPr>
            <w:r>
              <w:rPr>
                <w:color w:val="000000"/>
              </w:rPr>
              <w:t>0.3567</w:t>
            </w:r>
          </w:p>
        </w:tc>
      </w:tr>
      <w:tr w:rsidR="00B320FA" w14:paraId="4CCD1F36" w14:textId="77777777" w:rsidTr="00C21F60">
        <w:trPr>
          <w:trHeight w:val="291"/>
        </w:trPr>
        <w:tc>
          <w:tcPr>
            <w:tcW w:w="3763" w:type="dxa"/>
            <w:tcBorders>
              <w:top w:val="nil"/>
              <w:left w:val="nil"/>
              <w:bottom w:val="single" w:sz="4" w:space="0" w:color="auto"/>
              <w:right w:val="nil"/>
            </w:tcBorders>
            <w:shd w:val="clear" w:color="auto" w:fill="auto"/>
            <w:noWrap/>
            <w:vAlign w:val="bottom"/>
            <w:hideMark/>
          </w:tcPr>
          <w:p w14:paraId="536D9A3A" w14:textId="77777777" w:rsidR="00B320FA" w:rsidRPr="00B320FA" w:rsidRDefault="00B320FA" w:rsidP="00C21F60">
            <w:pPr>
              <w:rPr>
                <w:lang w:val="en-US"/>
              </w:rPr>
            </w:pPr>
            <w:r w:rsidRPr="00B320FA">
              <w:rPr>
                <w:lang w:val="en-US"/>
              </w:rPr>
              <w:t>AM-age vs ITEM-age correlation</w:t>
            </w:r>
          </w:p>
        </w:tc>
        <w:tc>
          <w:tcPr>
            <w:tcW w:w="837" w:type="dxa"/>
            <w:tcBorders>
              <w:top w:val="nil"/>
              <w:left w:val="nil"/>
              <w:bottom w:val="single" w:sz="4" w:space="0" w:color="auto"/>
              <w:right w:val="nil"/>
            </w:tcBorders>
            <w:shd w:val="clear" w:color="auto" w:fill="auto"/>
            <w:noWrap/>
            <w:vAlign w:val="bottom"/>
            <w:hideMark/>
          </w:tcPr>
          <w:p w14:paraId="2EC28CCC" w14:textId="77777777" w:rsidR="00B320FA" w:rsidRPr="00B320FA" w:rsidRDefault="00B320FA" w:rsidP="00C21F60">
            <w:pPr>
              <w:rPr>
                <w:color w:val="000000"/>
                <w:lang w:val="en-US"/>
              </w:rPr>
            </w:pPr>
            <w:r w:rsidRPr="00B320FA">
              <w:rPr>
                <w:color w:val="000000"/>
                <w:lang w:val="en-US"/>
              </w:rPr>
              <w:t> </w:t>
            </w:r>
          </w:p>
        </w:tc>
        <w:tc>
          <w:tcPr>
            <w:tcW w:w="1278" w:type="dxa"/>
            <w:tcBorders>
              <w:top w:val="nil"/>
              <w:left w:val="nil"/>
              <w:bottom w:val="single" w:sz="4" w:space="0" w:color="auto"/>
              <w:right w:val="nil"/>
            </w:tcBorders>
            <w:shd w:val="clear" w:color="auto" w:fill="auto"/>
            <w:noWrap/>
            <w:vAlign w:val="bottom"/>
            <w:hideMark/>
          </w:tcPr>
          <w:p w14:paraId="78A02CE5" w14:textId="77777777" w:rsidR="00B320FA" w:rsidRDefault="00B320FA" w:rsidP="00C21F60">
            <w:pPr>
              <w:rPr>
                <w:color w:val="222222"/>
              </w:rPr>
            </w:pPr>
            <w:r>
              <w:rPr>
                <w:color w:val="222222"/>
              </w:rPr>
              <w:t>0.0012993</w:t>
            </w:r>
          </w:p>
        </w:tc>
        <w:tc>
          <w:tcPr>
            <w:tcW w:w="926" w:type="dxa"/>
            <w:tcBorders>
              <w:top w:val="nil"/>
              <w:left w:val="nil"/>
              <w:bottom w:val="single" w:sz="4" w:space="0" w:color="auto"/>
              <w:right w:val="nil"/>
            </w:tcBorders>
            <w:shd w:val="clear" w:color="auto" w:fill="auto"/>
            <w:noWrap/>
            <w:vAlign w:val="bottom"/>
            <w:hideMark/>
          </w:tcPr>
          <w:p w14:paraId="33E755A3" w14:textId="77777777" w:rsidR="00B320FA" w:rsidRDefault="00B320FA" w:rsidP="00C21F60">
            <w:pPr>
              <w:rPr>
                <w:color w:val="000000"/>
              </w:rPr>
            </w:pPr>
            <w:r>
              <w:rPr>
                <w:color w:val="000000"/>
              </w:rPr>
              <w:t>0.9712</w:t>
            </w:r>
          </w:p>
        </w:tc>
      </w:tr>
    </w:tbl>
    <w:tbl>
      <w:tblPr>
        <w:tblpPr w:leftFromText="180" w:rightFromText="180" w:vertAnchor="text" w:horzAnchor="page" w:tblpX="8411" w:tblpY="9"/>
        <w:tblW w:w="4603" w:type="dxa"/>
        <w:tblLook w:val="04A0" w:firstRow="1" w:lastRow="0" w:firstColumn="1" w:lastColumn="0" w:noHBand="0" w:noVBand="1"/>
      </w:tblPr>
      <w:tblGrid>
        <w:gridCol w:w="2127"/>
        <w:gridCol w:w="1176"/>
        <w:gridCol w:w="1300"/>
      </w:tblGrid>
      <w:tr w:rsidR="00C21F60" w:rsidRPr="00C21F60" w14:paraId="316E0E74" w14:textId="77777777" w:rsidTr="00C21F60">
        <w:trPr>
          <w:trHeight w:val="320"/>
        </w:trPr>
        <w:tc>
          <w:tcPr>
            <w:tcW w:w="2127" w:type="dxa"/>
            <w:tcBorders>
              <w:top w:val="nil"/>
              <w:left w:val="nil"/>
              <w:bottom w:val="single" w:sz="4" w:space="0" w:color="auto"/>
              <w:right w:val="nil"/>
            </w:tcBorders>
            <w:shd w:val="clear" w:color="auto" w:fill="auto"/>
            <w:noWrap/>
            <w:vAlign w:val="bottom"/>
            <w:hideMark/>
          </w:tcPr>
          <w:p w14:paraId="5013D914" w14:textId="77777777" w:rsidR="00C21F60" w:rsidRPr="00C21F60" w:rsidRDefault="00C21F60" w:rsidP="00C21F60">
            <w:pPr>
              <w:rPr>
                <w:b/>
                <w:bCs/>
                <w:color w:val="000000"/>
              </w:rPr>
            </w:pPr>
            <w:r w:rsidRPr="00C21F60">
              <w:rPr>
                <w:b/>
                <w:bCs/>
                <w:color w:val="000000"/>
              </w:rPr>
              <w:t>Latent construct</w:t>
            </w:r>
          </w:p>
        </w:tc>
        <w:tc>
          <w:tcPr>
            <w:tcW w:w="1176" w:type="dxa"/>
            <w:tcBorders>
              <w:top w:val="nil"/>
              <w:left w:val="nil"/>
              <w:bottom w:val="single" w:sz="4" w:space="0" w:color="auto"/>
              <w:right w:val="nil"/>
            </w:tcBorders>
            <w:shd w:val="clear" w:color="auto" w:fill="auto"/>
            <w:noWrap/>
            <w:vAlign w:val="bottom"/>
            <w:hideMark/>
          </w:tcPr>
          <w:p w14:paraId="247BB97F" w14:textId="77777777" w:rsidR="00C21F60" w:rsidRPr="00C21F60" w:rsidRDefault="00C21F60" w:rsidP="00C21F60">
            <w:pPr>
              <w:rPr>
                <w:b/>
                <w:bCs/>
                <w:color w:val="000000"/>
              </w:rPr>
            </w:pPr>
            <w:r w:rsidRPr="00C21F60">
              <w:rPr>
                <w:b/>
                <w:bCs/>
                <w:color w:val="000000"/>
              </w:rPr>
              <w:t>Indicator</w:t>
            </w:r>
          </w:p>
        </w:tc>
        <w:tc>
          <w:tcPr>
            <w:tcW w:w="1300" w:type="dxa"/>
            <w:tcBorders>
              <w:top w:val="nil"/>
              <w:left w:val="nil"/>
              <w:bottom w:val="single" w:sz="4" w:space="0" w:color="auto"/>
              <w:right w:val="nil"/>
            </w:tcBorders>
            <w:shd w:val="clear" w:color="auto" w:fill="auto"/>
            <w:noWrap/>
            <w:vAlign w:val="bottom"/>
            <w:hideMark/>
          </w:tcPr>
          <w:p w14:paraId="3987FFD3" w14:textId="77777777" w:rsidR="00C21F60" w:rsidRPr="00C21F60" w:rsidRDefault="00C21F60" w:rsidP="00C21F60">
            <w:pPr>
              <w:rPr>
                <w:b/>
                <w:bCs/>
                <w:color w:val="000000"/>
              </w:rPr>
            </w:pPr>
            <w:r w:rsidRPr="00C21F60">
              <w:rPr>
                <w:b/>
                <w:bCs/>
                <w:color w:val="000000"/>
              </w:rPr>
              <w:t>Loadings</w:t>
            </w:r>
          </w:p>
        </w:tc>
      </w:tr>
      <w:tr w:rsidR="00C21F60" w:rsidRPr="00C21F60" w14:paraId="45B61082" w14:textId="77777777" w:rsidTr="00C21F60">
        <w:trPr>
          <w:trHeight w:val="320"/>
        </w:trPr>
        <w:tc>
          <w:tcPr>
            <w:tcW w:w="2127" w:type="dxa"/>
            <w:tcBorders>
              <w:top w:val="nil"/>
              <w:left w:val="nil"/>
              <w:bottom w:val="nil"/>
              <w:right w:val="nil"/>
            </w:tcBorders>
            <w:shd w:val="clear" w:color="auto" w:fill="auto"/>
            <w:noWrap/>
            <w:vAlign w:val="bottom"/>
            <w:hideMark/>
          </w:tcPr>
          <w:p w14:paraId="662D58F2" w14:textId="77777777" w:rsidR="00C21F60" w:rsidRPr="00C21F60" w:rsidRDefault="00C21F60" w:rsidP="00C21F60">
            <w:pPr>
              <w:rPr>
                <w:color w:val="000000"/>
              </w:rPr>
            </w:pPr>
            <w:r w:rsidRPr="00C21F60">
              <w:rPr>
                <w:color w:val="000000"/>
              </w:rPr>
              <w:t>Associative</w:t>
            </w:r>
          </w:p>
        </w:tc>
        <w:tc>
          <w:tcPr>
            <w:tcW w:w="1176" w:type="dxa"/>
            <w:tcBorders>
              <w:top w:val="nil"/>
              <w:left w:val="nil"/>
              <w:bottom w:val="nil"/>
              <w:right w:val="nil"/>
            </w:tcBorders>
            <w:shd w:val="clear" w:color="auto" w:fill="auto"/>
            <w:noWrap/>
            <w:vAlign w:val="bottom"/>
            <w:hideMark/>
          </w:tcPr>
          <w:p w14:paraId="74BA2FD3" w14:textId="77777777" w:rsidR="00C21F60" w:rsidRPr="00C21F60" w:rsidRDefault="00C21F60" w:rsidP="00C21F60">
            <w:pPr>
              <w:rPr>
                <w:color w:val="000000"/>
              </w:rPr>
            </w:pPr>
            <w:r w:rsidRPr="00C21F60">
              <w:rPr>
                <w:color w:val="000000"/>
              </w:rPr>
              <w:t>AM1</w:t>
            </w:r>
          </w:p>
        </w:tc>
        <w:tc>
          <w:tcPr>
            <w:tcW w:w="1300" w:type="dxa"/>
            <w:tcBorders>
              <w:top w:val="nil"/>
              <w:left w:val="nil"/>
              <w:bottom w:val="nil"/>
              <w:right w:val="nil"/>
            </w:tcBorders>
            <w:shd w:val="clear" w:color="auto" w:fill="auto"/>
            <w:noWrap/>
            <w:vAlign w:val="bottom"/>
            <w:hideMark/>
          </w:tcPr>
          <w:p w14:paraId="25C9B1C8" w14:textId="77777777" w:rsidR="00C21F60" w:rsidRPr="00C21F60" w:rsidRDefault="00C21F60" w:rsidP="00C21F60">
            <w:pPr>
              <w:rPr>
                <w:color w:val="000000"/>
              </w:rPr>
            </w:pPr>
            <w:r w:rsidRPr="00C21F60">
              <w:rPr>
                <w:color w:val="000000"/>
              </w:rPr>
              <w:t>0.798</w:t>
            </w:r>
          </w:p>
        </w:tc>
      </w:tr>
      <w:tr w:rsidR="00C21F60" w:rsidRPr="00C21F60" w14:paraId="3A6ABC74" w14:textId="77777777" w:rsidTr="00C21F60">
        <w:trPr>
          <w:trHeight w:val="320"/>
        </w:trPr>
        <w:tc>
          <w:tcPr>
            <w:tcW w:w="2127" w:type="dxa"/>
            <w:tcBorders>
              <w:top w:val="nil"/>
              <w:left w:val="nil"/>
              <w:bottom w:val="nil"/>
              <w:right w:val="nil"/>
            </w:tcBorders>
            <w:shd w:val="clear" w:color="auto" w:fill="auto"/>
            <w:noWrap/>
            <w:vAlign w:val="bottom"/>
            <w:hideMark/>
          </w:tcPr>
          <w:p w14:paraId="74A436AC"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5AD25074" w14:textId="77777777" w:rsidR="00C21F60" w:rsidRPr="00C21F60" w:rsidRDefault="00C21F60" w:rsidP="00C21F60">
            <w:pPr>
              <w:rPr>
                <w:color w:val="000000"/>
              </w:rPr>
            </w:pPr>
            <w:r w:rsidRPr="00C21F60">
              <w:rPr>
                <w:color w:val="000000"/>
              </w:rPr>
              <w:t>AM2</w:t>
            </w:r>
          </w:p>
        </w:tc>
        <w:tc>
          <w:tcPr>
            <w:tcW w:w="1300" w:type="dxa"/>
            <w:tcBorders>
              <w:top w:val="nil"/>
              <w:left w:val="nil"/>
              <w:bottom w:val="nil"/>
              <w:right w:val="nil"/>
            </w:tcBorders>
            <w:shd w:val="clear" w:color="auto" w:fill="auto"/>
            <w:noWrap/>
            <w:vAlign w:val="bottom"/>
            <w:hideMark/>
          </w:tcPr>
          <w:p w14:paraId="5165689A" w14:textId="77777777" w:rsidR="00C21F60" w:rsidRPr="00C21F60" w:rsidRDefault="00C21F60" w:rsidP="00C21F60">
            <w:pPr>
              <w:rPr>
                <w:color w:val="000000"/>
              </w:rPr>
            </w:pPr>
            <w:r w:rsidRPr="00C21F60">
              <w:rPr>
                <w:color w:val="000000"/>
              </w:rPr>
              <w:t>0.902</w:t>
            </w:r>
          </w:p>
        </w:tc>
      </w:tr>
      <w:tr w:rsidR="00C21F60" w:rsidRPr="00C21F60" w14:paraId="042176A4" w14:textId="77777777" w:rsidTr="00C21F60">
        <w:trPr>
          <w:trHeight w:val="320"/>
        </w:trPr>
        <w:tc>
          <w:tcPr>
            <w:tcW w:w="2127" w:type="dxa"/>
            <w:tcBorders>
              <w:top w:val="nil"/>
              <w:left w:val="nil"/>
              <w:bottom w:val="nil"/>
              <w:right w:val="nil"/>
            </w:tcBorders>
            <w:shd w:val="clear" w:color="auto" w:fill="auto"/>
            <w:noWrap/>
            <w:vAlign w:val="bottom"/>
            <w:hideMark/>
          </w:tcPr>
          <w:p w14:paraId="2BCC862F"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60447CF5" w14:textId="77777777" w:rsidR="00C21F60" w:rsidRPr="00C21F60" w:rsidRDefault="00C21F60" w:rsidP="00C21F60">
            <w:pPr>
              <w:rPr>
                <w:color w:val="000000"/>
              </w:rPr>
            </w:pPr>
            <w:r w:rsidRPr="00C21F60">
              <w:rPr>
                <w:color w:val="000000"/>
              </w:rPr>
              <w:t>AM3</w:t>
            </w:r>
          </w:p>
        </w:tc>
        <w:tc>
          <w:tcPr>
            <w:tcW w:w="1300" w:type="dxa"/>
            <w:tcBorders>
              <w:top w:val="nil"/>
              <w:left w:val="nil"/>
              <w:bottom w:val="nil"/>
              <w:right w:val="nil"/>
            </w:tcBorders>
            <w:shd w:val="clear" w:color="auto" w:fill="auto"/>
            <w:noWrap/>
            <w:vAlign w:val="bottom"/>
            <w:hideMark/>
          </w:tcPr>
          <w:p w14:paraId="3E7AB293" w14:textId="77777777" w:rsidR="00C21F60" w:rsidRPr="00C21F60" w:rsidRDefault="00C21F60" w:rsidP="00C21F60">
            <w:pPr>
              <w:rPr>
                <w:color w:val="000000"/>
              </w:rPr>
            </w:pPr>
            <w:r w:rsidRPr="00C21F60">
              <w:rPr>
                <w:color w:val="000000"/>
              </w:rPr>
              <w:t>0.876</w:t>
            </w:r>
          </w:p>
        </w:tc>
      </w:tr>
      <w:tr w:rsidR="00C21F60" w:rsidRPr="00C21F60" w14:paraId="36B593EB" w14:textId="77777777" w:rsidTr="00C21F60">
        <w:trPr>
          <w:trHeight w:val="320"/>
        </w:trPr>
        <w:tc>
          <w:tcPr>
            <w:tcW w:w="2127" w:type="dxa"/>
            <w:tcBorders>
              <w:top w:val="nil"/>
              <w:left w:val="nil"/>
              <w:bottom w:val="nil"/>
              <w:right w:val="nil"/>
            </w:tcBorders>
            <w:shd w:val="clear" w:color="auto" w:fill="auto"/>
            <w:noWrap/>
            <w:vAlign w:val="bottom"/>
            <w:hideMark/>
          </w:tcPr>
          <w:p w14:paraId="12D11EC3"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7B95E69E" w14:textId="77777777" w:rsidR="00C21F60" w:rsidRPr="00C21F60" w:rsidRDefault="00C21F60" w:rsidP="00C21F60">
            <w:pPr>
              <w:rPr>
                <w:color w:val="000000"/>
              </w:rPr>
            </w:pPr>
            <w:r w:rsidRPr="00C21F60">
              <w:rPr>
                <w:color w:val="000000"/>
              </w:rPr>
              <w:t>IT1</w:t>
            </w:r>
          </w:p>
        </w:tc>
        <w:tc>
          <w:tcPr>
            <w:tcW w:w="1300" w:type="dxa"/>
            <w:tcBorders>
              <w:top w:val="nil"/>
              <w:left w:val="nil"/>
              <w:bottom w:val="nil"/>
              <w:right w:val="nil"/>
            </w:tcBorders>
            <w:shd w:val="clear" w:color="auto" w:fill="auto"/>
            <w:noWrap/>
            <w:vAlign w:val="bottom"/>
            <w:hideMark/>
          </w:tcPr>
          <w:p w14:paraId="40BD3C0D" w14:textId="77777777" w:rsidR="00C21F60" w:rsidRPr="00C21F60" w:rsidRDefault="00C21F60" w:rsidP="00C21F60">
            <w:pPr>
              <w:rPr>
                <w:color w:val="000000"/>
              </w:rPr>
            </w:pPr>
            <w:r w:rsidRPr="00C21F60">
              <w:rPr>
                <w:color w:val="000000"/>
              </w:rPr>
              <w:t>0.480</w:t>
            </w:r>
          </w:p>
        </w:tc>
      </w:tr>
      <w:tr w:rsidR="00C21F60" w:rsidRPr="00C21F60" w14:paraId="1A068342" w14:textId="77777777" w:rsidTr="00C21F60">
        <w:trPr>
          <w:trHeight w:val="320"/>
        </w:trPr>
        <w:tc>
          <w:tcPr>
            <w:tcW w:w="2127" w:type="dxa"/>
            <w:tcBorders>
              <w:top w:val="nil"/>
              <w:left w:val="nil"/>
              <w:bottom w:val="nil"/>
              <w:right w:val="nil"/>
            </w:tcBorders>
            <w:shd w:val="clear" w:color="auto" w:fill="auto"/>
            <w:noWrap/>
            <w:vAlign w:val="bottom"/>
            <w:hideMark/>
          </w:tcPr>
          <w:p w14:paraId="6EF86600"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4A6E00B7" w14:textId="77777777" w:rsidR="00C21F60" w:rsidRPr="00C21F60" w:rsidRDefault="00C21F60" w:rsidP="00C21F60">
            <w:pPr>
              <w:rPr>
                <w:color w:val="000000"/>
              </w:rPr>
            </w:pPr>
            <w:r w:rsidRPr="00C21F60">
              <w:rPr>
                <w:color w:val="000000"/>
              </w:rPr>
              <w:t>IT2</w:t>
            </w:r>
          </w:p>
        </w:tc>
        <w:tc>
          <w:tcPr>
            <w:tcW w:w="1300" w:type="dxa"/>
            <w:tcBorders>
              <w:top w:val="nil"/>
              <w:left w:val="nil"/>
              <w:bottom w:val="nil"/>
              <w:right w:val="nil"/>
            </w:tcBorders>
            <w:shd w:val="clear" w:color="auto" w:fill="auto"/>
            <w:noWrap/>
            <w:vAlign w:val="bottom"/>
            <w:hideMark/>
          </w:tcPr>
          <w:p w14:paraId="791E49EA" w14:textId="77777777" w:rsidR="00C21F60" w:rsidRPr="00C21F60" w:rsidRDefault="00C21F60" w:rsidP="00C21F60">
            <w:pPr>
              <w:rPr>
                <w:color w:val="000000"/>
              </w:rPr>
            </w:pPr>
            <w:r w:rsidRPr="00C21F60">
              <w:rPr>
                <w:color w:val="000000"/>
              </w:rPr>
              <w:t>0.843</w:t>
            </w:r>
          </w:p>
        </w:tc>
      </w:tr>
      <w:tr w:rsidR="00C21F60" w:rsidRPr="00C21F60" w14:paraId="718872D5" w14:textId="77777777" w:rsidTr="00C21F60">
        <w:trPr>
          <w:trHeight w:val="320"/>
        </w:trPr>
        <w:tc>
          <w:tcPr>
            <w:tcW w:w="2127" w:type="dxa"/>
            <w:tcBorders>
              <w:top w:val="nil"/>
              <w:left w:val="nil"/>
              <w:bottom w:val="nil"/>
              <w:right w:val="nil"/>
            </w:tcBorders>
            <w:shd w:val="clear" w:color="auto" w:fill="auto"/>
            <w:noWrap/>
            <w:vAlign w:val="bottom"/>
            <w:hideMark/>
          </w:tcPr>
          <w:p w14:paraId="06E6282A"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469F74AD" w14:textId="77777777" w:rsidR="00C21F60" w:rsidRPr="00C21F60" w:rsidRDefault="00C21F60" w:rsidP="00C21F60">
            <w:pPr>
              <w:rPr>
                <w:color w:val="000000"/>
              </w:rPr>
            </w:pPr>
            <w:r w:rsidRPr="00C21F60">
              <w:rPr>
                <w:color w:val="000000"/>
              </w:rPr>
              <w:t>IT3</w:t>
            </w:r>
          </w:p>
        </w:tc>
        <w:tc>
          <w:tcPr>
            <w:tcW w:w="1300" w:type="dxa"/>
            <w:tcBorders>
              <w:top w:val="nil"/>
              <w:left w:val="nil"/>
              <w:bottom w:val="nil"/>
              <w:right w:val="nil"/>
            </w:tcBorders>
            <w:shd w:val="clear" w:color="auto" w:fill="auto"/>
            <w:noWrap/>
            <w:vAlign w:val="bottom"/>
            <w:hideMark/>
          </w:tcPr>
          <w:p w14:paraId="6E4BEB22" w14:textId="77777777" w:rsidR="00C21F60" w:rsidRPr="00C21F60" w:rsidRDefault="00C21F60" w:rsidP="00C21F60">
            <w:pPr>
              <w:rPr>
                <w:color w:val="000000"/>
              </w:rPr>
            </w:pPr>
            <w:r w:rsidRPr="00C21F60">
              <w:rPr>
                <w:color w:val="000000"/>
              </w:rPr>
              <w:t>0.639</w:t>
            </w:r>
          </w:p>
        </w:tc>
      </w:tr>
      <w:tr w:rsidR="00C21F60" w:rsidRPr="00C21F60" w14:paraId="0E497546" w14:textId="77777777" w:rsidTr="00C21F60">
        <w:trPr>
          <w:trHeight w:val="320"/>
        </w:trPr>
        <w:tc>
          <w:tcPr>
            <w:tcW w:w="2127" w:type="dxa"/>
            <w:tcBorders>
              <w:top w:val="nil"/>
              <w:left w:val="nil"/>
              <w:bottom w:val="nil"/>
              <w:right w:val="nil"/>
            </w:tcBorders>
            <w:shd w:val="clear" w:color="auto" w:fill="auto"/>
            <w:noWrap/>
            <w:vAlign w:val="bottom"/>
            <w:hideMark/>
          </w:tcPr>
          <w:p w14:paraId="1AAA3C68" w14:textId="77777777" w:rsidR="00C21F60" w:rsidRPr="00C21F60" w:rsidRDefault="00C21F60" w:rsidP="00C21F60">
            <w:pPr>
              <w:rPr>
                <w:color w:val="000000"/>
              </w:rPr>
            </w:pPr>
            <w:r w:rsidRPr="00C21F60">
              <w:rPr>
                <w:color w:val="000000"/>
              </w:rPr>
              <w:t>Item</w:t>
            </w:r>
          </w:p>
        </w:tc>
        <w:tc>
          <w:tcPr>
            <w:tcW w:w="1176" w:type="dxa"/>
            <w:tcBorders>
              <w:top w:val="nil"/>
              <w:left w:val="nil"/>
              <w:bottom w:val="nil"/>
              <w:right w:val="nil"/>
            </w:tcBorders>
            <w:shd w:val="clear" w:color="auto" w:fill="auto"/>
            <w:noWrap/>
            <w:vAlign w:val="bottom"/>
            <w:hideMark/>
          </w:tcPr>
          <w:p w14:paraId="0FDC3255" w14:textId="77777777" w:rsidR="00C21F60" w:rsidRPr="00C21F60" w:rsidRDefault="00C21F60" w:rsidP="00C21F60">
            <w:pPr>
              <w:rPr>
                <w:color w:val="000000"/>
              </w:rPr>
            </w:pPr>
            <w:r w:rsidRPr="00C21F60">
              <w:rPr>
                <w:color w:val="000000"/>
              </w:rPr>
              <w:t>IT1</w:t>
            </w:r>
          </w:p>
        </w:tc>
        <w:tc>
          <w:tcPr>
            <w:tcW w:w="1300" w:type="dxa"/>
            <w:tcBorders>
              <w:top w:val="nil"/>
              <w:left w:val="nil"/>
              <w:bottom w:val="nil"/>
              <w:right w:val="nil"/>
            </w:tcBorders>
            <w:shd w:val="clear" w:color="auto" w:fill="auto"/>
            <w:noWrap/>
            <w:vAlign w:val="bottom"/>
            <w:hideMark/>
          </w:tcPr>
          <w:p w14:paraId="0D83A479" w14:textId="77777777" w:rsidR="00C21F60" w:rsidRPr="00C21F60" w:rsidRDefault="00C21F60" w:rsidP="00C21F60">
            <w:pPr>
              <w:rPr>
                <w:color w:val="000000"/>
              </w:rPr>
            </w:pPr>
            <w:r w:rsidRPr="00C21F60">
              <w:rPr>
                <w:color w:val="000000"/>
              </w:rPr>
              <w:t>0.650</w:t>
            </w:r>
          </w:p>
        </w:tc>
      </w:tr>
      <w:tr w:rsidR="00C21F60" w:rsidRPr="00C21F60" w14:paraId="3853F79F" w14:textId="77777777" w:rsidTr="00C21F60">
        <w:trPr>
          <w:trHeight w:val="320"/>
        </w:trPr>
        <w:tc>
          <w:tcPr>
            <w:tcW w:w="2127" w:type="dxa"/>
            <w:tcBorders>
              <w:top w:val="nil"/>
              <w:left w:val="nil"/>
              <w:bottom w:val="nil"/>
              <w:right w:val="nil"/>
            </w:tcBorders>
            <w:shd w:val="clear" w:color="auto" w:fill="auto"/>
            <w:noWrap/>
            <w:vAlign w:val="bottom"/>
            <w:hideMark/>
          </w:tcPr>
          <w:p w14:paraId="3324C490"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2495A2C1" w14:textId="77777777" w:rsidR="00C21F60" w:rsidRPr="00C21F60" w:rsidRDefault="00C21F60" w:rsidP="00C21F60">
            <w:pPr>
              <w:rPr>
                <w:color w:val="000000"/>
              </w:rPr>
            </w:pPr>
            <w:r w:rsidRPr="00C21F60">
              <w:rPr>
                <w:color w:val="000000"/>
              </w:rPr>
              <w:t>IT2</w:t>
            </w:r>
          </w:p>
        </w:tc>
        <w:tc>
          <w:tcPr>
            <w:tcW w:w="1300" w:type="dxa"/>
            <w:tcBorders>
              <w:top w:val="nil"/>
              <w:left w:val="nil"/>
              <w:bottom w:val="nil"/>
              <w:right w:val="nil"/>
            </w:tcBorders>
            <w:shd w:val="clear" w:color="auto" w:fill="auto"/>
            <w:noWrap/>
            <w:vAlign w:val="bottom"/>
            <w:hideMark/>
          </w:tcPr>
          <w:p w14:paraId="1B9182CF" w14:textId="77777777" w:rsidR="00C21F60" w:rsidRPr="00C21F60" w:rsidRDefault="00C21F60" w:rsidP="00C21F60">
            <w:pPr>
              <w:rPr>
                <w:color w:val="000000"/>
              </w:rPr>
            </w:pPr>
            <w:r w:rsidRPr="00C21F60">
              <w:rPr>
                <w:color w:val="000000"/>
              </w:rPr>
              <w:t>0.193</w:t>
            </w:r>
          </w:p>
        </w:tc>
      </w:tr>
      <w:tr w:rsidR="00C21F60" w:rsidRPr="00C21F60" w14:paraId="7D188F49" w14:textId="77777777" w:rsidTr="00C21F60">
        <w:trPr>
          <w:trHeight w:val="320"/>
        </w:trPr>
        <w:tc>
          <w:tcPr>
            <w:tcW w:w="2127" w:type="dxa"/>
            <w:tcBorders>
              <w:top w:val="nil"/>
              <w:left w:val="nil"/>
              <w:bottom w:val="nil"/>
              <w:right w:val="nil"/>
            </w:tcBorders>
            <w:shd w:val="clear" w:color="auto" w:fill="auto"/>
            <w:noWrap/>
            <w:vAlign w:val="bottom"/>
            <w:hideMark/>
          </w:tcPr>
          <w:p w14:paraId="084F5FFD"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68221C7D" w14:textId="77777777" w:rsidR="00C21F60" w:rsidRPr="00C21F60" w:rsidRDefault="00C21F60" w:rsidP="00C21F60">
            <w:pPr>
              <w:rPr>
                <w:color w:val="000000"/>
              </w:rPr>
            </w:pPr>
            <w:r w:rsidRPr="00C21F60">
              <w:rPr>
                <w:color w:val="000000"/>
              </w:rPr>
              <w:t>IT3</w:t>
            </w:r>
          </w:p>
        </w:tc>
        <w:tc>
          <w:tcPr>
            <w:tcW w:w="1300" w:type="dxa"/>
            <w:tcBorders>
              <w:top w:val="nil"/>
              <w:left w:val="nil"/>
              <w:bottom w:val="nil"/>
              <w:right w:val="nil"/>
            </w:tcBorders>
            <w:shd w:val="clear" w:color="auto" w:fill="auto"/>
            <w:noWrap/>
            <w:vAlign w:val="bottom"/>
            <w:hideMark/>
          </w:tcPr>
          <w:p w14:paraId="7FABCE5C" w14:textId="77777777" w:rsidR="00C21F60" w:rsidRPr="00C21F60" w:rsidRDefault="00C21F60" w:rsidP="00C21F60">
            <w:pPr>
              <w:rPr>
                <w:color w:val="000000"/>
              </w:rPr>
            </w:pPr>
            <w:r w:rsidRPr="00C21F60">
              <w:rPr>
                <w:color w:val="000000"/>
              </w:rPr>
              <w:t>0.549</w:t>
            </w:r>
          </w:p>
        </w:tc>
      </w:tr>
      <w:tr w:rsidR="00C21F60" w:rsidRPr="00C21F60" w14:paraId="3A4353FA" w14:textId="77777777" w:rsidTr="00C21F60">
        <w:trPr>
          <w:trHeight w:val="320"/>
        </w:trPr>
        <w:tc>
          <w:tcPr>
            <w:tcW w:w="2127" w:type="dxa"/>
            <w:tcBorders>
              <w:top w:val="nil"/>
              <w:left w:val="nil"/>
              <w:bottom w:val="nil"/>
              <w:right w:val="nil"/>
            </w:tcBorders>
            <w:shd w:val="clear" w:color="auto" w:fill="auto"/>
            <w:noWrap/>
            <w:vAlign w:val="bottom"/>
            <w:hideMark/>
          </w:tcPr>
          <w:p w14:paraId="323DEB11" w14:textId="77777777" w:rsidR="00C21F60" w:rsidRPr="00C21F60" w:rsidRDefault="00C21F60" w:rsidP="00C21F60">
            <w:pPr>
              <w:rPr>
                <w:color w:val="000000"/>
              </w:rPr>
            </w:pPr>
            <w:r w:rsidRPr="00C21F60">
              <w:rPr>
                <w:color w:val="000000"/>
              </w:rPr>
              <w:t>AM1</w:t>
            </w:r>
          </w:p>
        </w:tc>
        <w:tc>
          <w:tcPr>
            <w:tcW w:w="1176" w:type="dxa"/>
            <w:tcBorders>
              <w:top w:val="nil"/>
              <w:left w:val="nil"/>
              <w:bottom w:val="nil"/>
              <w:right w:val="nil"/>
            </w:tcBorders>
            <w:shd w:val="clear" w:color="auto" w:fill="auto"/>
            <w:noWrap/>
            <w:vAlign w:val="bottom"/>
            <w:hideMark/>
          </w:tcPr>
          <w:p w14:paraId="0C6FB549" w14:textId="77777777" w:rsidR="00C21F60" w:rsidRPr="00C21F60" w:rsidRDefault="00C21F60" w:rsidP="00C21F60">
            <w:pPr>
              <w:rPr>
                <w:color w:val="000000"/>
              </w:rPr>
            </w:pPr>
            <w:r w:rsidRPr="00C21F60">
              <w:rPr>
                <w:color w:val="000000"/>
              </w:rPr>
              <w:t>a-fn 1</w:t>
            </w:r>
          </w:p>
        </w:tc>
        <w:tc>
          <w:tcPr>
            <w:tcW w:w="1300" w:type="dxa"/>
            <w:tcBorders>
              <w:top w:val="nil"/>
              <w:left w:val="nil"/>
              <w:bottom w:val="nil"/>
              <w:right w:val="nil"/>
            </w:tcBorders>
            <w:shd w:val="clear" w:color="auto" w:fill="auto"/>
            <w:noWrap/>
            <w:vAlign w:val="bottom"/>
            <w:hideMark/>
          </w:tcPr>
          <w:p w14:paraId="348A5749" w14:textId="77777777" w:rsidR="00C21F60" w:rsidRPr="00C21F60" w:rsidRDefault="00C21F60" w:rsidP="00C21F60">
            <w:pPr>
              <w:rPr>
                <w:color w:val="000000"/>
              </w:rPr>
            </w:pPr>
            <w:r w:rsidRPr="00C21F60">
              <w:rPr>
                <w:color w:val="000000"/>
              </w:rPr>
              <w:t>0.661</w:t>
            </w:r>
          </w:p>
        </w:tc>
      </w:tr>
      <w:tr w:rsidR="00C21F60" w:rsidRPr="00C21F60" w14:paraId="46DEE533" w14:textId="77777777" w:rsidTr="00C21F60">
        <w:trPr>
          <w:trHeight w:val="320"/>
        </w:trPr>
        <w:tc>
          <w:tcPr>
            <w:tcW w:w="2127" w:type="dxa"/>
            <w:tcBorders>
              <w:top w:val="nil"/>
              <w:left w:val="nil"/>
              <w:bottom w:val="nil"/>
              <w:right w:val="nil"/>
            </w:tcBorders>
            <w:shd w:val="clear" w:color="auto" w:fill="auto"/>
            <w:noWrap/>
            <w:vAlign w:val="bottom"/>
            <w:hideMark/>
          </w:tcPr>
          <w:p w14:paraId="43F96A19"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52681779" w14:textId="77777777" w:rsidR="00C21F60" w:rsidRPr="00C21F60" w:rsidRDefault="00C21F60" w:rsidP="00C21F60">
            <w:pPr>
              <w:rPr>
                <w:color w:val="000000"/>
              </w:rPr>
            </w:pPr>
            <w:r w:rsidRPr="00C21F60">
              <w:rPr>
                <w:color w:val="000000"/>
              </w:rPr>
              <w:t>a-fn 2</w:t>
            </w:r>
          </w:p>
        </w:tc>
        <w:tc>
          <w:tcPr>
            <w:tcW w:w="1300" w:type="dxa"/>
            <w:tcBorders>
              <w:top w:val="nil"/>
              <w:left w:val="nil"/>
              <w:bottom w:val="nil"/>
              <w:right w:val="nil"/>
            </w:tcBorders>
            <w:shd w:val="clear" w:color="auto" w:fill="auto"/>
            <w:noWrap/>
            <w:vAlign w:val="bottom"/>
            <w:hideMark/>
          </w:tcPr>
          <w:p w14:paraId="7E59675A" w14:textId="77777777" w:rsidR="00C21F60" w:rsidRPr="00C21F60" w:rsidRDefault="00C21F60" w:rsidP="00C21F60">
            <w:pPr>
              <w:rPr>
                <w:color w:val="000000"/>
              </w:rPr>
            </w:pPr>
            <w:r w:rsidRPr="00C21F60">
              <w:rPr>
                <w:color w:val="000000"/>
              </w:rPr>
              <w:t>0.830</w:t>
            </w:r>
          </w:p>
        </w:tc>
      </w:tr>
      <w:tr w:rsidR="00C21F60" w:rsidRPr="00C21F60" w14:paraId="4010F222" w14:textId="77777777" w:rsidTr="00C21F60">
        <w:trPr>
          <w:trHeight w:val="320"/>
        </w:trPr>
        <w:tc>
          <w:tcPr>
            <w:tcW w:w="2127" w:type="dxa"/>
            <w:tcBorders>
              <w:top w:val="nil"/>
              <w:left w:val="nil"/>
              <w:bottom w:val="nil"/>
              <w:right w:val="nil"/>
            </w:tcBorders>
            <w:shd w:val="clear" w:color="auto" w:fill="auto"/>
            <w:noWrap/>
            <w:vAlign w:val="bottom"/>
            <w:hideMark/>
          </w:tcPr>
          <w:p w14:paraId="700BB8F4" w14:textId="77777777" w:rsidR="00C21F60" w:rsidRPr="00C21F60" w:rsidRDefault="00C21F60" w:rsidP="00C21F60">
            <w:pPr>
              <w:rPr>
                <w:color w:val="000000"/>
              </w:rPr>
            </w:pPr>
            <w:r w:rsidRPr="00C21F60">
              <w:rPr>
                <w:color w:val="000000"/>
              </w:rPr>
              <w:t>AM2</w:t>
            </w:r>
          </w:p>
        </w:tc>
        <w:tc>
          <w:tcPr>
            <w:tcW w:w="1176" w:type="dxa"/>
            <w:tcBorders>
              <w:top w:val="nil"/>
              <w:left w:val="nil"/>
              <w:bottom w:val="nil"/>
              <w:right w:val="nil"/>
            </w:tcBorders>
            <w:shd w:val="clear" w:color="auto" w:fill="auto"/>
            <w:noWrap/>
            <w:vAlign w:val="bottom"/>
            <w:hideMark/>
          </w:tcPr>
          <w:p w14:paraId="0CC36A45" w14:textId="77777777" w:rsidR="00C21F60" w:rsidRPr="00C21F60" w:rsidRDefault="00C21F60" w:rsidP="00C21F60">
            <w:pPr>
              <w:rPr>
                <w:color w:val="000000"/>
              </w:rPr>
            </w:pPr>
            <w:r w:rsidRPr="00C21F60">
              <w:rPr>
                <w:color w:val="000000"/>
              </w:rPr>
              <w:t>a-ww 1</w:t>
            </w:r>
          </w:p>
        </w:tc>
        <w:tc>
          <w:tcPr>
            <w:tcW w:w="1300" w:type="dxa"/>
            <w:tcBorders>
              <w:top w:val="nil"/>
              <w:left w:val="nil"/>
              <w:bottom w:val="nil"/>
              <w:right w:val="nil"/>
            </w:tcBorders>
            <w:shd w:val="clear" w:color="auto" w:fill="auto"/>
            <w:noWrap/>
            <w:vAlign w:val="bottom"/>
            <w:hideMark/>
          </w:tcPr>
          <w:p w14:paraId="3FD095D5" w14:textId="77777777" w:rsidR="00C21F60" w:rsidRPr="00C21F60" w:rsidRDefault="00C21F60" w:rsidP="00C21F60">
            <w:pPr>
              <w:rPr>
                <w:color w:val="000000"/>
              </w:rPr>
            </w:pPr>
            <w:r w:rsidRPr="00C21F60">
              <w:rPr>
                <w:color w:val="000000"/>
              </w:rPr>
              <w:t>0.816</w:t>
            </w:r>
          </w:p>
        </w:tc>
      </w:tr>
      <w:tr w:rsidR="00C21F60" w:rsidRPr="00C21F60" w14:paraId="7BA68E29" w14:textId="77777777" w:rsidTr="00C21F60">
        <w:trPr>
          <w:trHeight w:val="320"/>
        </w:trPr>
        <w:tc>
          <w:tcPr>
            <w:tcW w:w="2127" w:type="dxa"/>
            <w:tcBorders>
              <w:top w:val="nil"/>
              <w:left w:val="nil"/>
              <w:bottom w:val="nil"/>
              <w:right w:val="nil"/>
            </w:tcBorders>
            <w:shd w:val="clear" w:color="auto" w:fill="auto"/>
            <w:noWrap/>
            <w:vAlign w:val="bottom"/>
            <w:hideMark/>
          </w:tcPr>
          <w:p w14:paraId="6525CF73"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76946B74" w14:textId="77777777" w:rsidR="00C21F60" w:rsidRPr="00C21F60" w:rsidRDefault="00C21F60" w:rsidP="00C21F60">
            <w:pPr>
              <w:rPr>
                <w:color w:val="000000"/>
              </w:rPr>
            </w:pPr>
            <w:r w:rsidRPr="00C21F60">
              <w:rPr>
                <w:color w:val="000000"/>
              </w:rPr>
              <w:t>a-ww 2</w:t>
            </w:r>
          </w:p>
        </w:tc>
        <w:tc>
          <w:tcPr>
            <w:tcW w:w="1300" w:type="dxa"/>
            <w:tcBorders>
              <w:top w:val="nil"/>
              <w:left w:val="nil"/>
              <w:bottom w:val="nil"/>
              <w:right w:val="nil"/>
            </w:tcBorders>
            <w:shd w:val="clear" w:color="auto" w:fill="auto"/>
            <w:noWrap/>
            <w:vAlign w:val="bottom"/>
            <w:hideMark/>
          </w:tcPr>
          <w:p w14:paraId="36EB4AEF" w14:textId="77777777" w:rsidR="00C21F60" w:rsidRPr="00C21F60" w:rsidRDefault="00C21F60" w:rsidP="00C21F60">
            <w:pPr>
              <w:rPr>
                <w:color w:val="000000"/>
              </w:rPr>
            </w:pPr>
            <w:r w:rsidRPr="00C21F60">
              <w:rPr>
                <w:color w:val="000000"/>
              </w:rPr>
              <w:t>0.837</w:t>
            </w:r>
          </w:p>
        </w:tc>
      </w:tr>
      <w:tr w:rsidR="00C21F60" w:rsidRPr="00C21F60" w14:paraId="514332A6" w14:textId="77777777" w:rsidTr="00C21F60">
        <w:trPr>
          <w:trHeight w:val="320"/>
        </w:trPr>
        <w:tc>
          <w:tcPr>
            <w:tcW w:w="2127" w:type="dxa"/>
            <w:tcBorders>
              <w:top w:val="nil"/>
              <w:left w:val="nil"/>
              <w:bottom w:val="nil"/>
              <w:right w:val="nil"/>
            </w:tcBorders>
            <w:shd w:val="clear" w:color="auto" w:fill="auto"/>
            <w:noWrap/>
            <w:vAlign w:val="bottom"/>
            <w:hideMark/>
          </w:tcPr>
          <w:p w14:paraId="3FA8A4D8" w14:textId="77777777" w:rsidR="00C21F60" w:rsidRPr="00C21F60" w:rsidRDefault="00C21F60" w:rsidP="00C21F60">
            <w:pPr>
              <w:rPr>
                <w:color w:val="000000"/>
              </w:rPr>
            </w:pPr>
            <w:r w:rsidRPr="00C21F60">
              <w:rPr>
                <w:color w:val="000000"/>
              </w:rPr>
              <w:t>AM3</w:t>
            </w:r>
          </w:p>
        </w:tc>
        <w:tc>
          <w:tcPr>
            <w:tcW w:w="1176" w:type="dxa"/>
            <w:tcBorders>
              <w:top w:val="nil"/>
              <w:left w:val="nil"/>
              <w:bottom w:val="nil"/>
              <w:right w:val="nil"/>
            </w:tcBorders>
            <w:shd w:val="clear" w:color="auto" w:fill="auto"/>
            <w:noWrap/>
            <w:vAlign w:val="bottom"/>
            <w:hideMark/>
          </w:tcPr>
          <w:p w14:paraId="43C8C650" w14:textId="77777777" w:rsidR="00C21F60" w:rsidRPr="00C21F60" w:rsidRDefault="00C21F60" w:rsidP="00C21F60">
            <w:pPr>
              <w:rPr>
                <w:color w:val="000000"/>
              </w:rPr>
            </w:pPr>
            <w:r w:rsidRPr="00C21F60">
              <w:rPr>
                <w:color w:val="000000"/>
              </w:rPr>
              <w:t>a-pp 1</w:t>
            </w:r>
          </w:p>
        </w:tc>
        <w:tc>
          <w:tcPr>
            <w:tcW w:w="1300" w:type="dxa"/>
            <w:tcBorders>
              <w:top w:val="nil"/>
              <w:left w:val="nil"/>
              <w:bottom w:val="nil"/>
              <w:right w:val="nil"/>
            </w:tcBorders>
            <w:shd w:val="clear" w:color="auto" w:fill="auto"/>
            <w:noWrap/>
            <w:vAlign w:val="bottom"/>
            <w:hideMark/>
          </w:tcPr>
          <w:p w14:paraId="086CCEB9" w14:textId="77777777" w:rsidR="00C21F60" w:rsidRPr="00C21F60" w:rsidRDefault="00C21F60" w:rsidP="00C21F60">
            <w:pPr>
              <w:rPr>
                <w:color w:val="000000"/>
              </w:rPr>
            </w:pPr>
            <w:r w:rsidRPr="00C21F60">
              <w:rPr>
                <w:color w:val="000000"/>
              </w:rPr>
              <w:t>0.769</w:t>
            </w:r>
          </w:p>
        </w:tc>
      </w:tr>
      <w:tr w:rsidR="00C21F60" w:rsidRPr="00C21F60" w14:paraId="12FE1F9B" w14:textId="77777777" w:rsidTr="00C21F60">
        <w:trPr>
          <w:trHeight w:val="320"/>
        </w:trPr>
        <w:tc>
          <w:tcPr>
            <w:tcW w:w="2127" w:type="dxa"/>
            <w:tcBorders>
              <w:top w:val="nil"/>
              <w:left w:val="nil"/>
              <w:bottom w:val="nil"/>
              <w:right w:val="nil"/>
            </w:tcBorders>
            <w:shd w:val="clear" w:color="auto" w:fill="auto"/>
            <w:noWrap/>
            <w:vAlign w:val="bottom"/>
            <w:hideMark/>
          </w:tcPr>
          <w:p w14:paraId="19FAE0ED"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489396AD" w14:textId="77777777" w:rsidR="00C21F60" w:rsidRPr="00C21F60" w:rsidRDefault="00C21F60" w:rsidP="00C21F60">
            <w:pPr>
              <w:rPr>
                <w:color w:val="000000"/>
              </w:rPr>
            </w:pPr>
            <w:r w:rsidRPr="00C21F60">
              <w:rPr>
                <w:color w:val="000000"/>
              </w:rPr>
              <w:t>a-pp 2</w:t>
            </w:r>
          </w:p>
        </w:tc>
        <w:tc>
          <w:tcPr>
            <w:tcW w:w="1300" w:type="dxa"/>
            <w:tcBorders>
              <w:top w:val="nil"/>
              <w:left w:val="nil"/>
              <w:bottom w:val="nil"/>
              <w:right w:val="nil"/>
            </w:tcBorders>
            <w:shd w:val="clear" w:color="auto" w:fill="auto"/>
            <w:noWrap/>
            <w:vAlign w:val="bottom"/>
            <w:hideMark/>
          </w:tcPr>
          <w:p w14:paraId="610835A0" w14:textId="77777777" w:rsidR="00C21F60" w:rsidRPr="00C21F60" w:rsidRDefault="00C21F60" w:rsidP="00C21F60">
            <w:pPr>
              <w:rPr>
                <w:color w:val="000000"/>
              </w:rPr>
            </w:pPr>
            <w:r w:rsidRPr="00C21F60">
              <w:rPr>
                <w:color w:val="000000"/>
              </w:rPr>
              <w:t>0.888</w:t>
            </w:r>
          </w:p>
        </w:tc>
      </w:tr>
      <w:tr w:rsidR="00C21F60" w:rsidRPr="00C21F60" w14:paraId="4BCA43E6" w14:textId="77777777" w:rsidTr="00C21F60">
        <w:trPr>
          <w:trHeight w:val="320"/>
        </w:trPr>
        <w:tc>
          <w:tcPr>
            <w:tcW w:w="2127" w:type="dxa"/>
            <w:tcBorders>
              <w:top w:val="nil"/>
              <w:left w:val="nil"/>
              <w:bottom w:val="nil"/>
              <w:right w:val="nil"/>
            </w:tcBorders>
            <w:shd w:val="clear" w:color="auto" w:fill="auto"/>
            <w:noWrap/>
            <w:vAlign w:val="bottom"/>
            <w:hideMark/>
          </w:tcPr>
          <w:p w14:paraId="3A0F470A" w14:textId="77777777" w:rsidR="00C21F60" w:rsidRPr="00C21F60" w:rsidRDefault="00C21F60" w:rsidP="00C21F60">
            <w:pPr>
              <w:rPr>
                <w:color w:val="000000"/>
              </w:rPr>
            </w:pPr>
            <w:r w:rsidRPr="00C21F60">
              <w:rPr>
                <w:color w:val="000000"/>
              </w:rPr>
              <w:t>IT1</w:t>
            </w:r>
          </w:p>
        </w:tc>
        <w:tc>
          <w:tcPr>
            <w:tcW w:w="1176" w:type="dxa"/>
            <w:tcBorders>
              <w:top w:val="nil"/>
              <w:left w:val="nil"/>
              <w:bottom w:val="nil"/>
              <w:right w:val="nil"/>
            </w:tcBorders>
            <w:shd w:val="clear" w:color="auto" w:fill="auto"/>
            <w:noWrap/>
            <w:vAlign w:val="bottom"/>
            <w:hideMark/>
          </w:tcPr>
          <w:p w14:paraId="77251A47" w14:textId="77777777" w:rsidR="00C21F60" w:rsidRPr="00C21F60" w:rsidRDefault="00C21F60" w:rsidP="00C21F60">
            <w:pPr>
              <w:rPr>
                <w:color w:val="000000"/>
              </w:rPr>
            </w:pPr>
            <w:r w:rsidRPr="00C21F60">
              <w:rPr>
                <w:color w:val="000000"/>
              </w:rPr>
              <w:t>i-fn 1</w:t>
            </w:r>
          </w:p>
        </w:tc>
        <w:tc>
          <w:tcPr>
            <w:tcW w:w="1300" w:type="dxa"/>
            <w:tcBorders>
              <w:top w:val="nil"/>
              <w:left w:val="nil"/>
              <w:bottom w:val="nil"/>
              <w:right w:val="nil"/>
            </w:tcBorders>
            <w:shd w:val="clear" w:color="auto" w:fill="auto"/>
            <w:noWrap/>
            <w:vAlign w:val="bottom"/>
            <w:hideMark/>
          </w:tcPr>
          <w:p w14:paraId="656E1937" w14:textId="77777777" w:rsidR="00C21F60" w:rsidRPr="00C21F60" w:rsidRDefault="00C21F60" w:rsidP="00C21F60">
            <w:pPr>
              <w:rPr>
                <w:color w:val="000000"/>
              </w:rPr>
            </w:pPr>
            <w:r w:rsidRPr="00C21F60">
              <w:rPr>
                <w:color w:val="000000"/>
              </w:rPr>
              <w:t>0.600</w:t>
            </w:r>
          </w:p>
        </w:tc>
      </w:tr>
      <w:tr w:rsidR="00C21F60" w:rsidRPr="00C21F60" w14:paraId="052E81CC" w14:textId="77777777" w:rsidTr="00C21F60">
        <w:trPr>
          <w:trHeight w:val="320"/>
        </w:trPr>
        <w:tc>
          <w:tcPr>
            <w:tcW w:w="2127" w:type="dxa"/>
            <w:tcBorders>
              <w:top w:val="nil"/>
              <w:left w:val="nil"/>
              <w:bottom w:val="nil"/>
              <w:right w:val="nil"/>
            </w:tcBorders>
            <w:shd w:val="clear" w:color="auto" w:fill="auto"/>
            <w:noWrap/>
            <w:vAlign w:val="bottom"/>
            <w:hideMark/>
          </w:tcPr>
          <w:p w14:paraId="299B9E21"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520E2E15" w14:textId="77777777" w:rsidR="00C21F60" w:rsidRPr="00C21F60" w:rsidRDefault="00C21F60" w:rsidP="00C21F60">
            <w:pPr>
              <w:rPr>
                <w:color w:val="000000"/>
              </w:rPr>
            </w:pPr>
            <w:r w:rsidRPr="00C21F60">
              <w:rPr>
                <w:color w:val="000000"/>
              </w:rPr>
              <w:t>i-fn 2</w:t>
            </w:r>
          </w:p>
        </w:tc>
        <w:tc>
          <w:tcPr>
            <w:tcW w:w="1300" w:type="dxa"/>
            <w:tcBorders>
              <w:top w:val="nil"/>
              <w:left w:val="nil"/>
              <w:bottom w:val="nil"/>
              <w:right w:val="nil"/>
            </w:tcBorders>
            <w:shd w:val="clear" w:color="auto" w:fill="auto"/>
            <w:noWrap/>
            <w:vAlign w:val="bottom"/>
            <w:hideMark/>
          </w:tcPr>
          <w:p w14:paraId="050AAA28" w14:textId="77777777" w:rsidR="00C21F60" w:rsidRPr="00C21F60" w:rsidRDefault="00C21F60" w:rsidP="00C21F60">
            <w:pPr>
              <w:rPr>
                <w:color w:val="000000"/>
              </w:rPr>
            </w:pPr>
            <w:r w:rsidRPr="00C21F60">
              <w:rPr>
                <w:color w:val="000000"/>
              </w:rPr>
              <w:t>0.882</w:t>
            </w:r>
          </w:p>
        </w:tc>
      </w:tr>
      <w:tr w:rsidR="00C21F60" w:rsidRPr="00C21F60" w14:paraId="00C89E3B" w14:textId="77777777" w:rsidTr="00C21F60">
        <w:trPr>
          <w:trHeight w:val="320"/>
        </w:trPr>
        <w:tc>
          <w:tcPr>
            <w:tcW w:w="2127" w:type="dxa"/>
            <w:tcBorders>
              <w:top w:val="nil"/>
              <w:left w:val="nil"/>
              <w:bottom w:val="nil"/>
              <w:right w:val="nil"/>
            </w:tcBorders>
            <w:shd w:val="clear" w:color="auto" w:fill="auto"/>
            <w:noWrap/>
            <w:vAlign w:val="bottom"/>
            <w:hideMark/>
          </w:tcPr>
          <w:p w14:paraId="64362A9A" w14:textId="77777777" w:rsidR="00C21F60" w:rsidRPr="00C21F60" w:rsidRDefault="00C21F60" w:rsidP="00C21F60">
            <w:pPr>
              <w:rPr>
                <w:color w:val="000000"/>
              </w:rPr>
            </w:pPr>
            <w:r w:rsidRPr="00C21F60">
              <w:rPr>
                <w:color w:val="000000"/>
              </w:rPr>
              <w:t>IT2</w:t>
            </w:r>
          </w:p>
        </w:tc>
        <w:tc>
          <w:tcPr>
            <w:tcW w:w="1176" w:type="dxa"/>
            <w:tcBorders>
              <w:top w:val="nil"/>
              <w:left w:val="nil"/>
              <w:bottom w:val="nil"/>
              <w:right w:val="nil"/>
            </w:tcBorders>
            <w:shd w:val="clear" w:color="auto" w:fill="auto"/>
            <w:noWrap/>
            <w:vAlign w:val="bottom"/>
            <w:hideMark/>
          </w:tcPr>
          <w:p w14:paraId="0D0D3854" w14:textId="77777777" w:rsidR="00C21F60" w:rsidRPr="00C21F60" w:rsidRDefault="00C21F60" w:rsidP="00C21F60">
            <w:pPr>
              <w:rPr>
                <w:color w:val="000000"/>
              </w:rPr>
            </w:pPr>
            <w:r w:rsidRPr="00C21F60">
              <w:rPr>
                <w:color w:val="000000"/>
              </w:rPr>
              <w:t>i-ww 1</w:t>
            </w:r>
          </w:p>
        </w:tc>
        <w:tc>
          <w:tcPr>
            <w:tcW w:w="1300" w:type="dxa"/>
            <w:tcBorders>
              <w:top w:val="nil"/>
              <w:left w:val="nil"/>
              <w:bottom w:val="nil"/>
              <w:right w:val="nil"/>
            </w:tcBorders>
            <w:shd w:val="clear" w:color="auto" w:fill="auto"/>
            <w:noWrap/>
            <w:vAlign w:val="bottom"/>
            <w:hideMark/>
          </w:tcPr>
          <w:p w14:paraId="4F36B4F3" w14:textId="77777777" w:rsidR="00C21F60" w:rsidRPr="00C21F60" w:rsidRDefault="00C21F60" w:rsidP="00C21F60">
            <w:pPr>
              <w:rPr>
                <w:color w:val="000000"/>
              </w:rPr>
            </w:pPr>
            <w:r w:rsidRPr="00C21F60">
              <w:rPr>
                <w:color w:val="000000"/>
              </w:rPr>
              <w:t>0.789</w:t>
            </w:r>
          </w:p>
        </w:tc>
      </w:tr>
      <w:tr w:rsidR="00C21F60" w:rsidRPr="00C21F60" w14:paraId="7953D097" w14:textId="77777777" w:rsidTr="00C21F60">
        <w:trPr>
          <w:trHeight w:val="320"/>
        </w:trPr>
        <w:tc>
          <w:tcPr>
            <w:tcW w:w="2127" w:type="dxa"/>
            <w:tcBorders>
              <w:top w:val="nil"/>
              <w:left w:val="nil"/>
              <w:bottom w:val="nil"/>
              <w:right w:val="nil"/>
            </w:tcBorders>
            <w:shd w:val="clear" w:color="auto" w:fill="auto"/>
            <w:noWrap/>
            <w:vAlign w:val="bottom"/>
            <w:hideMark/>
          </w:tcPr>
          <w:p w14:paraId="2B6AE9A5" w14:textId="77777777" w:rsidR="00C21F60" w:rsidRPr="00C21F60" w:rsidRDefault="00C21F60" w:rsidP="00C21F60">
            <w:pPr>
              <w:rPr>
                <w:color w:val="000000"/>
              </w:rPr>
            </w:pPr>
          </w:p>
        </w:tc>
        <w:tc>
          <w:tcPr>
            <w:tcW w:w="1176" w:type="dxa"/>
            <w:tcBorders>
              <w:top w:val="nil"/>
              <w:left w:val="nil"/>
              <w:bottom w:val="nil"/>
              <w:right w:val="nil"/>
            </w:tcBorders>
            <w:shd w:val="clear" w:color="auto" w:fill="auto"/>
            <w:noWrap/>
            <w:vAlign w:val="bottom"/>
            <w:hideMark/>
          </w:tcPr>
          <w:p w14:paraId="3F9218DD" w14:textId="77777777" w:rsidR="00C21F60" w:rsidRPr="00C21F60" w:rsidRDefault="00C21F60" w:rsidP="00C21F60">
            <w:pPr>
              <w:rPr>
                <w:color w:val="000000"/>
              </w:rPr>
            </w:pPr>
            <w:r w:rsidRPr="00C21F60">
              <w:rPr>
                <w:color w:val="000000"/>
              </w:rPr>
              <w:t>i-ww 2</w:t>
            </w:r>
          </w:p>
        </w:tc>
        <w:tc>
          <w:tcPr>
            <w:tcW w:w="1300" w:type="dxa"/>
            <w:tcBorders>
              <w:top w:val="nil"/>
              <w:left w:val="nil"/>
              <w:bottom w:val="nil"/>
              <w:right w:val="nil"/>
            </w:tcBorders>
            <w:shd w:val="clear" w:color="auto" w:fill="auto"/>
            <w:noWrap/>
            <w:vAlign w:val="bottom"/>
            <w:hideMark/>
          </w:tcPr>
          <w:p w14:paraId="62D0A4EC" w14:textId="77777777" w:rsidR="00C21F60" w:rsidRPr="00C21F60" w:rsidRDefault="00C21F60" w:rsidP="00C21F60">
            <w:pPr>
              <w:rPr>
                <w:color w:val="000000"/>
              </w:rPr>
            </w:pPr>
            <w:r w:rsidRPr="00C21F60">
              <w:rPr>
                <w:color w:val="000000"/>
              </w:rPr>
              <w:t>0.821</w:t>
            </w:r>
          </w:p>
        </w:tc>
      </w:tr>
      <w:tr w:rsidR="00C21F60" w:rsidRPr="00C21F60" w14:paraId="12E46E53" w14:textId="77777777" w:rsidTr="00C21F60">
        <w:trPr>
          <w:trHeight w:val="320"/>
        </w:trPr>
        <w:tc>
          <w:tcPr>
            <w:tcW w:w="2127" w:type="dxa"/>
            <w:tcBorders>
              <w:top w:val="nil"/>
              <w:left w:val="nil"/>
              <w:bottom w:val="nil"/>
              <w:right w:val="nil"/>
            </w:tcBorders>
            <w:shd w:val="clear" w:color="auto" w:fill="auto"/>
            <w:noWrap/>
            <w:vAlign w:val="bottom"/>
            <w:hideMark/>
          </w:tcPr>
          <w:p w14:paraId="1F762F69" w14:textId="77777777" w:rsidR="00C21F60" w:rsidRPr="00C21F60" w:rsidRDefault="00C21F60" w:rsidP="00C21F60">
            <w:pPr>
              <w:rPr>
                <w:color w:val="000000"/>
              </w:rPr>
            </w:pPr>
            <w:r w:rsidRPr="00C21F60">
              <w:rPr>
                <w:color w:val="000000"/>
              </w:rPr>
              <w:t>IT3</w:t>
            </w:r>
          </w:p>
        </w:tc>
        <w:tc>
          <w:tcPr>
            <w:tcW w:w="1176" w:type="dxa"/>
            <w:tcBorders>
              <w:top w:val="nil"/>
              <w:left w:val="nil"/>
              <w:bottom w:val="nil"/>
              <w:right w:val="nil"/>
            </w:tcBorders>
            <w:shd w:val="clear" w:color="auto" w:fill="auto"/>
            <w:noWrap/>
            <w:vAlign w:val="bottom"/>
            <w:hideMark/>
          </w:tcPr>
          <w:p w14:paraId="1405A10B" w14:textId="77777777" w:rsidR="00C21F60" w:rsidRPr="00C21F60" w:rsidRDefault="00C21F60" w:rsidP="00C21F60">
            <w:pPr>
              <w:rPr>
                <w:color w:val="000000"/>
              </w:rPr>
            </w:pPr>
            <w:r w:rsidRPr="00C21F60">
              <w:rPr>
                <w:color w:val="000000"/>
              </w:rPr>
              <w:t>i-pp 1</w:t>
            </w:r>
          </w:p>
        </w:tc>
        <w:tc>
          <w:tcPr>
            <w:tcW w:w="1300" w:type="dxa"/>
            <w:tcBorders>
              <w:top w:val="nil"/>
              <w:left w:val="nil"/>
              <w:bottom w:val="nil"/>
              <w:right w:val="nil"/>
            </w:tcBorders>
            <w:shd w:val="clear" w:color="auto" w:fill="auto"/>
            <w:noWrap/>
            <w:vAlign w:val="bottom"/>
            <w:hideMark/>
          </w:tcPr>
          <w:p w14:paraId="36FFEAEE" w14:textId="77777777" w:rsidR="00C21F60" w:rsidRPr="00C21F60" w:rsidRDefault="00C21F60" w:rsidP="00C21F60">
            <w:pPr>
              <w:rPr>
                <w:color w:val="000000"/>
              </w:rPr>
            </w:pPr>
            <w:r w:rsidRPr="00C21F60">
              <w:rPr>
                <w:color w:val="000000"/>
              </w:rPr>
              <w:t>0.679</w:t>
            </w:r>
          </w:p>
        </w:tc>
      </w:tr>
      <w:tr w:rsidR="00C21F60" w:rsidRPr="00C21F60" w14:paraId="5E01B87B" w14:textId="77777777" w:rsidTr="00C21F60">
        <w:trPr>
          <w:trHeight w:val="320"/>
        </w:trPr>
        <w:tc>
          <w:tcPr>
            <w:tcW w:w="2127" w:type="dxa"/>
            <w:tcBorders>
              <w:top w:val="nil"/>
              <w:left w:val="nil"/>
              <w:bottom w:val="single" w:sz="4" w:space="0" w:color="auto"/>
              <w:right w:val="nil"/>
            </w:tcBorders>
            <w:shd w:val="clear" w:color="auto" w:fill="auto"/>
            <w:noWrap/>
            <w:vAlign w:val="bottom"/>
            <w:hideMark/>
          </w:tcPr>
          <w:p w14:paraId="60693307" w14:textId="77777777" w:rsidR="00C21F60" w:rsidRPr="00C21F60" w:rsidRDefault="00C21F60" w:rsidP="00C21F60">
            <w:pPr>
              <w:rPr>
                <w:color w:val="000000"/>
              </w:rPr>
            </w:pPr>
            <w:r w:rsidRPr="00C21F60">
              <w:rPr>
                <w:color w:val="000000"/>
              </w:rPr>
              <w:t> </w:t>
            </w:r>
          </w:p>
        </w:tc>
        <w:tc>
          <w:tcPr>
            <w:tcW w:w="1176" w:type="dxa"/>
            <w:tcBorders>
              <w:top w:val="nil"/>
              <w:left w:val="nil"/>
              <w:bottom w:val="single" w:sz="4" w:space="0" w:color="auto"/>
              <w:right w:val="nil"/>
            </w:tcBorders>
            <w:shd w:val="clear" w:color="auto" w:fill="auto"/>
            <w:noWrap/>
            <w:vAlign w:val="bottom"/>
            <w:hideMark/>
          </w:tcPr>
          <w:p w14:paraId="3ED77B52" w14:textId="77777777" w:rsidR="00C21F60" w:rsidRPr="00C21F60" w:rsidRDefault="00C21F60" w:rsidP="00C21F60">
            <w:pPr>
              <w:rPr>
                <w:color w:val="000000"/>
              </w:rPr>
            </w:pPr>
            <w:r w:rsidRPr="00C21F60">
              <w:rPr>
                <w:color w:val="000000"/>
              </w:rPr>
              <w:t>i-pp 2</w:t>
            </w:r>
          </w:p>
        </w:tc>
        <w:tc>
          <w:tcPr>
            <w:tcW w:w="1300" w:type="dxa"/>
            <w:tcBorders>
              <w:top w:val="nil"/>
              <w:left w:val="nil"/>
              <w:bottom w:val="single" w:sz="4" w:space="0" w:color="auto"/>
              <w:right w:val="nil"/>
            </w:tcBorders>
            <w:shd w:val="clear" w:color="auto" w:fill="auto"/>
            <w:noWrap/>
            <w:vAlign w:val="bottom"/>
            <w:hideMark/>
          </w:tcPr>
          <w:p w14:paraId="6BA2C237" w14:textId="77777777" w:rsidR="00C21F60" w:rsidRPr="00C21F60" w:rsidRDefault="00C21F60" w:rsidP="00C21F60">
            <w:pPr>
              <w:rPr>
                <w:color w:val="000000"/>
              </w:rPr>
            </w:pPr>
            <w:r w:rsidRPr="00C21F60">
              <w:rPr>
                <w:color w:val="000000"/>
              </w:rPr>
              <w:t>0.734</w:t>
            </w:r>
          </w:p>
        </w:tc>
      </w:tr>
    </w:tbl>
    <w:p w14:paraId="69361556" w14:textId="77777777" w:rsidR="00C21F60" w:rsidRDefault="00C21F60" w:rsidP="00471BC5">
      <w:pPr>
        <w:pStyle w:val="StandardWeb"/>
        <w:rPr>
          <w:rFonts w:eastAsia="Times New Roman"/>
          <w:lang w:val="en-US"/>
        </w:rPr>
      </w:pPr>
      <w:r>
        <w:rPr>
          <w:rFonts w:eastAsia="Times New Roman"/>
          <w:lang w:val="en-US"/>
        </w:rPr>
        <w:t xml:space="preserve">    </w:t>
      </w:r>
    </w:p>
    <w:p w14:paraId="4331DACC" w14:textId="27D6743D" w:rsidR="00471BC5" w:rsidRDefault="00471BC5" w:rsidP="00471BC5">
      <w:pPr>
        <w:pStyle w:val="StandardWeb"/>
        <w:rPr>
          <w:rFonts w:eastAsia="Times New Roman"/>
          <w:lang w:val="en-US"/>
        </w:rPr>
      </w:pPr>
    </w:p>
    <w:p w14:paraId="0CA39C2D" w14:textId="20FA14C8" w:rsidR="00471BC5" w:rsidRPr="00471BC5" w:rsidRDefault="00471BC5" w:rsidP="00471BC5">
      <w:pPr>
        <w:rPr>
          <w:lang w:val="en-US"/>
        </w:rPr>
      </w:pPr>
    </w:p>
    <w:p w14:paraId="5F9C5CDE" w14:textId="77777777" w:rsidR="00471BC5" w:rsidRDefault="00471BC5" w:rsidP="00DD23DC">
      <w:pPr>
        <w:pStyle w:val="StandardWeb"/>
        <w:rPr>
          <w:b/>
          <w:lang w:val="en-US"/>
        </w:rPr>
      </w:pPr>
    </w:p>
    <w:p w14:paraId="6CA73036" w14:textId="64ADA1DB" w:rsidR="00471BC5" w:rsidRDefault="00471BC5">
      <w:pPr>
        <w:rPr>
          <w:rFonts w:eastAsiaTheme="minorEastAsia"/>
          <w:b/>
          <w:lang w:val="en-US"/>
        </w:rPr>
      </w:pPr>
    </w:p>
    <w:p w14:paraId="1F22CD43" w14:textId="77777777" w:rsidR="00450431" w:rsidRDefault="00450431">
      <w:pPr>
        <w:rPr>
          <w:rFonts w:eastAsiaTheme="minorEastAsia"/>
          <w:b/>
          <w:lang w:val="en-US"/>
        </w:rPr>
      </w:pPr>
      <w:r>
        <w:rPr>
          <w:b/>
          <w:lang w:val="en-US"/>
        </w:rPr>
        <w:br w:type="page"/>
      </w:r>
    </w:p>
    <w:p w14:paraId="5E6EAF57" w14:textId="742734D5" w:rsidR="00DB07B2" w:rsidRDefault="00DD23DC" w:rsidP="00DD23DC">
      <w:pPr>
        <w:pStyle w:val="StandardWeb"/>
        <w:rPr>
          <w:rFonts w:eastAsia="Times New Roman"/>
          <w:lang w:val="en-US"/>
        </w:rPr>
      </w:pPr>
      <w:r w:rsidRPr="00B34D99">
        <w:rPr>
          <w:b/>
          <w:lang w:val="en-US"/>
        </w:rPr>
        <w:lastRenderedPageBreak/>
        <w:t xml:space="preserve">Supplementary </w:t>
      </w:r>
      <w:r>
        <w:rPr>
          <w:b/>
          <w:lang w:val="en-US"/>
        </w:rPr>
        <w:t xml:space="preserve">Information </w:t>
      </w:r>
      <w:r w:rsidR="00471BC5">
        <w:rPr>
          <w:b/>
          <w:lang w:val="en-US"/>
        </w:rPr>
        <w:t>4</w:t>
      </w:r>
      <w:r>
        <w:rPr>
          <w:b/>
          <w:lang w:val="en-US"/>
        </w:rPr>
        <w:t xml:space="preserve">. </w:t>
      </w:r>
      <w:r>
        <w:rPr>
          <w:lang w:val="en-US"/>
        </w:rPr>
        <w:t xml:space="preserve">Results </w:t>
      </w:r>
      <w:r w:rsidR="008D4A03">
        <w:rPr>
          <w:lang w:val="en-US"/>
        </w:rPr>
        <w:t xml:space="preserve">from follow-up analyses of </w:t>
      </w:r>
      <w:r>
        <w:rPr>
          <w:lang w:val="en-US"/>
        </w:rPr>
        <w:t>the brain model when including age, allowing age to correlate with associative memory, item memory and the brain variable</w:t>
      </w:r>
      <w:r w:rsidR="00E85C7F">
        <w:rPr>
          <w:lang w:val="en-US"/>
        </w:rPr>
        <w:t xml:space="preserve"> under investigation</w:t>
      </w:r>
      <w:r>
        <w:rPr>
          <w:lang w:val="en-US"/>
        </w:rPr>
        <w:t xml:space="preserve">. The table includes </w:t>
      </w:r>
      <w:r>
        <w:rPr>
          <w:rFonts w:eastAsia="Times New Roman"/>
          <w:lang w:val="en-US"/>
        </w:rPr>
        <w:t>m</w:t>
      </w:r>
      <w:r w:rsidRPr="00DD23DC">
        <w:rPr>
          <w:rFonts w:eastAsia="Times New Roman"/>
          <w:lang w:val="en-US"/>
        </w:rPr>
        <w:t>odel fit indices (</w:t>
      </w:r>
      <w:r w:rsidRPr="00DD23DC">
        <w:rPr>
          <w:rFonts w:ascii="Times New Roman,Italic" w:eastAsia="Times New Roman" w:hAnsi="Times New Roman,Italic"/>
        </w:rPr>
        <w:t>χ</w:t>
      </w:r>
      <w:r w:rsidRPr="00DD23DC">
        <w:rPr>
          <w:rFonts w:ascii="Times New Roman,Italic" w:eastAsia="Times New Roman" w:hAnsi="Times New Roman,Italic"/>
          <w:position w:val="12"/>
          <w:sz w:val="16"/>
          <w:szCs w:val="16"/>
          <w:lang w:val="en-US"/>
        </w:rPr>
        <w:t>2</w:t>
      </w:r>
      <w:r w:rsidRPr="00DD23DC">
        <w:rPr>
          <w:rFonts w:ascii="Times New Roman,Italic" w:eastAsia="Times New Roman" w:hAnsi="Times New Roman,Italic"/>
          <w:lang w:val="en-US"/>
        </w:rPr>
        <w:t>, CFI, RMSEA</w:t>
      </w:r>
      <w:r w:rsidRPr="00DD23DC">
        <w:rPr>
          <w:rFonts w:eastAsia="Times New Roman"/>
          <w:lang w:val="en-US"/>
        </w:rPr>
        <w:t>) and standardized parameter estimates (</w:t>
      </w:r>
      <w:r w:rsidRPr="00DD23DC">
        <w:rPr>
          <w:rFonts w:ascii="Times New Roman,Italic" w:eastAsia="Times New Roman" w:hAnsi="Times New Roman,Italic"/>
        </w:rPr>
        <w:t>β</w:t>
      </w:r>
      <w:r w:rsidRPr="00DD23DC">
        <w:rPr>
          <w:rFonts w:eastAsia="Times New Roman"/>
          <w:lang w:val="en-US"/>
        </w:rPr>
        <w:t>) for the correlations between the different regions of interest and item memory (ITEM) and associative memory (AM), as well as inferential statistics for the model comparisons that tested the significance of and between these correlations</w:t>
      </w:r>
      <w:r>
        <w:rPr>
          <w:rFonts w:eastAsia="Times New Roman"/>
          <w:lang w:val="en-US"/>
        </w:rPr>
        <w:t xml:space="preserve">. Note that </w:t>
      </w:r>
      <w:r w:rsidR="008D4A03">
        <w:rPr>
          <w:rFonts w:eastAsia="Times New Roman"/>
          <w:lang w:val="en-US"/>
        </w:rPr>
        <w:t>e</w:t>
      </w:r>
      <w:r w:rsidR="008D4A03" w:rsidRPr="008D4A03">
        <w:rPr>
          <w:rFonts w:eastAsia="Times New Roman"/>
          <w:lang w:val="en-US"/>
        </w:rPr>
        <w:t>stimation for the entorhinal cortex and the hippocampus provided an improper solution and results for these region</w:t>
      </w:r>
      <w:r w:rsidR="008D4A03">
        <w:rPr>
          <w:rFonts w:eastAsia="Times New Roman"/>
          <w:lang w:val="en-US"/>
        </w:rPr>
        <w:t>s</w:t>
      </w:r>
      <w:r w:rsidR="008D4A03" w:rsidRPr="008D4A03">
        <w:rPr>
          <w:rFonts w:eastAsia="Times New Roman"/>
          <w:lang w:val="en-US"/>
        </w:rPr>
        <w:t xml:space="preserve"> are therefore not included in the table. </w:t>
      </w:r>
      <w:r w:rsidR="008D4A03">
        <w:rPr>
          <w:rFonts w:eastAsia="Times New Roman"/>
          <w:lang w:val="en-US"/>
        </w:rPr>
        <w:t xml:space="preserve">Significant results are highlighted in bold. </w:t>
      </w:r>
    </w:p>
    <w:p w14:paraId="19DF47E3" w14:textId="77FA7530" w:rsidR="008D4A03" w:rsidRPr="00DB07B2" w:rsidRDefault="005D2B9B" w:rsidP="00DD23DC">
      <w:pPr>
        <w:pStyle w:val="StandardWeb"/>
        <w:rPr>
          <w:rFonts w:eastAsia="Times New Roman"/>
          <w:lang w:val="en-US"/>
        </w:rPr>
      </w:pPr>
      <w:r>
        <w:rPr>
          <w:rFonts w:ascii="Calibri" w:hAnsi="Calibri"/>
          <w:noProof/>
          <w:lang w:val="en-US"/>
        </w:rPr>
        <w:object w:dxaOrig="17080" w:dyaOrig="2900" w14:anchorId="0A04B520">
          <v:shape id="_x0000_i1025" type="#_x0000_t75" alt="" style="width:699.45pt;height:118.3pt;mso-width-percent:0;mso-height-percent:0;mso-width-percent:0;mso-height-percent:0" o:ole="">
            <v:imagedata r:id="rId9" o:title=""/>
          </v:shape>
          <o:OLEObject Type="Embed" ProgID="Excel.Sheet.12" ShapeID="_x0000_i1025" DrawAspect="Content" ObjectID="_1637515922" r:id="rId10"/>
        </w:object>
      </w:r>
    </w:p>
    <w:p w14:paraId="17205892" w14:textId="58E07360" w:rsidR="00DD23DC" w:rsidRDefault="00DD23DC" w:rsidP="00DD23DC">
      <w:pPr>
        <w:rPr>
          <w:b/>
          <w:lang w:val="en-US"/>
        </w:rPr>
      </w:pPr>
    </w:p>
    <w:p w14:paraId="7A61AA6F" w14:textId="728656B0" w:rsidR="00471BC5" w:rsidRDefault="00471BC5">
      <w:pPr>
        <w:rPr>
          <w:b/>
          <w:lang w:val="en-US"/>
        </w:rPr>
      </w:pPr>
      <w:bookmarkStart w:id="0" w:name="_GoBack"/>
      <w:bookmarkEnd w:id="0"/>
    </w:p>
    <w:sectPr w:rsidR="00471BC5" w:rsidSect="00B34D99">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New Roman,Italic">
    <w:altName w:val="Times New Roman"/>
    <w:panose1 w:val="0000050000000009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99"/>
    <w:rsid w:val="00011C5B"/>
    <w:rsid w:val="00056D16"/>
    <w:rsid w:val="00080002"/>
    <w:rsid w:val="00081BD1"/>
    <w:rsid w:val="000966BC"/>
    <w:rsid w:val="000C3416"/>
    <w:rsid w:val="000E4713"/>
    <w:rsid w:val="000E599C"/>
    <w:rsid w:val="001003A5"/>
    <w:rsid w:val="0011558C"/>
    <w:rsid w:val="00117D58"/>
    <w:rsid w:val="00144DB2"/>
    <w:rsid w:val="00150F5E"/>
    <w:rsid w:val="001636D6"/>
    <w:rsid w:val="001B7582"/>
    <w:rsid w:val="001E0434"/>
    <w:rsid w:val="001F6122"/>
    <w:rsid w:val="0020502D"/>
    <w:rsid w:val="00226CD5"/>
    <w:rsid w:val="002348CA"/>
    <w:rsid w:val="00234DD9"/>
    <w:rsid w:val="002377DF"/>
    <w:rsid w:val="00237BA5"/>
    <w:rsid w:val="0024064F"/>
    <w:rsid w:val="00255774"/>
    <w:rsid w:val="002602D7"/>
    <w:rsid w:val="0026061E"/>
    <w:rsid w:val="00266D7C"/>
    <w:rsid w:val="0027254B"/>
    <w:rsid w:val="002812BE"/>
    <w:rsid w:val="00287767"/>
    <w:rsid w:val="002B19C9"/>
    <w:rsid w:val="002C00C6"/>
    <w:rsid w:val="00311041"/>
    <w:rsid w:val="003245AC"/>
    <w:rsid w:val="00334AC5"/>
    <w:rsid w:val="00395170"/>
    <w:rsid w:val="003D25B8"/>
    <w:rsid w:val="003E280F"/>
    <w:rsid w:val="00406D13"/>
    <w:rsid w:val="00430713"/>
    <w:rsid w:val="00436877"/>
    <w:rsid w:val="00450431"/>
    <w:rsid w:val="00454EBE"/>
    <w:rsid w:val="004656EF"/>
    <w:rsid w:val="00471BC5"/>
    <w:rsid w:val="004825FB"/>
    <w:rsid w:val="004850D8"/>
    <w:rsid w:val="004B053F"/>
    <w:rsid w:val="0050480C"/>
    <w:rsid w:val="00527EF0"/>
    <w:rsid w:val="00547AAF"/>
    <w:rsid w:val="0055330B"/>
    <w:rsid w:val="00560DD5"/>
    <w:rsid w:val="00562780"/>
    <w:rsid w:val="00567BAE"/>
    <w:rsid w:val="00595865"/>
    <w:rsid w:val="005A498F"/>
    <w:rsid w:val="005A7B93"/>
    <w:rsid w:val="005C5D4D"/>
    <w:rsid w:val="005C6994"/>
    <w:rsid w:val="005D2B9B"/>
    <w:rsid w:val="005D396B"/>
    <w:rsid w:val="005D62FB"/>
    <w:rsid w:val="006068AD"/>
    <w:rsid w:val="006134DD"/>
    <w:rsid w:val="00631235"/>
    <w:rsid w:val="00684FB5"/>
    <w:rsid w:val="00695F39"/>
    <w:rsid w:val="006B14F3"/>
    <w:rsid w:val="006E403D"/>
    <w:rsid w:val="00731073"/>
    <w:rsid w:val="00733E94"/>
    <w:rsid w:val="0075701C"/>
    <w:rsid w:val="00762EC0"/>
    <w:rsid w:val="0078603A"/>
    <w:rsid w:val="00792286"/>
    <w:rsid w:val="007936E8"/>
    <w:rsid w:val="007A2711"/>
    <w:rsid w:val="007B1082"/>
    <w:rsid w:val="00803D66"/>
    <w:rsid w:val="00810920"/>
    <w:rsid w:val="00855DF9"/>
    <w:rsid w:val="00865287"/>
    <w:rsid w:val="008D4A03"/>
    <w:rsid w:val="008E2688"/>
    <w:rsid w:val="008E3F3B"/>
    <w:rsid w:val="008F5337"/>
    <w:rsid w:val="008F58AF"/>
    <w:rsid w:val="0092197F"/>
    <w:rsid w:val="009220D3"/>
    <w:rsid w:val="0093465C"/>
    <w:rsid w:val="00954577"/>
    <w:rsid w:val="00955621"/>
    <w:rsid w:val="00974EB1"/>
    <w:rsid w:val="009864D6"/>
    <w:rsid w:val="00996789"/>
    <w:rsid w:val="009A4557"/>
    <w:rsid w:val="009C47DF"/>
    <w:rsid w:val="009C6382"/>
    <w:rsid w:val="009D2C61"/>
    <w:rsid w:val="009D4B2C"/>
    <w:rsid w:val="009D5728"/>
    <w:rsid w:val="00A149A8"/>
    <w:rsid w:val="00A16109"/>
    <w:rsid w:val="00A25EBC"/>
    <w:rsid w:val="00A2697F"/>
    <w:rsid w:val="00A469C3"/>
    <w:rsid w:val="00A54875"/>
    <w:rsid w:val="00AC7944"/>
    <w:rsid w:val="00AE6180"/>
    <w:rsid w:val="00B320FA"/>
    <w:rsid w:val="00B331A3"/>
    <w:rsid w:val="00B34D99"/>
    <w:rsid w:val="00B6278B"/>
    <w:rsid w:val="00B706AA"/>
    <w:rsid w:val="00B96D24"/>
    <w:rsid w:val="00BB1D15"/>
    <w:rsid w:val="00BC559B"/>
    <w:rsid w:val="00BE0558"/>
    <w:rsid w:val="00BE7EF4"/>
    <w:rsid w:val="00BF2024"/>
    <w:rsid w:val="00C00AF6"/>
    <w:rsid w:val="00C1724E"/>
    <w:rsid w:val="00C21F60"/>
    <w:rsid w:val="00C407A1"/>
    <w:rsid w:val="00C84D48"/>
    <w:rsid w:val="00CC1169"/>
    <w:rsid w:val="00CC697E"/>
    <w:rsid w:val="00CD255E"/>
    <w:rsid w:val="00CD5F4A"/>
    <w:rsid w:val="00CE2A29"/>
    <w:rsid w:val="00CF3AC5"/>
    <w:rsid w:val="00D0487F"/>
    <w:rsid w:val="00D222EB"/>
    <w:rsid w:val="00D50279"/>
    <w:rsid w:val="00D50A0F"/>
    <w:rsid w:val="00D54514"/>
    <w:rsid w:val="00D602A5"/>
    <w:rsid w:val="00D75886"/>
    <w:rsid w:val="00D80E0E"/>
    <w:rsid w:val="00DA2F36"/>
    <w:rsid w:val="00DB07B2"/>
    <w:rsid w:val="00DC0139"/>
    <w:rsid w:val="00DC18D2"/>
    <w:rsid w:val="00DD23DC"/>
    <w:rsid w:val="00DE6BC5"/>
    <w:rsid w:val="00DF2FFA"/>
    <w:rsid w:val="00E13764"/>
    <w:rsid w:val="00E13A51"/>
    <w:rsid w:val="00E30B52"/>
    <w:rsid w:val="00E30CCA"/>
    <w:rsid w:val="00E32EEB"/>
    <w:rsid w:val="00E450C1"/>
    <w:rsid w:val="00E5253B"/>
    <w:rsid w:val="00E6460E"/>
    <w:rsid w:val="00E85C7F"/>
    <w:rsid w:val="00EB704B"/>
    <w:rsid w:val="00F03EDE"/>
    <w:rsid w:val="00F3743B"/>
    <w:rsid w:val="00F4215F"/>
    <w:rsid w:val="00F44C0B"/>
    <w:rsid w:val="00F51DB2"/>
    <w:rsid w:val="00FA3ACA"/>
    <w:rsid w:val="00FA4760"/>
    <w:rsid w:val="00FD572E"/>
    <w:rsid w:val="00FE4DF4"/>
    <w:rsid w:val="00FE63D4"/>
    <w:rsid w:val="00FF5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EAF4"/>
  <w15:chartTrackingRefBased/>
  <w15:docId w15:val="{CB18B3ED-A813-0143-BB15-F6C2A51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71BC5"/>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F202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2239">
      <w:bodyDiv w:val="1"/>
      <w:marLeft w:val="0"/>
      <w:marRight w:val="0"/>
      <w:marTop w:val="0"/>
      <w:marBottom w:val="0"/>
      <w:divBdr>
        <w:top w:val="none" w:sz="0" w:space="0" w:color="auto"/>
        <w:left w:val="none" w:sz="0" w:space="0" w:color="auto"/>
        <w:bottom w:val="none" w:sz="0" w:space="0" w:color="auto"/>
        <w:right w:val="none" w:sz="0" w:space="0" w:color="auto"/>
      </w:divBdr>
    </w:div>
    <w:div w:id="327641250">
      <w:bodyDiv w:val="1"/>
      <w:marLeft w:val="0"/>
      <w:marRight w:val="0"/>
      <w:marTop w:val="0"/>
      <w:marBottom w:val="0"/>
      <w:divBdr>
        <w:top w:val="none" w:sz="0" w:space="0" w:color="auto"/>
        <w:left w:val="none" w:sz="0" w:space="0" w:color="auto"/>
        <w:bottom w:val="none" w:sz="0" w:space="0" w:color="auto"/>
        <w:right w:val="none" w:sz="0" w:space="0" w:color="auto"/>
      </w:divBdr>
    </w:div>
    <w:div w:id="785000757">
      <w:bodyDiv w:val="1"/>
      <w:marLeft w:val="0"/>
      <w:marRight w:val="0"/>
      <w:marTop w:val="0"/>
      <w:marBottom w:val="0"/>
      <w:divBdr>
        <w:top w:val="none" w:sz="0" w:space="0" w:color="auto"/>
        <w:left w:val="none" w:sz="0" w:space="0" w:color="auto"/>
        <w:bottom w:val="none" w:sz="0" w:space="0" w:color="auto"/>
        <w:right w:val="none" w:sz="0" w:space="0" w:color="auto"/>
      </w:divBdr>
    </w:div>
    <w:div w:id="835994791">
      <w:bodyDiv w:val="1"/>
      <w:marLeft w:val="0"/>
      <w:marRight w:val="0"/>
      <w:marTop w:val="0"/>
      <w:marBottom w:val="0"/>
      <w:divBdr>
        <w:top w:val="none" w:sz="0" w:space="0" w:color="auto"/>
        <w:left w:val="none" w:sz="0" w:space="0" w:color="auto"/>
        <w:bottom w:val="none" w:sz="0" w:space="0" w:color="auto"/>
        <w:right w:val="none" w:sz="0" w:space="0" w:color="auto"/>
      </w:divBdr>
    </w:div>
    <w:div w:id="934829695">
      <w:bodyDiv w:val="1"/>
      <w:marLeft w:val="0"/>
      <w:marRight w:val="0"/>
      <w:marTop w:val="0"/>
      <w:marBottom w:val="0"/>
      <w:divBdr>
        <w:top w:val="none" w:sz="0" w:space="0" w:color="auto"/>
        <w:left w:val="none" w:sz="0" w:space="0" w:color="auto"/>
        <w:bottom w:val="none" w:sz="0" w:space="0" w:color="auto"/>
        <w:right w:val="none" w:sz="0" w:space="0" w:color="auto"/>
      </w:divBdr>
      <w:divsChild>
        <w:div w:id="172108064">
          <w:marLeft w:val="0"/>
          <w:marRight w:val="0"/>
          <w:marTop w:val="0"/>
          <w:marBottom w:val="0"/>
          <w:divBdr>
            <w:top w:val="none" w:sz="0" w:space="0" w:color="auto"/>
            <w:left w:val="none" w:sz="0" w:space="0" w:color="auto"/>
            <w:bottom w:val="none" w:sz="0" w:space="0" w:color="auto"/>
            <w:right w:val="none" w:sz="0" w:space="0" w:color="auto"/>
          </w:divBdr>
          <w:divsChild>
            <w:div w:id="161356772">
              <w:marLeft w:val="0"/>
              <w:marRight w:val="0"/>
              <w:marTop w:val="0"/>
              <w:marBottom w:val="0"/>
              <w:divBdr>
                <w:top w:val="none" w:sz="0" w:space="0" w:color="auto"/>
                <w:left w:val="none" w:sz="0" w:space="0" w:color="auto"/>
                <w:bottom w:val="none" w:sz="0" w:space="0" w:color="auto"/>
                <w:right w:val="none" w:sz="0" w:space="0" w:color="auto"/>
              </w:divBdr>
              <w:divsChild>
                <w:div w:id="7352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2502">
      <w:bodyDiv w:val="1"/>
      <w:marLeft w:val="0"/>
      <w:marRight w:val="0"/>
      <w:marTop w:val="0"/>
      <w:marBottom w:val="0"/>
      <w:divBdr>
        <w:top w:val="none" w:sz="0" w:space="0" w:color="auto"/>
        <w:left w:val="none" w:sz="0" w:space="0" w:color="auto"/>
        <w:bottom w:val="none" w:sz="0" w:space="0" w:color="auto"/>
        <w:right w:val="none" w:sz="0" w:space="0" w:color="auto"/>
      </w:divBdr>
    </w:div>
    <w:div w:id="1220244970">
      <w:bodyDiv w:val="1"/>
      <w:marLeft w:val="0"/>
      <w:marRight w:val="0"/>
      <w:marTop w:val="0"/>
      <w:marBottom w:val="0"/>
      <w:divBdr>
        <w:top w:val="none" w:sz="0" w:space="0" w:color="auto"/>
        <w:left w:val="none" w:sz="0" w:space="0" w:color="auto"/>
        <w:bottom w:val="none" w:sz="0" w:space="0" w:color="auto"/>
        <w:right w:val="none" w:sz="0" w:space="0" w:color="auto"/>
      </w:divBdr>
    </w:div>
    <w:div w:id="1315722186">
      <w:bodyDiv w:val="1"/>
      <w:marLeft w:val="0"/>
      <w:marRight w:val="0"/>
      <w:marTop w:val="0"/>
      <w:marBottom w:val="0"/>
      <w:divBdr>
        <w:top w:val="none" w:sz="0" w:space="0" w:color="auto"/>
        <w:left w:val="none" w:sz="0" w:space="0" w:color="auto"/>
        <w:bottom w:val="none" w:sz="0" w:space="0" w:color="auto"/>
        <w:right w:val="none" w:sz="0" w:space="0" w:color="auto"/>
      </w:divBdr>
    </w:div>
    <w:div w:id="1654986164">
      <w:bodyDiv w:val="1"/>
      <w:marLeft w:val="0"/>
      <w:marRight w:val="0"/>
      <w:marTop w:val="0"/>
      <w:marBottom w:val="0"/>
      <w:divBdr>
        <w:top w:val="none" w:sz="0" w:space="0" w:color="auto"/>
        <w:left w:val="none" w:sz="0" w:space="0" w:color="auto"/>
        <w:bottom w:val="none" w:sz="0" w:space="0" w:color="auto"/>
        <w:right w:val="none" w:sz="0" w:space="0" w:color="auto"/>
      </w:divBdr>
    </w:div>
    <w:div w:id="1800563240">
      <w:bodyDiv w:val="1"/>
      <w:marLeft w:val="0"/>
      <w:marRight w:val="0"/>
      <w:marTop w:val="0"/>
      <w:marBottom w:val="0"/>
      <w:divBdr>
        <w:top w:val="none" w:sz="0" w:space="0" w:color="auto"/>
        <w:left w:val="none" w:sz="0" w:space="0" w:color="auto"/>
        <w:bottom w:val="none" w:sz="0" w:space="0" w:color="auto"/>
        <w:right w:val="none" w:sz="0" w:space="0" w:color="auto"/>
      </w:divBdr>
    </w:div>
    <w:div w:id="1802461934">
      <w:bodyDiv w:val="1"/>
      <w:marLeft w:val="0"/>
      <w:marRight w:val="0"/>
      <w:marTop w:val="0"/>
      <w:marBottom w:val="0"/>
      <w:divBdr>
        <w:top w:val="none" w:sz="0" w:space="0" w:color="auto"/>
        <w:left w:val="none" w:sz="0" w:space="0" w:color="auto"/>
        <w:bottom w:val="none" w:sz="0" w:space="0" w:color="auto"/>
        <w:right w:val="none" w:sz="0" w:space="0" w:color="auto"/>
      </w:divBdr>
      <w:divsChild>
        <w:div w:id="2039428189">
          <w:marLeft w:val="0"/>
          <w:marRight w:val="0"/>
          <w:marTop w:val="0"/>
          <w:marBottom w:val="0"/>
          <w:divBdr>
            <w:top w:val="none" w:sz="0" w:space="0" w:color="auto"/>
            <w:left w:val="none" w:sz="0" w:space="0" w:color="auto"/>
            <w:bottom w:val="none" w:sz="0" w:space="0" w:color="auto"/>
            <w:right w:val="none" w:sz="0" w:space="0" w:color="auto"/>
          </w:divBdr>
          <w:divsChild>
            <w:div w:id="1706522692">
              <w:marLeft w:val="0"/>
              <w:marRight w:val="0"/>
              <w:marTop w:val="0"/>
              <w:marBottom w:val="0"/>
              <w:divBdr>
                <w:top w:val="none" w:sz="0" w:space="0" w:color="auto"/>
                <w:left w:val="none" w:sz="0" w:space="0" w:color="auto"/>
                <w:bottom w:val="none" w:sz="0" w:space="0" w:color="auto"/>
                <w:right w:val="none" w:sz="0" w:space="0" w:color="auto"/>
              </w:divBdr>
              <w:divsChild>
                <w:div w:id="1764447744">
                  <w:marLeft w:val="0"/>
                  <w:marRight w:val="0"/>
                  <w:marTop w:val="0"/>
                  <w:marBottom w:val="0"/>
                  <w:divBdr>
                    <w:top w:val="none" w:sz="0" w:space="0" w:color="auto"/>
                    <w:left w:val="none" w:sz="0" w:space="0" w:color="auto"/>
                    <w:bottom w:val="none" w:sz="0" w:space="0" w:color="auto"/>
                    <w:right w:val="none" w:sz="0" w:space="0" w:color="auto"/>
                  </w:divBdr>
                  <w:divsChild>
                    <w:div w:id="2742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4716">
      <w:bodyDiv w:val="1"/>
      <w:marLeft w:val="0"/>
      <w:marRight w:val="0"/>
      <w:marTop w:val="0"/>
      <w:marBottom w:val="0"/>
      <w:divBdr>
        <w:top w:val="none" w:sz="0" w:space="0" w:color="auto"/>
        <w:left w:val="none" w:sz="0" w:space="0" w:color="auto"/>
        <w:bottom w:val="none" w:sz="0" w:space="0" w:color="auto"/>
        <w:right w:val="none" w:sz="0" w:space="0" w:color="auto"/>
      </w:divBdr>
    </w:div>
    <w:div w:id="2140805220">
      <w:bodyDiv w:val="1"/>
      <w:marLeft w:val="0"/>
      <w:marRight w:val="0"/>
      <w:marTop w:val="0"/>
      <w:marBottom w:val="0"/>
      <w:divBdr>
        <w:top w:val="none" w:sz="0" w:space="0" w:color="auto"/>
        <w:left w:val="none" w:sz="0" w:space="0" w:color="auto"/>
        <w:bottom w:val="none" w:sz="0" w:space="0" w:color="auto"/>
        <w:right w:val="none" w:sz="0" w:space="0" w:color="auto"/>
      </w:divBdr>
      <w:divsChild>
        <w:div w:id="107504750">
          <w:marLeft w:val="0"/>
          <w:marRight w:val="0"/>
          <w:marTop w:val="0"/>
          <w:marBottom w:val="0"/>
          <w:divBdr>
            <w:top w:val="none" w:sz="0" w:space="0" w:color="auto"/>
            <w:left w:val="none" w:sz="0" w:space="0" w:color="auto"/>
            <w:bottom w:val="none" w:sz="0" w:space="0" w:color="auto"/>
            <w:right w:val="none" w:sz="0" w:space="0" w:color="auto"/>
          </w:divBdr>
          <w:divsChild>
            <w:div w:id="728193677">
              <w:marLeft w:val="0"/>
              <w:marRight w:val="0"/>
              <w:marTop w:val="0"/>
              <w:marBottom w:val="0"/>
              <w:divBdr>
                <w:top w:val="none" w:sz="0" w:space="0" w:color="auto"/>
                <w:left w:val="none" w:sz="0" w:space="0" w:color="auto"/>
                <w:bottom w:val="none" w:sz="0" w:space="0" w:color="auto"/>
                <w:right w:val="none" w:sz="0" w:space="0" w:color="auto"/>
              </w:divBdr>
              <w:divsChild>
                <w:div w:id="1202135577">
                  <w:marLeft w:val="0"/>
                  <w:marRight w:val="0"/>
                  <w:marTop w:val="0"/>
                  <w:marBottom w:val="0"/>
                  <w:divBdr>
                    <w:top w:val="none" w:sz="0" w:space="0" w:color="auto"/>
                    <w:left w:val="none" w:sz="0" w:space="0" w:color="auto"/>
                    <w:bottom w:val="none" w:sz="0" w:space="0" w:color="auto"/>
                    <w:right w:val="none" w:sz="0" w:space="0" w:color="auto"/>
                  </w:divBdr>
                  <w:divsChild>
                    <w:div w:id="10402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package" Target="embeddings/Microsoft_Excel-Arbeitsblatt1.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package" Target="embeddings/Microsoft_Excel-Arbeitsblatt.xlsx"/><Relationship Id="rId10" Type="http://schemas.openxmlformats.org/officeDocument/2006/relationships/package" Target="embeddings/Microsoft_Excel-Arbeitsblatt2.xlsx"/><Relationship Id="rId4" Type="http://schemas.openxmlformats.org/officeDocument/2006/relationships/image" Target="media/image1.emf"/><Relationship Id="rId9"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2415</Characters>
  <Application>Microsoft Office Word</Application>
  <DocSecurity>0</DocSecurity>
  <Lines>134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Yvonne Brehmer</cp:lastModifiedBy>
  <cp:revision>7</cp:revision>
  <dcterms:created xsi:type="dcterms:W3CDTF">2019-12-09T12:13:00Z</dcterms:created>
  <dcterms:modified xsi:type="dcterms:W3CDTF">2019-12-10T19:41:00Z</dcterms:modified>
</cp:coreProperties>
</file>