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5C17C0" w14:textId="634DF125" w:rsidR="00FA585B" w:rsidRPr="00803ACB" w:rsidRDefault="00286BF6" w:rsidP="00286BF6">
      <w:pPr>
        <w:pStyle w:val="Textkrper"/>
        <w:spacing w:line="240" w:lineRule="auto"/>
        <w:rPr>
          <w:lang w:val="en-GB"/>
        </w:rPr>
      </w:pPr>
      <w:bookmarkStart w:id="0" w:name="_GoBack"/>
      <w:bookmarkEnd w:id="0"/>
      <w:r w:rsidRPr="00803ACB">
        <w:rPr>
          <w:lang w:val="en-GB"/>
        </w:rPr>
        <w:t xml:space="preserve">Siderophile and chalcophile elements in spinels, sulphides and </w:t>
      </w:r>
      <w:r w:rsidR="00851440">
        <w:rPr>
          <w:lang w:val="en-GB"/>
        </w:rPr>
        <w:t xml:space="preserve">native </w:t>
      </w:r>
      <w:r w:rsidRPr="00803ACB">
        <w:rPr>
          <w:lang w:val="en-GB"/>
        </w:rPr>
        <w:t>Ni in strongly metasomatised xenoliths from</w:t>
      </w:r>
      <w:r w:rsidR="00BD5812" w:rsidRPr="00803ACB">
        <w:rPr>
          <w:lang w:val="en-GB"/>
        </w:rPr>
        <w:t xml:space="preserve"> the</w:t>
      </w:r>
      <w:r w:rsidRPr="00803ACB">
        <w:rPr>
          <w:lang w:val="en-GB"/>
        </w:rPr>
        <w:t xml:space="preserve"> Bultfontein </w:t>
      </w:r>
      <w:r w:rsidR="00BD5812" w:rsidRPr="00803ACB">
        <w:rPr>
          <w:lang w:val="en-GB"/>
        </w:rPr>
        <w:t xml:space="preserve">kimberlite </w:t>
      </w:r>
      <w:r w:rsidRPr="00803ACB">
        <w:rPr>
          <w:lang w:val="en-GB"/>
        </w:rPr>
        <w:t>(South Africa)</w:t>
      </w:r>
    </w:p>
    <w:p w14:paraId="3AAF2C0E" w14:textId="77777777" w:rsidR="009162E1" w:rsidRPr="00803ACB" w:rsidRDefault="009162E1" w:rsidP="00EA1E00">
      <w:pPr>
        <w:spacing w:line="240" w:lineRule="auto"/>
        <w:jc w:val="center"/>
        <w:rPr>
          <w:rFonts w:cs="Times New Roman"/>
          <w:color w:val="000000" w:themeColor="text1"/>
        </w:rPr>
      </w:pPr>
    </w:p>
    <w:p w14:paraId="4FE530D2" w14:textId="6FC55F53" w:rsidR="009C581F" w:rsidRPr="00803ACB" w:rsidRDefault="009C581F" w:rsidP="00EA1E00">
      <w:pPr>
        <w:spacing w:line="240" w:lineRule="auto"/>
        <w:jc w:val="center"/>
        <w:rPr>
          <w:rFonts w:cs="Times New Roman"/>
          <w:color w:val="000000" w:themeColor="text1"/>
        </w:rPr>
      </w:pPr>
      <w:r w:rsidRPr="00803ACB">
        <w:rPr>
          <w:rFonts w:cs="Times New Roman"/>
          <w:color w:val="000000" w:themeColor="text1"/>
        </w:rPr>
        <w:t xml:space="preserve">Sonja Aulbach, Andrea Giuliani, Marco L. Fiorentini, Raphael Baumgartner, Dany Savard, Vadim S. Kamenetsky, </w:t>
      </w:r>
      <w:r w:rsidR="004E1449" w:rsidRPr="00803ACB">
        <w:rPr>
          <w:rFonts w:cs="Times New Roman"/>
          <w:color w:val="000000" w:themeColor="text1"/>
        </w:rPr>
        <w:t xml:space="preserve">Stefano Caruso, </w:t>
      </w:r>
      <w:r w:rsidRPr="00803ACB">
        <w:rPr>
          <w:rFonts w:cs="Times New Roman"/>
          <w:color w:val="000000" w:themeColor="text1"/>
        </w:rPr>
        <w:t>Leonid V. Danyushevky, Will Powell</w:t>
      </w:r>
      <w:r w:rsidRPr="00803ACB">
        <w:rPr>
          <w:rFonts w:cs="Times New Roman"/>
          <w:color w:val="000000" w:themeColor="text1"/>
          <w:vertAlign w:val="superscript"/>
        </w:rPr>
        <w:t>8</w:t>
      </w:r>
      <w:r w:rsidRPr="00803ACB">
        <w:rPr>
          <w:rFonts w:cs="Times New Roman"/>
          <w:color w:val="000000" w:themeColor="text1"/>
        </w:rPr>
        <w:t>, William L. Griffin</w:t>
      </w:r>
    </w:p>
    <w:p w14:paraId="3E183AF1" w14:textId="77777777" w:rsidR="00A80AA9" w:rsidRPr="00803ACB" w:rsidRDefault="00A80AA9" w:rsidP="00803ACB">
      <w:pPr>
        <w:pStyle w:val="berschrift3"/>
      </w:pPr>
    </w:p>
    <w:p w14:paraId="029C2B34" w14:textId="14CDE409" w:rsidR="00157A21" w:rsidRPr="00803ACB" w:rsidRDefault="00B712A4" w:rsidP="00B712A4">
      <w:pPr>
        <w:pStyle w:val="berschrift3"/>
        <w:jc w:val="center"/>
      </w:pPr>
      <w:r w:rsidRPr="00803ACB">
        <w:t xml:space="preserve">Appendix 1: </w:t>
      </w:r>
      <w:r w:rsidR="00C73307" w:rsidRPr="00803ACB">
        <w:t>Prior work, m</w:t>
      </w:r>
      <w:r w:rsidRPr="00803ACB">
        <w:t>ethods and challenges</w:t>
      </w:r>
    </w:p>
    <w:p w14:paraId="7C44792B" w14:textId="77777777" w:rsidR="00A80AA9" w:rsidRPr="00803ACB" w:rsidRDefault="00A80AA9" w:rsidP="00A33081">
      <w:pPr>
        <w:rPr>
          <w:b/>
          <w:i/>
        </w:rPr>
      </w:pPr>
    </w:p>
    <w:p w14:paraId="3B03FC3A" w14:textId="446CBF38" w:rsidR="00C73307" w:rsidRPr="00803ACB" w:rsidRDefault="00C73307" w:rsidP="009A22A4">
      <w:pPr>
        <w:pStyle w:val="berschrift1"/>
      </w:pPr>
      <w:r w:rsidRPr="00803ACB">
        <w:t>1. Prior work</w:t>
      </w:r>
    </w:p>
    <w:p w14:paraId="22F003BB" w14:textId="0B3E3697" w:rsidR="00C73307" w:rsidRPr="00803ACB" w:rsidRDefault="00C73307" w:rsidP="009A22A4">
      <w:pPr>
        <w:pStyle w:val="berschrift2"/>
      </w:pPr>
      <w:r w:rsidRPr="00803ACB">
        <w:t>1.1 Nickel-</w:t>
      </w:r>
      <w:r w:rsidR="00803ACB">
        <w:t>enriched</w:t>
      </w:r>
      <w:r w:rsidRPr="00803ACB">
        <w:t xml:space="preserve"> spinel harzburgite (Ni-harzburgite)</w:t>
      </w:r>
    </w:p>
    <w:p w14:paraId="6CCBDB6C" w14:textId="40291319" w:rsidR="00C73307" w:rsidRPr="00803ACB" w:rsidRDefault="00C73307" w:rsidP="00C73307">
      <w:pPr>
        <w:rPr>
          <w:rFonts w:cs="Times New Roman"/>
        </w:rPr>
      </w:pPr>
      <w:r w:rsidRPr="00803ACB">
        <w:rPr>
          <w:rFonts w:cs="Times New Roman"/>
          <w:color w:val="000000" w:themeColor="text1"/>
        </w:rPr>
        <w:t>Sample XM1/422</w:t>
      </w:r>
      <w:r w:rsidR="00296450" w:rsidRPr="00803ACB">
        <w:rPr>
          <w:rFonts w:cs="Times New Roman"/>
          <w:color w:val="000000" w:themeColor="text1"/>
        </w:rPr>
        <w:t>,</w:t>
      </w:r>
      <w:r w:rsidRPr="00803ACB">
        <w:rPr>
          <w:rFonts w:cs="Times New Roman"/>
          <w:color w:val="000000" w:themeColor="text1"/>
        </w:rPr>
        <w:t xml:space="preserve"> a coarse-</w:t>
      </w:r>
      <w:r w:rsidRPr="00803ACB">
        <w:rPr>
          <w:rFonts w:cs="Times New Roman"/>
        </w:rPr>
        <w:t>grained, granular, spinel harzburgite</w:t>
      </w:r>
      <w:r w:rsidR="00296450" w:rsidRPr="00803ACB">
        <w:rPr>
          <w:rFonts w:cs="Times New Roman"/>
        </w:rPr>
        <w:t>,</w:t>
      </w:r>
      <w:r w:rsidRPr="00803ACB">
        <w:rPr>
          <w:rFonts w:cs="Times New Roman"/>
        </w:rPr>
        <w:t xml:space="preserve"> </w:t>
      </w:r>
      <w:r w:rsidR="00296450" w:rsidRPr="00803ACB">
        <w:rPr>
          <w:rFonts w:cs="Times New Roman"/>
        </w:rPr>
        <w:t xml:space="preserve">contains </w:t>
      </w:r>
      <w:r w:rsidRPr="00803ACB">
        <w:rPr>
          <w:rFonts w:cs="Times New Roman"/>
        </w:rPr>
        <w:t xml:space="preserve">symplectites </w:t>
      </w:r>
      <w:r w:rsidR="00296450" w:rsidRPr="00803ACB">
        <w:rPr>
          <w:rFonts w:cs="Times New Roman"/>
        </w:rPr>
        <w:t>(</w:t>
      </w:r>
      <w:r w:rsidRPr="00803ACB">
        <w:rPr>
          <w:rFonts w:cs="Times New Roman"/>
        </w:rPr>
        <w:t>spinel + clinopyroxene + orthopyroxene</w:t>
      </w:r>
      <w:r w:rsidR="00296450" w:rsidRPr="00803ACB">
        <w:rPr>
          <w:rFonts w:cs="Times New Roman"/>
        </w:rPr>
        <w:t>)</w:t>
      </w:r>
      <w:r w:rsidRPr="00803ACB">
        <w:rPr>
          <w:rFonts w:cs="Times New Roman"/>
        </w:rPr>
        <w:t xml:space="preserve">, </w:t>
      </w:r>
      <w:r w:rsidR="00296450" w:rsidRPr="00803ACB">
        <w:rPr>
          <w:rFonts w:cs="Times New Roman"/>
        </w:rPr>
        <w:t>in part</w:t>
      </w:r>
      <w:r w:rsidRPr="00803ACB">
        <w:rPr>
          <w:rFonts w:cs="Times New Roman"/>
        </w:rPr>
        <w:t xml:space="preserve"> overprinted by Ni-rich phases (Fig. 2A,D; Giuliani et al., 2013a). The mineralisation was probably produced by a Ni-rich, alkali and Cl-bearing </w:t>
      </w:r>
      <w:r w:rsidR="00296450" w:rsidRPr="00803ACB">
        <w:rPr>
          <w:rFonts w:cs="Times New Roman"/>
        </w:rPr>
        <w:t>C-O-H flu</w:t>
      </w:r>
      <w:r w:rsidR="00803ACB">
        <w:rPr>
          <w:rFonts w:cs="Times New Roman"/>
        </w:rPr>
        <w:t>id or carbonate melt</w:t>
      </w:r>
      <w:r w:rsidR="00BC671F" w:rsidRPr="00803ACB">
        <w:rPr>
          <w:rFonts w:cs="Times New Roman"/>
        </w:rPr>
        <w:t xml:space="preserve"> </w:t>
      </w:r>
      <w:r w:rsidRPr="00803ACB">
        <w:rPr>
          <w:rFonts w:cs="Times New Roman"/>
        </w:rPr>
        <w:t xml:space="preserve">in the shallow mantle (T ~ 700°C; P = 2.6-2.8 GPa; </w:t>
      </w:r>
      <w:r w:rsidRPr="00803ACB">
        <w:rPr>
          <w:rFonts w:cs="Times New Roman"/>
          <w:color w:val="0000FF"/>
        </w:rPr>
        <w:t>Table 1</w:t>
      </w:r>
      <w:r w:rsidRPr="00803ACB">
        <w:rPr>
          <w:rFonts w:cs="Times New Roman"/>
        </w:rPr>
        <w:t>) (Giuliani et al., 2013a). This metasomatic episode was temporally related to kimberlite magmatism in the Kimberley area based on modelling of Ni</w:t>
      </w:r>
      <w:r w:rsidR="00803ACB">
        <w:rPr>
          <w:rFonts w:cs="Times New Roman"/>
        </w:rPr>
        <w:t xml:space="preserve"> diffusion</w:t>
      </w:r>
      <w:r w:rsidRPr="00803ACB">
        <w:rPr>
          <w:rFonts w:cs="Times New Roman"/>
        </w:rPr>
        <w:t xml:space="preserve"> into porphyroblastic olivine adjacent to </w:t>
      </w:r>
      <w:r w:rsidR="00851440">
        <w:rPr>
          <w:rFonts w:cs="Times New Roman"/>
        </w:rPr>
        <w:t xml:space="preserve">native </w:t>
      </w:r>
      <w:r w:rsidRPr="00803ACB">
        <w:rPr>
          <w:rFonts w:cs="Times New Roman"/>
        </w:rPr>
        <w:t>Ni and heazlewoodite grains (t ≤ 2 Myr; Giuliani et al., 2013a). The origin of th</w:t>
      </w:r>
      <w:r w:rsidR="00803ACB">
        <w:rPr>
          <w:rFonts w:cs="Times New Roman"/>
        </w:rPr>
        <w:t xml:space="preserve">e fluid is unclear; however, </w:t>
      </w:r>
      <w:r w:rsidRPr="00803ACB">
        <w:rPr>
          <w:rFonts w:cs="Times New Roman"/>
        </w:rPr>
        <w:t>Ni and other metals were at least partly sourced from an external source (Giuliani et al., 2013a).</w:t>
      </w:r>
      <w:r w:rsidR="008B379C">
        <w:rPr>
          <w:rFonts w:cs="Times New Roman"/>
        </w:rPr>
        <w:t xml:space="preserve"> Prior whole-rock analysis</w:t>
      </w:r>
      <w:r w:rsidR="00007125">
        <w:rPr>
          <w:rFonts w:cs="Times New Roman"/>
        </w:rPr>
        <w:t xml:space="preserve"> (Holwell et al., 2019)</w:t>
      </w:r>
      <w:r w:rsidR="008B379C">
        <w:rPr>
          <w:rFonts w:cs="Times New Roman"/>
        </w:rPr>
        <w:t xml:space="preserve"> reveals </w:t>
      </w:r>
      <w:r w:rsidR="00007125">
        <w:rPr>
          <w:rFonts w:cs="Times New Roman"/>
        </w:rPr>
        <w:t>Ir</w:t>
      </w:r>
      <w:r w:rsidR="008B379C">
        <w:rPr>
          <w:rFonts w:cs="Times New Roman"/>
        </w:rPr>
        <w:t xml:space="preserve"> and </w:t>
      </w:r>
      <w:r w:rsidR="00007125">
        <w:rPr>
          <w:rFonts w:cs="Times New Roman"/>
        </w:rPr>
        <w:t>Ru</w:t>
      </w:r>
      <w:r w:rsidR="008B379C">
        <w:rPr>
          <w:rFonts w:cs="Times New Roman"/>
        </w:rPr>
        <w:t xml:space="preserve"> abundances close to</w:t>
      </w:r>
      <w:r w:rsidR="00007125">
        <w:rPr>
          <w:rFonts w:cs="Times New Roman"/>
        </w:rPr>
        <w:t xml:space="preserve"> Primitive Mantle (PM)</w:t>
      </w:r>
      <w:r w:rsidR="008B379C">
        <w:rPr>
          <w:rFonts w:cs="Times New Roman"/>
        </w:rPr>
        <w:t>, and steadily decreasing PGE abundances to Pd</w:t>
      </w:r>
      <w:r w:rsidR="00007125">
        <w:rPr>
          <w:rFonts w:cs="Times New Roman"/>
        </w:rPr>
        <w:t>,</w:t>
      </w:r>
      <w:r w:rsidR="008B379C">
        <w:rPr>
          <w:rFonts w:cs="Times New Roman"/>
        </w:rPr>
        <w:t xml:space="preserve"> with supra-PUM</w:t>
      </w:r>
      <w:r w:rsidR="00007125">
        <w:rPr>
          <w:rFonts w:cs="Times New Roman"/>
        </w:rPr>
        <w:t xml:space="preserve"> Au/Pd (</w:t>
      </w:r>
      <w:r w:rsidR="00007125" w:rsidRPr="00CD35BB">
        <w:rPr>
          <w:rFonts w:cs="Times New Roman"/>
          <w:color w:val="0000FF"/>
        </w:rPr>
        <w:t>Fig. 7A</w:t>
      </w:r>
      <w:r w:rsidR="00007125">
        <w:rPr>
          <w:rFonts w:cs="Times New Roman"/>
        </w:rPr>
        <w:t>).</w:t>
      </w:r>
      <w:r w:rsidR="0031294A">
        <w:rPr>
          <w:rFonts w:cs="Times New Roman"/>
        </w:rPr>
        <w:t xml:space="preserve"> Relative to PM, Mo is ~100x enriched, Bi and As are weakly enriched (2-3x)</w:t>
      </w:r>
      <w:r w:rsidR="00FF0E0E">
        <w:rPr>
          <w:rFonts w:cs="Times New Roman"/>
        </w:rPr>
        <w:t>, and Te, Ag and Zn are weakly depleted (&lt;10x).</w:t>
      </w:r>
    </w:p>
    <w:p w14:paraId="187E8252" w14:textId="7699714D" w:rsidR="00C73307" w:rsidRPr="00803ACB" w:rsidRDefault="00C73307" w:rsidP="009A22A4">
      <w:pPr>
        <w:pStyle w:val="berschrift2"/>
      </w:pPr>
      <w:r w:rsidRPr="00803ACB">
        <w:t>1.2 Phlogopite-rich spinel peridotites (phl-peridotites)</w:t>
      </w:r>
    </w:p>
    <w:p w14:paraId="485A4354" w14:textId="340DFBE7" w:rsidR="00C73307" w:rsidRPr="00803ACB" w:rsidRDefault="00C73307" w:rsidP="00C73307">
      <w:pPr>
        <w:rPr>
          <w:rFonts w:cs="Times New Roman"/>
        </w:rPr>
      </w:pPr>
      <w:r w:rsidRPr="00803ACB">
        <w:rPr>
          <w:rFonts w:cs="Times New Roman"/>
        </w:rPr>
        <w:lastRenderedPageBreak/>
        <w:t xml:space="preserve">Xenolith sample XM1/142 is a coarse-grained, granular, spinel harzburgite, which includes abundant phlogopite, minor clinopyroxene, and rare K-richterite and pentlandite. </w:t>
      </w:r>
    </w:p>
    <w:p w14:paraId="57EA86C1" w14:textId="490B1B84" w:rsidR="00C73307" w:rsidRPr="00803ACB" w:rsidRDefault="00C73307" w:rsidP="00C73307">
      <w:pPr>
        <w:rPr>
          <w:rFonts w:cs="Times New Roman"/>
        </w:rPr>
      </w:pPr>
      <w:r w:rsidRPr="00803ACB">
        <w:rPr>
          <w:rFonts w:cs="Times New Roman"/>
        </w:rPr>
        <w:t>Sample XM1/341 is a moderately coarse-grained, phlogopite-rich spinel lherzolite where phlogopite, clinopyroxene, LIMA and minor pentlandite are in close textural association (Giuliani et al., 2014b, 2016a, 2018). In sample XM1/345, cm-thick, coarse-grained veins of phlogopite with lesser ilmenite, LIMA, clinopyroxene and sulphide occur in a coarse-grained, spinel harzburgite matrix (Giuliani et al., 2014b, 2018). These phlogopite-rich peridotite samples derive from similar depths (~3.0-3.8 GPa; Table 1)</w:t>
      </w:r>
      <w:r w:rsidR="009C2E04">
        <w:rPr>
          <w:rFonts w:cs="Times New Roman"/>
        </w:rPr>
        <w:t>,</w:t>
      </w:r>
      <w:r w:rsidRPr="00803ACB">
        <w:rPr>
          <w:rFonts w:cs="Times New Roman"/>
        </w:rPr>
        <w:t xml:space="preserve"> where phlogopite metasomatism</w:t>
      </w:r>
      <w:r w:rsidR="009C2E04">
        <w:rPr>
          <w:rFonts w:cs="Times New Roman"/>
        </w:rPr>
        <w:t xml:space="preserve"> beneath Kimberley</w:t>
      </w:r>
      <w:r w:rsidRPr="00803ACB">
        <w:rPr>
          <w:rFonts w:cs="Times New Roman"/>
        </w:rPr>
        <w:t xml:space="preserve"> is most intense (Waters and Erlank, 1988; Fitzpayne et al., </w:t>
      </w:r>
      <w:r w:rsidR="00500CAE">
        <w:rPr>
          <w:rFonts w:cs="Times New Roman"/>
          <w:color w:val="FF0000"/>
        </w:rPr>
        <w:t>2020</w:t>
      </w:r>
      <w:r w:rsidRPr="00803ACB">
        <w:rPr>
          <w:rFonts w:cs="Times New Roman"/>
        </w:rPr>
        <w:t xml:space="preserve">). Previous </w:t>
      </w:r>
      <w:r w:rsidRPr="00803ACB">
        <w:rPr>
          <w:rFonts w:cs="Times New Roman"/>
          <w:i/>
          <w:iCs/>
        </w:rPr>
        <w:t>in-situ</w:t>
      </w:r>
      <w:r w:rsidRPr="00803ACB">
        <w:rPr>
          <w:rFonts w:cs="Times New Roman"/>
        </w:rPr>
        <w:t xml:space="preserve"> S isotope analyses of pentlandite revealed similar </w:t>
      </w:r>
      <w:r w:rsidRPr="00803ACB">
        <w:rPr>
          <w:rFonts w:ascii="Symbol" w:hAnsi="Symbol" w:cs="Times New Roman"/>
        </w:rPr>
        <w:t></w:t>
      </w:r>
      <w:r w:rsidRPr="00803ACB">
        <w:rPr>
          <w:rFonts w:cs="Times New Roman"/>
          <w:vertAlign w:val="superscript"/>
        </w:rPr>
        <w:t>34</w:t>
      </w:r>
      <w:r w:rsidRPr="00803ACB">
        <w:rPr>
          <w:rFonts w:cs="Times New Roman"/>
        </w:rPr>
        <w:t>S values of between -2‰ and -6‰, which suggest contribution by recycled sedimentary components (Giuliani et al., 2016a). A role for subducted recycled material in the source of these metasomatic agents is confirmed by N and O isotope analyses of phlogopite, clinopyroxene and other phases in these xenoliths (Fitzpayne et al., 2019a). U/Pb dating of LIMA minerals in sa</w:t>
      </w:r>
      <w:r w:rsidR="00965137">
        <w:rPr>
          <w:rFonts w:cs="Times New Roman"/>
        </w:rPr>
        <w:t>mples XM1/341 and XM1/345 shows</w:t>
      </w:r>
      <w:r w:rsidRPr="00803ACB">
        <w:rPr>
          <w:rFonts w:cs="Times New Roman"/>
        </w:rPr>
        <w:t xml:space="preserve"> that metasomatism of these samples by Ti-rich silicate melts was broadly coeval with formation of the Karoo large igneous province at ~180-185 Ma (Giuliani</w:t>
      </w:r>
      <w:r w:rsidR="00965137">
        <w:rPr>
          <w:rFonts w:cs="Times New Roman"/>
        </w:rPr>
        <w:t xml:space="preserve"> et al., 2014b). Combined trace-</w:t>
      </w:r>
      <w:r w:rsidRPr="00803ACB">
        <w:rPr>
          <w:rFonts w:cs="Times New Roman"/>
        </w:rPr>
        <w:t xml:space="preserve">element and </w:t>
      </w:r>
      <w:r w:rsidRPr="00803ACB">
        <w:rPr>
          <w:rFonts w:cs="Times New Roman"/>
          <w:i/>
          <w:iCs/>
        </w:rPr>
        <w:t>in-situ</w:t>
      </w:r>
      <w:r w:rsidRPr="00803ACB">
        <w:rPr>
          <w:rFonts w:cs="Times New Roman"/>
        </w:rPr>
        <w:t xml:space="preserve"> Sr isotope analyses of</w:t>
      </w:r>
      <w:r w:rsidR="00965137">
        <w:rPr>
          <w:rFonts w:cs="Times New Roman"/>
        </w:rPr>
        <w:t xml:space="preserve"> LIMA minerals further indicate</w:t>
      </w:r>
      <w:r w:rsidRPr="00803ACB">
        <w:rPr>
          <w:rFonts w:cs="Times New Roman"/>
        </w:rPr>
        <w:t xml:space="preserve"> that metasomatism was mediated by multiple melts with variable geochemical and isotopic composition (Giuliani et al., 2018). Conversely, U/Pb dating of zircon from a MARID-like off-cut of sample XM1/142 returned an age of ~82-83 Ma (Konzett et al., 2000), which is similar to the ~88 Ma emplacement age of the Bultfontein kimberlite (Fitzpyane et al., </w:t>
      </w:r>
      <w:r w:rsidR="00500CAE">
        <w:rPr>
          <w:rFonts w:cs="Times New Roman"/>
          <w:color w:val="FF0000"/>
        </w:rPr>
        <w:t>2020</w:t>
      </w:r>
      <w:r w:rsidRPr="00803ACB">
        <w:rPr>
          <w:rFonts w:cs="Times New Roman"/>
        </w:rPr>
        <w:t xml:space="preserve">). Whether this age is due to resetting of the U/Pb chronometer at the time of kimberlite magmatism or </w:t>
      </w:r>
      <w:r w:rsidRPr="00803ACB">
        <w:rPr>
          <w:rFonts w:cs="Times New Roman"/>
        </w:rPr>
        <w:lastRenderedPageBreak/>
        <w:t>reflects the true age of metasomatism remains unknown.</w:t>
      </w:r>
      <w:r w:rsidR="00007125" w:rsidRPr="00007125">
        <w:rPr>
          <w:rFonts w:cs="Times New Roman"/>
        </w:rPr>
        <w:t xml:space="preserve"> </w:t>
      </w:r>
      <w:r w:rsidR="00500CAE">
        <w:rPr>
          <w:rFonts w:cs="Times New Roman"/>
        </w:rPr>
        <w:t>Ru/Ir in one of the m</w:t>
      </w:r>
      <w:r w:rsidR="0031294A">
        <w:rPr>
          <w:rFonts w:cs="Times New Roman"/>
        </w:rPr>
        <w:t>easured whole rocks</w:t>
      </w:r>
      <w:r w:rsidR="00007125">
        <w:rPr>
          <w:rFonts w:cs="Times New Roman"/>
        </w:rPr>
        <w:t xml:space="preserve"> (Holwell et al., 2019) </w:t>
      </w:r>
      <w:r w:rsidR="00500CAE">
        <w:rPr>
          <w:rFonts w:cs="Times New Roman"/>
        </w:rPr>
        <w:t>is</w:t>
      </w:r>
      <w:r w:rsidR="0031294A">
        <w:rPr>
          <w:rFonts w:cs="Times New Roman"/>
        </w:rPr>
        <w:t xml:space="preserve"> supra-PM </w:t>
      </w:r>
      <w:r w:rsidR="00500CAE">
        <w:rPr>
          <w:rFonts w:cs="Times New Roman"/>
        </w:rPr>
        <w:t>and in the other ~PUM,</w:t>
      </w:r>
      <w:r w:rsidR="0031294A">
        <w:rPr>
          <w:rFonts w:cs="Times New Roman"/>
        </w:rPr>
        <w:t xml:space="preserve"> </w:t>
      </w:r>
      <w:r w:rsidR="00500CAE">
        <w:rPr>
          <w:rFonts w:cs="Times New Roman"/>
        </w:rPr>
        <w:t>with</w:t>
      </w:r>
      <w:r w:rsidR="0031294A">
        <w:rPr>
          <w:rFonts w:cs="Times New Roman"/>
        </w:rPr>
        <w:t xml:space="preserve"> decreasing normalised abundances from Ru to Pt </w:t>
      </w:r>
      <w:r w:rsidR="00500CAE">
        <w:rPr>
          <w:rFonts w:cs="Times New Roman"/>
        </w:rPr>
        <w:t>and</w:t>
      </w:r>
      <w:r w:rsidR="00007125">
        <w:rPr>
          <w:rFonts w:cs="Times New Roman"/>
        </w:rPr>
        <w:t xml:space="preserve"> supra-PUM Au/Pd (</w:t>
      </w:r>
      <w:r w:rsidR="00007125" w:rsidRPr="00554D84">
        <w:rPr>
          <w:rFonts w:cs="Times New Roman"/>
          <w:color w:val="0000FF"/>
        </w:rPr>
        <w:t>Fig. 7</w:t>
      </w:r>
      <w:r w:rsidR="0031294A">
        <w:rPr>
          <w:rFonts w:cs="Times New Roman"/>
          <w:color w:val="0000FF"/>
        </w:rPr>
        <w:t>C,D</w:t>
      </w:r>
      <w:r w:rsidR="00007125">
        <w:rPr>
          <w:rFonts w:cs="Times New Roman"/>
        </w:rPr>
        <w:t>).</w:t>
      </w:r>
      <w:r w:rsidR="0031294A">
        <w:rPr>
          <w:rFonts w:cs="Times New Roman"/>
        </w:rPr>
        <w:t xml:space="preserve"> </w:t>
      </w:r>
      <w:r w:rsidR="00FF0E0E">
        <w:rPr>
          <w:rFonts w:cs="Times New Roman"/>
        </w:rPr>
        <w:t xml:space="preserve">Relative to PM, </w:t>
      </w:r>
      <w:r w:rsidR="0031294A">
        <w:rPr>
          <w:rFonts w:cs="Times New Roman"/>
        </w:rPr>
        <w:t>Mo and As are &gt;10 times enriched relative to PM</w:t>
      </w:r>
      <w:r w:rsidR="00FF0E0E">
        <w:rPr>
          <w:rFonts w:cs="Times New Roman"/>
        </w:rPr>
        <w:t xml:space="preserve">, while Te, Ag, Bi, Pb and Zn are within </w:t>
      </w:r>
      <w:r w:rsidR="00F96120" w:rsidRPr="00F96120">
        <w:rPr>
          <w:rFonts w:cs="Times New Roman"/>
        </w:rPr>
        <w:t>±</w:t>
      </w:r>
      <w:r w:rsidR="00FF0E0E">
        <w:rPr>
          <w:rFonts w:cs="Times New Roman"/>
        </w:rPr>
        <w:t>10x PM</w:t>
      </w:r>
      <w:r w:rsidR="0031294A">
        <w:rPr>
          <w:rFonts w:cs="Times New Roman"/>
        </w:rPr>
        <w:t>.</w:t>
      </w:r>
    </w:p>
    <w:p w14:paraId="527F2B62" w14:textId="7A60E4E0" w:rsidR="00C73307" w:rsidRPr="00803ACB" w:rsidRDefault="00C73307" w:rsidP="009A22A4">
      <w:pPr>
        <w:pStyle w:val="berschrift2"/>
      </w:pPr>
      <w:r w:rsidRPr="00803ACB">
        <w:t>1.3 MARID</w:t>
      </w:r>
    </w:p>
    <w:p w14:paraId="73B01D33" w14:textId="1CA7D8FE" w:rsidR="00C73307" w:rsidRPr="00803ACB" w:rsidRDefault="00C73307" w:rsidP="00C73307">
      <w:pPr>
        <w:rPr>
          <w:rFonts w:cs="Times New Roman"/>
          <w:color w:val="000000" w:themeColor="text1"/>
        </w:rPr>
      </w:pPr>
      <w:r w:rsidRPr="00803ACB">
        <w:rPr>
          <w:rFonts w:cs="Times New Roman"/>
        </w:rPr>
        <w:t xml:space="preserve">Sample BLFX-3 has a foliated texture and consists of alternating bands enriched in phlogopite and K-richterite, respectively. Ilmenite is widespread in both phlogopite-rich and amphibole-rich layers, whereas clinopyroxene and rutile are absent. </w:t>
      </w:r>
      <w:r w:rsidR="00D7074B" w:rsidRPr="00803ACB">
        <w:rPr>
          <w:rFonts w:cs="Times New Roman"/>
        </w:rPr>
        <w:t>This sample contains</w:t>
      </w:r>
      <w:r w:rsidRPr="00803ACB">
        <w:rPr>
          <w:rFonts w:cs="Times New Roman"/>
        </w:rPr>
        <w:t xml:space="preserve"> secondary calcite-rich veins with diopside and minor barite and pectolite. These veins are similar to those documented by Fitzpayne et al. (2018b) and are probably related to metasomatism by carbonate-rich kimberlitic fluids or melts </w:t>
      </w:r>
      <w:r w:rsidRPr="00803ACB">
        <w:rPr>
          <w:rFonts w:cs="Times New Roman"/>
          <w:color w:val="000000" w:themeColor="text1"/>
        </w:rPr>
        <w:t>at mantle depths or during/after xenolith transport.</w:t>
      </w:r>
    </w:p>
    <w:p w14:paraId="7D0CAEFE" w14:textId="0E67C6C2" w:rsidR="00C73307" w:rsidRPr="00803ACB" w:rsidRDefault="00C73307" w:rsidP="009A22A4">
      <w:pPr>
        <w:pStyle w:val="berschrift2"/>
      </w:pPr>
      <w:r w:rsidRPr="00803ACB">
        <w:t>1.4 Polymict breccias</w:t>
      </w:r>
    </w:p>
    <w:p w14:paraId="25B4C26E" w14:textId="6F846FC1" w:rsidR="00C73307" w:rsidRPr="00803ACB" w:rsidRDefault="00C73307" w:rsidP="00A33081">
      <w:pPr>
        <w:rPr>
          <w:rFonts w:cs="Times New Roman"/>
        </w:rPr>
      </w:pPr>
      <w:r w:rsidRPr="00803ACB">
        <w:rPr>
          <w:rFonts w:cs="Times New Roman"/>
        </w:rPr>
        <w:t>Mantle polymict breccias (or peridotites) consist of mixtures of mantle-derived porphyroclasts (mainly olivine, garnet, clinopyroxene and orthopyroxene) of variable composition and therefore origin (e.g., garnets of peridotitic, eclogitic, pyroxenitic, websteritic and megacrystic paragenesi</w:t>
      </w:r>
      <w:r w:rsidR="00961D0B" w:rsidRPr="00803ACB">
        <w:rPr>
          <w:rFonts w:cs="Times New Roman"/>
        </w:rPr>
        <w:t xml:space="preserve">s </w:t>
      </w:r>
      <w:r w:rsidRPr="00803ACB">
        <w:rPr>
          <w:rFonts w:cs="Times New Roman"/>
        </w:rPr>
        <w:t>(Giuliani et al., 2012, 2013b; Wyatt and Lawless, 1984; Zhang et al., 2001</w:t>
      </w:r>
      <w:r w:rsidR="00961D0B" w:rsidRPr="00803ACB">
        <w:rPr>
          <w:rFonts w:cs="Times New Roman"/>
        </w:rPr>
        <w:t xml:space="preserve">, 2003). </w:t>
      </w:r>
      <w:r w:rsidRPr="00803ACB">
        <w:rPr>
          <w:rFonts w:cs="Times New Roman"/>
        </w:rPr>
        <w:t xml:space="preserve">The preservation of large compositional heterogeneity, including variable </w:t>
      </w:r>
      <w:r w:rsidRPr="00803ACB">
        <w:rPr>
          <w:rFonts w:ascii="Symbol" w:hAnsi="Symbol" w:cs="Times New Roman"/>
        </w:rPr>
        <w:t></w:t>
      </w:r>
      <w:r w:rsidRPr="00803ACB">
        <w:rPr>
          <w:rFonts w:cs="Times New Roman"/>
          <w:vertAlign w:val="superscript"/>
        </w:rPr>
        <w:t>18</w:t>
      </w:r>
      <w:r w:rsidRPr="00803ACB">
        <w:rPr>
          <w:rFonts w:cs="Times New Roman"/>
        </w:rPr>
        <w:t xml:space="preserve">O values (Zhang et al., 2000, 2001), in these and other polymict breccias is widely accepted to indicate formation shortly before entrainment by kimberlite magmas (Giuliani et al., 2014a; Höfer et al., 2009; Lawless et al., 1979; Pokhilenko, 2009; Zhang et al., 2000, 2003). This inference is confirmed by a U/Pb age of ~83 Ma for </w:t>
      </w:r>
      <w:r w:rsidRPr="00803ACB">
        <w:rPr>
          <w:rFonts w:cs="Times New Roman"/>
        </w:rPr>
        <w:lastRenderedPageBreak/>
        <w:t>a zircon from one of the Kimberley polymict breccias (sample BD2666; Table 1; Lawless et al., 1979). Indistinguishable Hf isotope compositions between ilmenite in sample DU-1 (</w:t>
      </w:r>
      <w:r w:rsidRPr="00803ACB">
        <w:rPr>
          <w:rFonts w:ascii="Symbol" w:hAnsi="Symbol" w:cs="Times New Roman"/>
        </w:rPr>
        <w:t></w:t>
      </w:r>
      <w:r w:rsidRPr="00803ACB">
        <w:rPr>
          <w:rFonts w:cs="Times New Roman"/>
        </w:rPr>
        <w:t>Hf</w:t>
      </w:r>
      <w:r w:rsidRPr="00803ACB">
        <w:rPr>
          <w:rFonts w:cs="Times New Roman"/>
          <w:vertAlign w:val="subscript"/>
        </w:rPr>
        <w:t>i</w:t>
      </w:r>
      <w:r w:rsidRPr="00803ACB">
        <w:rPr>
          <w:rFonts w:cs="Times New Roman"/>
        </w:rPr>
        <w:t xml:space="preserve"> = +2 to +3; Giuliani et al., 2013b) and kimberlites from the Kimberley area (Nowell et al., 2004; Woodhead et al., 2019) supports a genetic kinship between polymict breccias and kimberlite magmas whereby polymict breccias represent failed kimberlite intrusions at mantle depths (Giuliani et al., 2014a; Lawless et al., 1979; Pokhilenko, 2009). </w:t>
      </w:r>
      <w:r w:rsidRPr="00803ACB">
        <w:rPr>
          <w:rFonts w:cs="Times New Roman"/>
          <w:i/>
          <w:iCs/>
        </w:rPr>
        <w:t>In-situ</w:t>
      </w:r>
      <w:r w:rsidRPr="00803ACB">
        <w:rPr>
          <w:rFonts w:cs="Times New Roman"/>
        </w:rPr>
        <w:t xml:space="preserve"> S isotope analyses of pentlandite and chalco</w:t>
      </w:r>
      <w:r w:rsidR="00965137">
        <w:rPr>
          <w:rFonts w:cs="Times New Roman"/>
        </w:rPr>
        <w:t>pyrite from sample DU-1 provide</w:t>
      </w:r>
      <w:r w:rsidRPr="00803ACB">
        <w:rPr>
          <w:rFonts w:cs="Times New Roman"/>
        </w:rPr>
        <w:t xml:space="preserve"> </w:t>
      </w:r>
      <w:r w:rsidRPr="00803ACB">
        <w:rPr>
          <w:rFonts w:ascii="Symbol" w:hAnsi="Symbol" w:cs="Times New Roman"/>
        </w:rPr>
        <w:t></w:t>
      </w:r>
      <w:r w:rsidRPr="00803ACB">
        <w:rPr>
          <w:rFonts w:cs="Times New Roman"/>
          <w:vertAlign w:val="superscript"/>
        </w:rPr>
        <w:t>34</w:t>
      </w:r>
      <w:r w:rsidRPr="00803ACB">
        <w:rPr>
          <w:rFonts w:cs="Times New Roman"/>
        </w:rPr>
        <w:t>S values of between -1‰ and -5‰ (Table 1; Giuliani et al., 2016b), which appear to be consistent with the involvement of recycled material in the deep source of the Kimberley kimberlites (Giuliani et al., 2019).</w:t>
      </w:r>
    </w:p>
    <w:p w14:paraId="77904A9B" w14:textId="77777777" w:rsidR="00C73307" w:rsidRPr="00803ACB" w:rsidRDefault="00C73307" w:rsidP="00A33081">
      <w:pPr>
        <w:rPr>
          <w:b/>
          <w:i/>
        </w:rPr>
      </w:pPr>
    </w:p>
    <w:p w14:paraId="6B56046E" w14:textId="2481264C" w:rsidR="00C73307" w:rsidRPr="00803ACB" w:rsidRDefault="00C73307" w:rsidP="009A22A4">
      <w:pPr>
        <w:pStyle w:val="berschrift1"/>
        <w:rPr>
          <w:b w:val="0"/>
        </w:rPr>
      </w:pPr>
      <w:r w:rsidRPr="00803ACB">
        <w:t>2. Methods</w:t>
      </w:r>
    </w:p>
    <w:p w14:paraId="27184174" w14:textId="2923160E" w:rsidR="00B01026" w:rsidRPr="00803ACB" w:rsidRDefault="00C73307" w:rsidP="009A22A4">
      <w:pPr>
        <w:pStyle w:val="berschrift2"/>
      </w:pPr>
      <w:r w:rsidRPr="00803ACB">
        <w:t>2.</w:t>
      </w:r>
      <w:r w:rsidR="00F675FC" w:rsidRPr="00803ACB">
        <w:t>1</w:t>
      </w:r>
      <w:r w:rsidR="00BC496A" w:rsidRPr="00803ACB">
        <w:t>.</w:t>
      </w:r>
      <w:r w:rsidR="00F675FC" w:rsidRPr="00803ACB">
        <w:t xml:space="preserve"> </w:t>
      </w:r>
      <w:r w:rsidR="009937E2" w:rsidRPr="00803ACB">
        <w:t>Sulph</w:t>
      </w:r>
      <w:r w:rsidR="00B01026" w:rsidRPr="00803ACB">
        <w:t>ide imaging</w:t>
      </w:r>
      <w:r w:rsidR="00BB24DE" w:rsidRPr="00803ACB">
        <w:t xml:space="preserve"> and</w:t>
      </w:r>
      <w:r w:rsidR="00B01026" w:rsidRPr="00803ACB">
        <w:t xml:space="preserve"> element analyses</w:t>
      </w:r>
      <w:r w:rsidR="00BB6642" w:rsidRPr="00803ACB">
        <w:t xml:space="preserve"> </w:t>
      </w:r>
    </w:p>
    <w:p w14:paraId="6893D42F" w14:textId="7112CB24" w:rsidR="00B01026" w:rsidRPr="00803ACB" w:rsidRDefault="009937E2" w:rsidP="00A33081">
      <w:r w:rsidRPr="00803ACB">
        <w:t>Sulph</w:t>
      </w:r>
      <w:r w:rsidR="00B01026" w:rsidRPr="00803ACB">
        <w:t xml:space="preserve">ide minerals in polished thin sections and epoxy mounts were initially examined under reflected light using a petrographic microscope. </w:t>
      </w:r>
      <w:r w:rsidRPr="00803ACB">
        <w:t>Sulph</w:t>
      </w:r>
      <w:r w:rsidR="00B01026" w:rsidRPr="00803ACB">
        <w:t>ide microstructures were further investigated on carbon-coated thin sections at the University of Melbourne, using a Philips (FEI) XL30 Environmental Scanning Electron Microscope (ESEM) TMP, equipped with an Oxford INCA energy-dispersive X-ray spectrometer (EDS)</w:t>
      </w:r>
      <w:r w:rsidR="00965137">
        <w:t>, as detailed in Giuliani et al. (2016a)</w:t>
      </w:r>
      <w:r w:rsidR="00B01026" w:rsidRPr="00803ACB">
        <w:t>.</w:t>
      </w:r>
    </w:p>
    <w:p w14:paraId="0736B3B1" w14:textId="77777777" w:rsidR="00965137" w:rsidRDefault="00965137" w:rsidP="00A33081"/>
    <w:p w14:paraId="1CF01592" w14:textId="133D045A" w:rsidR="00B01026" w:rsidRPr="00803ACB" w:rsidRDefault="00B01026" w:rsidP="00A33081">
      <w:r w:rsidRPr="00803ACB">
        <w:t xml:space="preserve">The major element compositions of </w:t>
      </w:r>
      <w:r w:rsidR="009937E2" w:rsidRPr="00803ACB">
        <w:t>sulph</w:t>
      </w:r>
      <w:r w:rsidRPr="00803ACB">
        <w:t>ide minerals were determined at the University of Melbourne using a Cameca SX50 Electron Microprobe, which is equipped with four vertical Wavelength Dispersive Spectrometers (WDS)</w:t>
      </w:r>
      <w:r w:rsidR="00965137">
        <w:t xml:space="preserve">, following procedures outlines in </w:t>
      </w:r>
      <w:r w:rsidR="00965137">
        <w:lastRenderedPageBreak/>
        <w:t>Giuliani et al. (2016a)</w:t>
      </w:r>
      <w:r w:rsidRPr="00803ACB">
        <w:t xml:space="preserve">. The analytical conditions </w:t>
      </w:r>
      <w:r w:rsidR="00965137">
        <w:t>included</w:t>
      </w:r>
      <w:r w:rsidRPr="00803ACB">
        <w:t xml:space="preserve"> beam acceleration voltage 15 kV, beam current 35 nA, and beam diameter of 2 μm; detection limits of 300 ppm for most elements and 0.</w:t>
      </w:r>
      <w:r w:rsidR="00BC496A" w:rsidRPr="00803ACB">
        <w:t xml:space="preserve">20 </w:t>
      </w:r>
      <w:r w:rsidRPr="00803ACB">
        <w:t>wt.% for oxygen. Natural and synthetic standards, including fragments of troilite, galena, Ni metal, Cu metal, Co metal and Zn metal, were employed for instrumental calibration. For the determination of oxygen concentrations, we adopted a specific set up where a detector (crystal PC1 – synthetic Si-W) was dedicated to measure oxygen x-rays, with natural wollastonite used for calibration. Data reduction was undertaken using the PAP matrix correction software</w:t>
      </w:r>
      <w:r w:rsidR="003A5A99" w:rsidRPr="00803ACB">
        <w:t>,</w:t>
      </w:r>
      <w:r w:rsidR="000604A5" w:rsidRPr="00803ACB">
        <w:t xml:space="preserve"> and results are reported in </w:t>
      </w:r>
      <w:r w:rsidR="000604A5" w:rsidRPr="00803ACB">
        <w:rPr>
          <w:color w:val="0000FF"/>
        </w:rPr>
        <w:t xml:space="preserve">Appendix </w:t>
      </w:r>
      <w:r w:rsidR="006E3C42" w:rsidRPr="00803ACB">
        <w:rPr>
          <w:color w:val="0000FF"/>
        </w:rPr>
        <w:t>2</w:t>
      </w:r>
      <w:r w:rsidRPr="00803ACB">
        <w:t>.</w:t>
      </w:r>
      <w:r w:rsidR="00225177" w:rsidRPr="00803ACB">
        <w:t xml:space="preserve"> </w:t>
      </w:r>
    </w:p>
    <w:p w14:paraId="0BAE3F3C" w14:textId="77777777" w:rsidR="00135284" w:rsidRPr="00803ACB" w:rsidRDefault="00135284" w:rsidP="00A33081"/>
    <w:p w14:paraId="6BADFAB3" w14:textId="4B7E2101" w:rsidR="00DB7CC7" w:rsidRPr="00803ACB" w:rsidRDefault="00DB7CC7" w:rsidP="00803ACB">
      <w:r w:rsidRPr="00803ACB">
        <w:t xml:space="preserve">Trace element concentrations in sulphides were acquired </w:t>
      </w:r>
      <w:r w:rsidRPr="00965137">
        <w:rPr>
          <w:i/>
        </w:rPr>
        <w:t>in situ</w:t>
      </w:r>
      <w:r w:rsidRPr="00803ACB">
        <w:t xml:space="preserve"> by laser ablation microprobe inductively-coupled mass spectrometry (LAM-ICPMS) at two institutions</w:t>
      </w:r>
      <w:r w:rsidR="00993861" w:rsidRPr="00803ACB">
        <w:t xml:space="preserve">, as indicated in </w:t>
      </w:r>
      <w:r w:rsidR="00993861" w:rsidRPr="00803ACB">
        <w:rPr>
          <w:color w:val="0000FF"/>
        </w:rPr>
        <w:t>Appendix 3</w:t>
      </w:r>
      <w:r w:rsidRPr="00803ACB">
        <w:t>. At CODES Analytical Laboratories, University of Tasmania, a RESOlution 193 nm excimer laser microprobe coupled to an Agilent 7700 quadrupole mass-spectrometer was employed</w:t>
      </w:r>
      <w:r w:rsidR="00537514" w:rsidRPr="00803ACB">
        <w:t>, following protocols detailed in Gilbert et al. (2013)</w:t>
      </w:r>
      <w:r w:rsidRPr="00803ACB">
        <w:t>. Conditions include laser fluence of 2.7 J/cm</w:t>
      </w:r>
      <w:r w:rsidRPr="00803ACB">
        <w:rPr>
          <w:vertAlign w:val="superscript"/>
        </w:rPr>
        <w:t>2</w:t>
      </w:r>
      <w:r w:rsidRPr="00803ACB">
        <w:t>, laser frequency 5 Hz and laser beam size between 30 and 70 microns depending on the grain size. Nickel or iron concentrations determined from EPMA were used as the internal standard (</w:t>
      </w:r>
      <w:r w:rsidRPr="00803ACB">
        <w:rPr>
          <w:vertAlign w:val="superscript"/>
        </w:rPr>
        <w:t>60</w:t>
      </w:r>
      <w:r w:rsidRPr="00803ACB">
        <w:t xml:space="preserve">Ni, </w:t>
      </w:r>
      <w:r w:rsidRPr="00803ACB">
        <w:rPr>
          <w:vertAlign w:val="superscript"/>
        </w:rPr>
        <w:t>57</w:t>
      </w:r>
      <w:r w:rsidRPr="00803ACB">
        <w:t xml:space="preserve">Fe) and sensitivity was calibrated against reference materials NIS3, STDGL2-b2 and Po724-T (Danyushevsky et al., 2011; Gilbert et al., 2013). Argide production rates were determined and corrections for the interference of Ni, Cu and Zn argides on Ru, Rh and Pd, as well as corrections for the isobaric interference of </w:t>
      </w:r>
      <w:r w:rsidRPr="00803ACB">
        <w:rPr>
          <w:vertAlign w:val="superscript"/>
        </w:rPr>
        <w:t>106</w:t>
      </w:r>
      <w:r w:rsidRPr="00803ACB">
        <w:t xml:space="preserve">Cd on </w:t>
      </w:r>
      <w:r w:rsidRPr="00803ACB">
        <w:rPr>
          <w:vertAlign w:val="superscript"/>
        </w:rPr>
        <w:t>106</w:t>
      </w:r>
      <w:r w:rsidRPr="00803ACB">
        <w:t xml:space="preserve">Pd were carried out following Gilbert et al. (2013). Typical detection limits are shown with sample results in </w:t>
      </w:r>
      <w:r w:rsidRPr="00965137">
        <w:rPr>
          <w:color w:val="0000FF"/>
        </w:rPr>
        <w:t>Appendix 3</w:t>
      </w:r>
      <w:r w:rsidRPr="00803ACB">
        <w:t>.</w:t>
      </w:r>
    </w:p>
    <w:p w14:paraId="53A4ED7B" w14:textId="77777777" w:rsidR="008A6D85" w:rsidRPr="00803ACB" w:rsidRDefault="008A6D85" w:rsidP="00A33081"/>
    <w:p w14:paraId="2F1CF8D3" w14:textId="7F6DA619" w:rsidR="00320B3B" w:rsidRPr="00803ACB" w:rsidRDefault="00B35A83" w:rsidP="00003486">
      <w:r w:rsidRPr="00803ACB">
        <w:t xml:space="preserve">At Macquarie University, </w:t>
      </w:r>
      <w:r w:rsidR="009D74AD" w:rsidRPr="00803ACB">
        <w:t>an Agilent 7700 ICP-MS coupled to a Photon Machines 193 nm Analyte Excite las</w:t>
      </w:r>
      <w:r w:rsidR="00AD46BF">
        <w:t>er ablation system was employed</w:t>
      </w:r>
      <w:r w:rsidRPr="00803ACB">
        <w:t xml:space="preserve">. Conditions include </w:t>
      </w:r>
      <w:r w:rsidR="0079275D" w:rsidRPr="00803ACB">
        <w:t>spot sizes between 25 and 50 micron (depending on grain size and homogeneity).</w:t>
      </w:r>
      <w:r w:rsidR="007F28C3" w:rsidRPr="00803ACB">
        <w:t xml:space="preserve"> Quantification was achieved using </w:t>
      </w:r>
      <w:r w:rsidR="00BC496A" w:rsidRPr="00803ACB">
        <w:t xml:space="preserve">the </w:t>
      </w:r>
      <w:r w:rsidR="007F28C3" w:rsidRPr="00803ACB">
        <w:t>synthetic sulphide standard PGE-A (</w:t>
      </w:r>
      <w:r w:rsidR="001706B9" w:rsidRPr="00803ACB">
        <w:t>Alard et al., 2000</w:t>
      </w:r>
      <w:r w:rsidR="007F28C3" w:rsidRPr="00803ACB">
        <w:t>)</w:t>
      </w:r>
      <w:r w:rsidR="001706B9" w:rsidRPr="00803ACB">
        <w:t xml:space="preserve"> containing Ru, Rh, Pd, Os, Ir, Au, As</w:t>
      </w:r>
      <w:r w:rsidR="008B10BD" w:rsidRPr="00803ACB">
        <w:t>, Se, Te, Pb</w:t>
      </w:r>
      <w:r w:rsidR="001706B9" w:rsidRPr="00803ACB">
        <w:t xml:space="preserve"> and Bi</w:t>
      </w:r>
      <w:r w:rsidR="008B10BD" w:rsidRPr="00803ACB">
        <w:t xml:space="preserve"> as determined by PIXE</w:t>
      </w:r>
      <w:r w:rsidR="00D2369E" w:rsidRPr="00803ACB">
        <w:t>, and</w:t>
      </w:r>
      <w:r w:rsidR="007F28C3" w:rsidRPr="00803ACB">
        <w:t xml:space="preserve"> reference glass NIST610</w:t>
      </w:r>
      <w:r w:rsidR="00D2369E" w:rsidRPr="00803ACB">
        <w:t xml:space="preserve"> for additional elements</w:t>
      </w:r>
      <w:r w:rsidR="00BC496A" w:rsidRPr="00803ACB">
        <w:t xml:space="preserve"> (Zn, Ga, Mo, Sb and Re)</w:t>
      </w:r>
      <w:r w:rsidR="00D2369E" w:rsidRPr="00803ACB">
        <w:t>.</w:t>
      </w:r>
      <w:r w:rsidR="00003486" w:rsidRPr="00803ACB">
        <w:t xml:space="preserve"> Ni </w:t>
      </w:r>
      <w:r w:rsidR="00BC496A" w:rsidRPr="00803ACB">
        <w:t xml:space="preserve">contents as determined by EPMA </w:t>
      </w:r>
      <w:r w:rsidR="00D2369E" w:rsidRPr="00803ACB">
        <w:t xml:space="preserve">was used as internal standard </w:t>
      </w:r>
      <w:r w:rsidR="00003486" w:rsidRPr="00803ACB">
        <w:t xml:space="preserve">for </w:t>
      </w:r>
      <w:r w:rsidR="00851440">
        <w:t>native</w:t>
      </w:r>
      <w:r w:rsidR="00003486" w:rsidRPr="00803ACB">
        <w:t xml:space="preserve"> Ni (90 wt%), S contents for fresh sulphides and S contents </w:t>
      </w:r>
      <w:r w:rsidR="00D2369E" w:rsidRPr="00803ACB">
        <w:t xml:space="preserve">intermediate </w:t>
      </w:r>
      <w:r w:rsidR="00003486" w:rsidRPr="00803ACB">
        <w:t>between fresh sulphides (e.g.</w:t>
      </w:r>
      <w:r w:rsidR="00BC496A" w:rsidRPr="00803ACB">
        <w:t>,</w:t>
      </w:r>
      <w:r w:rsidR="00003486" w:rsidRPr="00803ACB">
        <w:t xml:space="preserve"> pentlandite) and secondary sulphides (e.g.</w:t>
      </w:r>
      <w:r w:rsidR="00BC496A" w:rsidRPr="00803ACB">
        <w:t>,</w:t>
      </w:r>
      <w:r w:rsidR="00003486" w:rsidRPr="00803ACB">
        <w:t xml:space="preserve"> heazlewoodite) for mixed samples.</w:t>
      </w:r>
      <w:r w:rsidRPr="00803ACB">
        <w:t xml:space="preserve"> </w:t>
      </w:r>
      <w:r w:rsidR="00C55855" w:rsidRPr="00803ACB">
        <w:t xml:space="preserve">Typical detection limits are shown with sample results in </w:t>
      </w:r>
      <w:r w:rsidR="00C55855" w:rsidRPr="00803ACB">
        <w:rPr>
          <w:color w:val="0000FF"/>
        </w:rPr>
        <w:t xml:space="preserve">Appendix </w:t>
      </w:r>
      <w:r w:rsidR="006E3C42" w:rsidRPr="00803ACB">
        <w:rPr>
          <w:color w:val="0000FF"/>
        </w:rPr>
        <w:t>3</w:t>
      </w:r>
      <w:r w:rsidR="00C55855" w:rsidRPr="00803ACB">
        <w:t xml:space="preserve">. </w:t>
      </w:r>
      <w:r w:rsidR="007F28C3" w:rsidRPr="00803ACB">
        <w:t xml:space="preserve">Only elements calibrated against the sulphide standard are considered quantitative. </w:t>
      </w:r>
      <w:r w:rsidR="00D2369E" w:rsidRPr="00803ACB">
        <w:t>Abundances for elements</w:t>
      </w:r>
      <w:r w:rsidR="007F28C3" w:rsidRPr="00803ACB">
        <w:t xml:space="preserve"> calibrated against reference glass NIS</w:t>
      </w:r>
      <w:r w:rsidR="00D2369E" w:rsidRPr="00803ACB">
        <w:t>T610 are considered semi-quantitative</w:t>
      </w:r>
      <w:r w:rsidR="007F28C3" w:rsidRPr="00803ACB">
        <w:t>.</w:t>
      </w:r>
      <w:r w:rsidR="007E0EBE" w:rsidRPr="00803ACB">
        <w:t xml:space="preserve"> </w:t>
      </w:r>
      <w:r w:rsidR="003A5A99" w:rsidRPr="00803ACB">
        <w:t xml:space="preserve">Concentrations of the PGE </w:t>
      </w:r>
      <w:r w:rsidR="00D2369E" w:rsidRPr="00803ACB">
        <w:t xml:space="preserve">and Au </w:t>
      </w:r>
      <w:r w:rsidR="003A5A99" w:rsidRPr="00803ACB">
        <w:t>acquired at Macquarie University were corrected using factors given in Gilbert et al. (201</w:t>
      </w:r>
      <w:r w:rsidR="00D724AF" w:rsidRPr="00803ACB">
        <w:t>3</w:t>
      </w:r>
      <w:r w:rsidR="003A5A99" w:rsidRPr="00803ACB">
        <w:t xml:space="preserve">). </w:t>
      </w:r>
      <w:r w:rsidR="00A728CC" w:rsidRPr="00803ACB">
        <w:t xml:space="preserve">Argide interferences </w:t>
      </w:r>
      <w:r w:rsidR="00AD46BF">
        <w:t>can cause spuriously high</w:t>
      </w:r>
      <w:r w:rsidR="00A728CC" w:rsidRPr="00803ACB">
        <w:t xml:space="preserve"> </w:t>
      </w:r>
      <w:r w:rsidR="002923AA" w:rsidRPr="00803ACB">
        <w:t>apparent Ru, Rh and Pd abundances of</w:t>
      </w:r>
      <w:r w:rsidR="00D2369E" w:rsidRPr="00803ACB">
        <w:t xml:space="preserve"> Cu- or Ni-rich</w:t>
      </w:r>
      <w:r w:rsidR="002923AA" w:rsidRPr="00803ACB">
        <w:t xml:space="preserve"> </w:t>
      </w:r>
      <w:r w:rsidR="00A728CC" w:rsidRPr="00803ACB">
        <w:t>sulphides</w:t>
      </w:r>
      <w:r w:rsidR="002923AA" w:rsidRPr="00803ACB">
        <w:t>. A detailed comparison, using only inclusion-free pentlandite analyses</w:t>
      </w:r>
      <w:r w:rsidR="00FD0D3C" w:rsidRPr="00803ACB">
        <w:t>,</w:t>
      </w:r>
      <w:r w:rsidR="002923AA" w:rsidRPr="00803ACB">
        <w:t xml:space="preserve"> reveals no correlation of Ru with Ni, suggesting that </w:t>
      </w:r>
      <w:r w:rsidR="002923AA" w:rsidRPr="00803ACB">
        <w:rPr>
          <w:vertAlign w:val="superscript"/>
        </w:rPr>
        <w:t>61</w:t>
      </w:r>
      <w:r w:rsidR="002923AA" w:rsidRPr="00803ACB">
        <w:t>Ni</w:t>
      </w:r>
      <w:r w:rsidR="002923AA" w:rsidRPr="00803ACB">
        <w:rPr>
          <w:vertAlign w:val="superscript"/>
        </w:rPr>
        <w:t>40</w:t>
      </w:r>
      <w:r w:rsidR="002923AA" w:rsidRPr="00803ACB">
        <w:t xml:space="preserve">Ar interference on </w:t>
      </w:r>
      <w:r w:rsidR="002923AA" w:rsidRPr="00803ACB">
        <w:rPr>
          <w:vertAlign w:val="superscript"/>
        </w:rPr>
        <w:t>101</w:t>
      </w:r>
      <w:r w:rsidR="002923AA" w:rsidRPr="00803ACB">
        <w:t>Ru was negligible (</w:t>
      </w:r>
      <w:r w:rsidR="006E3C42" w:rsidRPr="00803ACB">
        <w:rPr>
          <w:color w:val="0000FF"/>
        </w:rPr>
        <w:t>Fig. S1A</w:t>
      </w:r>
      <w:r w:rsidR="002923AA" w:rsidRPr="00803ACB">
        <w:t xml:space="preserve">). In contrast, there is a strong positive correlation between Cu and Rh resulting from interference of </w:t>
      </w:r>
      <w:r w:rsidR="002923AA" w:rsidRPr="00803ACB">
        <w:rPr>
          <w:vertAlign w:val="superscript"/>
        </w:rPr>
        <w:t>63</w:t>
      </w:r>
      <w:r w:rsidR="002923AA" w:rsidRPr="00803ACB">
        <w:t>Cu</w:t>
      </w:r>
      <w:r w:rsidR="002923AA" w:rsidRPr="00803ACB">
        <w:rPr>
          <w:vertAlign w:val="superscript"/>
        </w:rPr>
        <w:t>40</w:t>
      </w:r>
      <w:r w:rsidR="002923AA" w:rsidRPr="00803ACB">
        <w:t xml:space="preserve">Ar on </w:t>
      </w:r>
      <w:r w:rsidR="002923AA" w:rsidRPr="00803ACB">
        <w:rPr>
          <w:vertAlign w:val="superscript"/>
        </w:rPr>
        <w:t>103</w:t>
      </w:r>
      <w:r w:rsidR="002923AA" w:rsidRPr="00803ACB">
        <w:t>Rh (</w:t>
      </w:r>
      <w:r w:rsidR="006E3C42" w:rsidRPr="00803ACB">
        <w:rPr>
          <w:color w:val="0000FF"/>
        </w:rPr>
        <w:t>Fig. S1</w:t>
      </w:r>
      <w:r w:rsidR="002923AA" w:rsidRPr="00803ACB">
        <w:rPr>
          <w:color w:val="0000FF"/>
        </w:rPr>
        <w:t>B</w:t>
      </w:r>
      <w:r w:rsidR="002923AA" w:rsidRPr="00803ACB">
        <w:t xml:space="preserve">). This relationship breaks down at Cu concentrations &lt;4000 ppm, and those results are considered accurate. There is no </w:t>
      </w:r>
      <w:r w:rsidR="00321C63" w:rsidRPr="00803ACB">
        <w:t>correlation between</w:t>
      </w:r>
      <w:r w:rsidR="002923AA" w:rsidRPr="00803ACB">
        <w:t xml:space="preserve"> Cu with </w:t>
      </w:r>
      <w:r w:rsidR="00B40E08" w:rsidRPr="00803ACB">
        <w:t>Zn</w:t>
      </w:r>
      <w:r w:rsidR="002923AA" w:rsidRPr="00803ACB">
        <w:t xml:space="preserve">, </w:t>
      </w:r>
      <w:r w:rsidR="00B40E08" w:rsidRPr="00803ACB">
        <w:t xml:space="preserve">hence there appears to be no significant effect of </w:t>
      </w:r>
      <w:r w:rsidR="00B40E08" w:rsidRPr="00803ACB">
        <w:rPr>
          <w:vertAlign w:val="superscript"/>
        </w:rPr>
        <w:t>68</w:t>
      </w:r>
      <w:r w:rsidR="00B40E08" w:rsidRPr="00803ACB">
        <w:t>Zn</w:t>
      </w:r>
      <w:r w:rsidR="00B40E08" w:rsidRPr="00803ACB">
        <w:rPr>
          <w:vertAlign w:val="superscript"/>
        </w:rPr>
        <w:t>40</w:t>
      </w:r>
      <w:r w:rsidR="00B40E08" w:rsidRPr="00803ACB">
        <w:t xml:space="preserve">Ar on </w:t>
      </w:r>
      <w:r w:rsidR="00B40E08" w:rsidRPr="00803ACB">
        <w:rPr>
          <w:vertAlign w:val="superscript"/>
        </w:rPr>
        <w:t>108</w:t>
      </w:r>
      <w:r w:rsidR="00B40E08" w:rsidRPr="00803ACB">
        <w:t xml:space="preserve">Pd from which Pd abundances were quantified </w:t>
      </w:r>
      <w:r w:rsidR="00B40E08" w:rsidRPr="00803ACB">
        <w:lastRenderedPageBreak/>
        <w:t>(</w:t>
      </w:r>
      <w:r w:rsidR="006E3C42" w:rsidRPr="00803ACB">
        <w:rPr>
          <w:color w:val="0000FF"/>
        </w:rPr>
        <w:t>Fig. S1C</w:t>
      </w:r>
      <w:r w:rsidR="00B40E08" w:rsidRPr="00803ACB">
        <w:t>). T</w:t>
      </w:r>
      <w:r w:rsidR="002923AA" w:rsidRPr="00803ACB">
        <w:t xml:space="preserve">o err on the side of caution, we consider only samples with </w:t>
      </w:r>
      <w:r w:rsidR="00B40E08" w:rsidRPr="00803ACB">
        <w:t>Zn</w:t>
      </w:r>
      <w:r w:rsidR="002923AA" w:rsidRPr="00803ACB">
        <w:t xml:space="preserve"> concentrations &lt;</w:t>
      </w:r>
      <w:r w:rsidR="00B40E08" w:rsidRPr="00803ACB">
        <w:t>200 ppm.</w:t>
      </w:r>
      <w:r w:rsidR="00140AD7" w:rsidRPr="00803ACB">
        <w:t xml:space="preserve"> </w:t>
      </w:r>
    </w:p>
    <w:p w14:paraId="4FAE34F3" w14:textId="77777777" w:rsidR="00A33081" w:rsidRPr="00803ACB" w:rsidRDefault="00A33081" w:rsidP="00A33081"/>
    <w:p w14:paraId="6C2B831B" w14:textId="49D01F7A" w:rsidR="00B35A83" w:rsidRPr="00803ACB" w:rsidRDefault="005A1691" w:rsidP="009A22A4">
      <w:pPr>
        <w:pStyle w:val="berschrift2"/>
      </w:pPr>
      <w:r w:rsidRPr="00803ACB">
        <w:t>2.</w:t>
      </w:r>
      <w:r w:rsidR="00A63850" w:rsidRPr="00803ACB">
        <w:t>2</w:t>
      </w:r>
      <w:r w:rsidR="00321C63" w:rsidRPr="00803ACB">
        <w:t>.</w:t>
      </w:r>
      <w:r w:rsidR="00F675FC" w:rsidRPr="00803ACB">
        <w:t xml:space="preserve"> </w:t>
      </w:r>
      <w:r w:rsidR="00B35A83" w:rsidRPr="00803ACB">
        <w:t>Spinel imaging and element analyses</w:t>
      </w:r>
    </w:p>
    <w:p w14:paraId="45361CB5" w14:textId="2F0DC504" w:rsidR="00771707" w:rsidRPr="00803ACB" w:rsidRDefault="00771707" w:rsidP="00771707">
      <w:r w:rsidRPr="00803ACB">
        <w:rPr>
          <w:rFonts w:eastAsia="Times New Roman" w:cs="Times"/>
        </w:rPr>
        <w:t xml:space="preserve">Quantitative wavelength dispersive X-ray spot and map analysis </w:t>
      </w:r>
      <w:r w:rsidR="00321C63" w:rsidRPr="00803ACB">
        <w:rPr>
          <w:rFonts w:eastAsia="Times New Roman" w:cs="Times"/>
        </w:rPr>
        <w:t xml:space="preserve">of major and minor elements </w:t>
      </w:r>
      <w:r w:rsidRPr="00803ACB">
        <w:rPr>
          <w:rFonts w:eastAsia="Times New Roman" w:cs="Times"/>
        </w:rPr>
        <w:t>was performed using a JEOL 8530F field-emission gun electron probe micro-analyser at the Centre for Microscopy, Characterisation and Analysis of the University of Western Australia (CMCA-UWA). Prior to analysis the samples were coated with a 20</w:t>
      </w:r>
      <w:r w:rsidR="00321C63" w:rsidRPr="00803ACB">
        <w:rPr>
          <w:rFonts w:eastAsia="Times New Roman" w:cs="Times"/>
        </w:rPr>
        <w:t>-</w:t>
      </w:r>
      <w:r w:rsidRPr="00803ACB">
        <w:rPr>
          <w:rFonts w:eastAsia="Times New Roman" w:cs="Times"/>
        </w:rPr>
        <w:t>nm carbon film. The operating conditions for spot analysis were 40 degrees take-off angle, and a beam energy of 20</w:t>
      </w:r>
      <w:r w:rsidR="00321C63" w:rsidRPr="00803ACB">
        <w:rPr>
          <w:rFonts w:eastAsia="Times New Roman" w:cs="Times"/>
        </w:rPr>
        <w:t xml:space="preserve"> </w:t>
      </w:r>
      <w:r w:rsidRPr="00803ACB">
        <w:rPr>
          <w:rFonts w:eastAsia="Times New Roman" w:cs="Times"/>
        </w:rPr>
        <w:t>kV. The beam was fully focused to give a spot size of about 1</w:t>
      </w:r>
      <w:r w:rsidR="00321C63" w:rsidRPr="00803ACB">
        <w:rPr>
          <w:rFonts w:eastAsia="Times New Roman" w:cs="Times"/>
        </w:rPr>
        <w:t xml:space="preserve"> </w:t>
      </w:r>
      <w:r w:rsidRPr="00803ACB">
        <w:rPr>
          <w:rFonts w:eastAsia="Times New Roman" w:cs="Times"/>
        </w:rPr>
        <w:t>μm with a 50</w:t>
      </w:r>
      <w:r w:rsidR="00321C63" w:rsidRPr="00803ACB">
        <w:rPr>
          <w:rFonts w:eastAsia="Times New Roman" w:cs="Times"/>
        </w:rPr>
        <w:t>-</w:t>
      </w:r>
      <w:r w:rsidRPr="00803ACB">
        <w:rPr>
          <w:rFonts w:eastAsia="Times New Roman" w:cs="Times"/>
        </w:rPr>
        <w:t>nA beam current. Elements were acquired using analysing crystals LiF for V kα, Fe kα, Ti kα, Cr kα, Mn kα, Ni k</w:t>
      </w:r>
      <w:r w:rsidR="0071206C" w:rsidRPr="00803ACB">
        <w:rPr>
          <w:rFonts w:eastAsia="Times New Roman" w:cs="Times"/>
        </w:rPr>
        <w:t>α, Zn kα, </w:t>
      </w:r>
      <w:r w:rsidRPr="00803ACB">
        <w:rPr>
          <w:rFonts w:eastAsia="Times New Roman" w:cs="Times"/>
        </w:rPr>
        <w:t>and TAP for Mg kα, Al kα. Counting times were 20</w:t>
      </w:r>
      <w:r w:rsidR="00321C63" w:rsidRPr="00803ACB">
        <w:rPr>
          <w:rFonts w:eastAsia="Times New Roman" w:cs="Times"/>
        </w:rPr>
        <w:t xml:space="preserve"> </w:t>
      </w:r>
      <w:r w:rsidRPr="00803ACB">
        <w:rPr>
          <w:rFonts w:eastAsia="Times New Roman" w:cs="Times"/>
        </w:rPr>
        <w:t>s for Fe, 40</w:t>
      </w:r>
      <w:r w:rsidR="00321C63" w:rsidRPr="00803ACB">
        <w:rPr>
          <w:rFonts w:eastAsia="Times New Roman" w:cs="Times"/>
        </w:rPr>
        <w:t xml:space="preserve"> </w:t>
      </w:r>
      <w:r w:rsidRPr="00803ACB">
        <w:rPr>
          <w:rFonts w:eastAsia="Times New Roman" w:cs="Times"/>
        </w:rPr>
        <w:t>s for Al, Cr, and 80</w:t>
      </w:r>
      <w:r w:rsidR="00321C63" w:rsidRPr="00803ACB">
        <w:rPr>
          <w:rFonts w:eastAsia="Times New Roman" w:cs="Times"/>
        </w:rPr>
        <w:t xml:space="preserve"> </w:t>
      </w:r>
      <w:r w:rsidRPr="00803ACB">
        <w:rPr>
          <w:rFonts w:eastAsia="Times New Roman" w:cs="Times"/>
        </w:rPr>
        <w:t xml:space="preserve">s for Mg, Ti, V, Mn, Ni, </w:t>
      </w:r>
      <w:r w:rsidR="00321C63" w:rsidRPr="00803ACB">
        <w:rPr>
          <w:rFonts w:eastAsia="Times New Roman" w:cs="Times"/>
        </w:rPr>
        <w:t xml:space="preserve">and </w:t>
      </w:r>
      <w:r w:rsidRPr="00803ACB">
        <w:rPr>
          <w:rFonts w:eastAsia="Times New Roman" w:cs="Times"/>
        </w:rPr>
        <w:t xml:space="preserve">Zn. The standards employed were an assortment of commercially available </w:t>
      </w:r>
      <w:r w:rsidR="00D2369E" w:rsidRPr="00803ACB">
        <w:rPr>
          <w:rFonts w:eastAsia="Times New Roman" w:cs="Times"/>
        </w:rPr>
        <w:t>metals, oxides, and silicates. </w:t>
      </w:r>
      <w:r w:rsidRPr="00803ACB">
        <w:rPr>
          <w:rFonts w:eastAsia="Times New Roman" w:cs="Times"/>
        </w:rPr>
        <w:t>The Probe for EPMA</w:t>
      </w:r>
      <w:r w:rsidRPr="00803ACB">
        <w:rPr>
          <w:rFonts w:eastAsia="Times New Roman" w:cs="Times"/>
          <w:vertAlign w:val="superscript"/>
        </w:rPr>
        <w:t>©</w:t>
      </w:r>
      <w:r w:rsidRPr="00803ACB">
        <w:rPr>
          <w:rFonts w:eastAsia="Times New Roman" w:cs="Times"/>
        </w:rPr>
        <w:t xml:space="preserve"> software package was utilised to apply multiple corrections such as: background corrections through the mean atomic number </w:t>
      </w:r>
      <w:r w:rsidRPr="00D46CAF">
        <w:rPr>
          <w:rFonts w:eastAsia="Times New Roman" w:cs="Times"/>
        </w:rPr>
        <w:t xml:space="preserve">methodology (Donovan and Tingle, 1996); dead-time corrections on unknown and standard intensities, matrix absorption corrections through the ZAF algorithm (Armstrong, 1988), drift correction for standard intensities, and on-peak interference corrections as appropriate (Donovan et al., 1993). </w:t>
      </w:r>
      <w:r w:rsidR="00225177" w:rsidRPr="00D46CAF">
        <w:rPr>
          <w:rFonts w:eastAsia="Times New Roman" w:cs="Times"/>
        </w:rPr>
        <w:t>Five to ten spots</w:t>
      </w:r>
      <w:r w:rsidR="00225177" w:rsidRPr="00803ACB">
        <w:rPr>
          <w:rFonts w:eastAsia="Times New Roman" w:cs="Times"/>
        </w:rPr>
        <w:t xml:space="preserve"> per grain, including cores and rims, were typically analysed</w:t>
      </w:r>
      <w:r w:rsidR="00254489" w:rsidRPr="00803ACB">
        <w:rPr>
          <w:rFonts w:eastAsia="Times New Roman" w:cs="Times"/>
        </w:rPr>
        <w:t>. Grain averages</w:t>
      </w:r>
      <w:r w:rsidR="00225177" w:rsidRPr="00803ACB">
        <w:rPr>
          <w:rFonts w:eastAsia="Times New Roman" w:cs="Times"/>
        </w:rPr>
        <w:t xml:space="preserve"> and</w:t>
      </w:r>
      <w:r w:rsidR="00254489" w:rsidRPr="00803ACB">
        <w:rPr>
          <w:rFonts w:eastAsia="Times New Roman" w:cs="Times"/>
        </w:rPr>
        <w:t xml:space="preserve"> a</w:t>
      </w:r>
      <w:r w:rsidR="00225177" w:rsidRPr="00803ACB">
        <w:rPr>
          <w:rFonts w:eastAsia="Times New Roman" w:cs="Times"/>
        </w:rPr>
        <w:t>verages for multiple grains per</w:t>
      </w:r>
      <w:r w:rsidR="00254489" w:rsidRPr="00803ACB">
        <w:rPr>
          <w:rFonts w:eastAsia="Times New Roman" w:cs="Times"/>
        </w:rPr>
        <w:t xml:space="preserve"> sample are reported </w:t>
      </w:r>
      <w:r w:rsidRPr="00803ACB">
        <w:rPr>
          <w:rFonts w:eastAsia="Times New Roman" w:cs="Times"/>
        </w:rPr>
        <w:t xml:space="preserve">in </w:t>
      </w:r>
      <w:r w:rsidRPr="00803ACB">
        <w:rPr>
          <w:rFonts w:eastAsia="Times New Roman" w:cs="Times"/>
          <w:color w:val="0000FF"/>
        </w:rPr>
        <w:t xml:space="preserve">Appendix </w:t>
      </w:r>
      <w:r w:rsidR="000D1F02" w:rsidRPr="00803ACB">
        <w:rPr>
          <w:rFonts w:eastAsia="Times New Roman" w:cs="Times"/>
          <w:color w:val="0000FF"/>
        </w:rPr>
        <w:t>4</w:t>
      </w:r>
      <w:r w:rsidRPr="00803ACB">
        <w:rPr>
          <w:rFonts w:eastAsia="Times New Roman" w:cs="Times"/>
        </w:rPr>
        <w:t>.</w:t>
      </w:r>
      <w:r w:rsidRPr="00803ACB">
        <w:t xml:space="preserve"> </w:t>
      </w:r>
      <w:r w:rsidR="00F743C7" w:rsidRPr="00803ACB">
        <w:t xml:space="preserve">Additional data were collected at </w:t>
      </w:r>
      <w:r w:rsidR="00321C63" w:rsidRPr="00803ACB">
        <w:t xml:space="preserve">the </w:t>
      </w:r>
      <w:r w:rsidR="00F743C7" w:rsidRPr="00803ACB">
        <w:t>University of Melbourne using equipment and protocols described in Giuliani et al. (2013</w:t>
      </w:r>
      <w:r w:rsidR="00321C63" w:rsidRPr="00803ACB">
        <w:t>a</w:t>
      </w:r>
      <w:r w:rsidR="00F743C7" w:rsidRPr="00803ACB">
        <w:t>).</w:t>
      </w:r>
    </w:p>
    <w:p w14:paraId="00ACA4B4" w14:textId="77777777" w:rsidR="00771707" w:rsidRPr="00803ACB" w:rsidRDefault="00771707" w:rsidP="00771707"/>
    <w:p w14:paraId="2E48A147" w14:textId="6AA3CDAD" w:rsidR="00771707" w:rsidRPr="00803ACB" w:rsidRDefault="00771707" w:rsidP="00771707">
      <w:r w:rsidRPr="00803ACB">
        <w:rPr>
          <w:rFonts w:eastAsia="Times New Roman" w:cs="Times"/>
        </w:rPr>
        <w:t>Quantitative chemical maps were acq</w:t>
      </w:r>
      <w:r w:rsidR="00B76EC1" w:rsidRPr="00803ACB">
        <w:rPr>
          <w:rFonts w:eastAsia="Times New Roman" w:cs="Times"/>
        </w:rPr>
        <w:t>uired using the calibration set</w:t>
      </w:r>
      <w:r w:rsidRPr="00803ACB">
        <w:rPr>
          <w:rFonts w:eastAsia="Times New Roman" w:cs="Times"/>
        </w:rPr>
        <w:t>up described above for Ti, Zn, Cr, Al, Fe, Ni, Mn, and V. Detection limit maps were acquired for these elements and applied as the minimum cut-off values for all elaborated maps. Map acquisition utilised a 100</w:t>
      </w:r>
      <w:r w:rsidR="00321C63" w:rsidRPr="00803ACB">
        <w:rPr>
          <w:rFonts w:eastAsia="Times New Roman" w:cs="Times"/>
        </w:rPr>
        <w:t>-</w:t>
      </w:r>
      <w:r w:rsidRPr="00803ACB">
        <w:rPr>
          <w:rFonts w:eastAsia="Times New Roman" w:cs="Times"/>
        </w:rPr>
        <w:t>nA beam current with a 1x1</w:t>
      </w:r>
      <w:r w:rsidR="00321C63" w:rsidRPr="00803ACB">
        <w:rPr>
          <w:rFonts w:eastAsia="Times New Roman" w:cs="Times"/>
        </w:rPr>
        <w:t xml:space="preserve"> </w:t>
      </w:r>
      <w:r w:rsidRPr="00803ACB">
        <w:rPr>
          <w:rFonts w:eastAsia="Times New Roman" w:cs="Times"/>
        </w:rPr>
        <w:t>µm pixel dimension, and 100</w:t>
      </w:r>
      <w:r w:rsidR="00321C63" w:rsidRPr="00803ACB">
        <w:rPr>
          <w:rFonts w:eastAsia="Times New Roman" w:cs="Times"/>
        </w:rPr>
        <w:t xml:space="preserve"> </w:t>
      </w:r>
      <w:r w:rsidRPr="00803ACB">
        <w:rPr>
          <w:rFonts w:eastAsia="Times New Roman" w:cs="Times"/>
        </w:rPr>
        <w:t>ms dwell time per pixel. Data were processed using the Calc-Image</w:t>
      </w:r>
      <w:r w:rsidRPr="00803ACB">
        <w:rPr>
          <w:rFonts w:eastAsia="Times New Roman" w:cs="Times"/>
          <w:vertAlign w:val="superscript"/>
        </w:rPr>
        <w:t>©</w:t>
      </w:r>
      <w:r w:rsidRPr="00803ACB">
        <w:rPr>
          <w:rFonts w:eastAsia="Times New Roman" w:cs="Times"/>
        </w:rPr>
        <w:t xml:space="preserve"> software package.</w:t>
      </w:r>
      <w:r w:rsidR="005C4B5C" w:rsidRPr="00803ACB">
        <w:rPr>
          <w:rFonts w:eastAsia="Times New Roman" w:cs="Times"/>
        </w:rPr>
        <w:t xml:space="preserve"> </w:t>
      </w:r>
      <w:r w:rsidR="00D46CAF">
        <w:rPr>
          <w:rFonts w:eastAsia="Times New Roman" w:cs="Times"/>
        </w:rPr>
        <w:t>A representative map is</w:t>
      </w:r>
      <w:r w:rsidR="005C4B5C" w:rsidRPr="00803ACB">
        <w:rPr>
          <w:rFonts w:eastAsia="Times New Roman" w:cs="Times"/>
        </w:rPr>
        <w:t xml:space="preserve"> shown in </w:t>
      </w:r>
      <w:r w:rsidR="00FD6164" w:rsidRPr="00803ACB">
        <w:rPr>
          <w:rFonts w:eastAsia="Times New Roman" w:cs="Times"/>
          <w:color w:val="0000FF"/>
        </w:rPr>
        <w:t>Fig. S2</w:t>
      </w:r>
      <w:r w:rsidR="005C4B5C" w:rsidRPr="00803ACB">
        <w:rPr>
          <w:rFonts w:eastAsia="Times New Roman" w:cs="Times"/>
        </w:rPr>
        <w:t>.</w:t>
      </w:r>
    </w:p>
    <w:p w14:paraId="6FDF61E4" w14:textId="77777777" w:rsidR="00320FEA" w:rsidRPr="00803ACB" w:rsidRDefault="00320FEA" w:rsidP="00A33081"/>
    <w:p w14:paraId="57EC3014" w14:textId="4EC4FF3A" w:rsidR="00F743C7" w:rsidRDefault="00DC3446" w:rsidP="00A33081">
      <w:pPr>
        <w:rPr>
          <w:rFonts w:eastAsia="Times New Roman" w:cs="Times"/>
        </w:rPr>
      </w:pPr>
      <w:r w:rsidRPr="00803ACB">
        <w:t>Trace element concentrations</w:t>
      </w:r>
      <w:r w:rsidR="00135284" w:rsidRPr="00803ACB">
        <w:t xml:space="preserve"> were determined </w:t>
      </w:r>
      <w:r w:rsidR="00EC0249" w:rsidRPr="00803ACB">
        <w:t xml:space="preserve">in situ </w:t>
      </w:r>
      <w:r w:rsidR="00135284" w:rsidRPr="00803ACB">
        <w:t xml:space="preserve">by </w:t>
      </w:r>
      <w:r w:rsidR="00EC0249" w:rsidRPr="00803ACB">
        <w:t>LAM-ICPMS</w:t>
      </w:r>
      <w:r w:rsidR="00135284" w:rsidRPr="00803ACB">
        <w:t xml:space="preserve"> at </w:t>
      </w:r>
      <w:r w:rsidR="00BC66BB" w:rsidRPr="00803ACB">
        <w:rPr>
          <w:rFonts w:eastAsia="Times New Roman" w:cs="Times"/>
        </w:rPr>
        <w:t>Université du Québec à Chicoutimi</w:t>
      </w:r>
      <w:r w:rsidR="00EE4C05" w:rsidRPr="00803ACB">
        <w:rPr>
          <w:rFonts w:eastAsia="Times New Roman" w:cs="Times"/>
        </w:rPr>
        <w:t xml:space="preserve"> </w:t>
      </w:r>
      <w:r w:rsidR="005C4B5C" w:rsidRPr="00803ACB">
        <w:rPr>
          <w:rFonts w:eastAsia="Times New Roman" w:cs="Times"/>
        </w:rPr>
        <w:t xml:space="preserve">(LabMaTer) </w:t>
      </w:r>
      <w:r w:rsidR="00EE4C05" w:rsidRPr="00803ACB">
        <w:rPr>
          <w:rFonts w:eastAsia="Times New Roman" w:cs="Times"/>
        </w:rPr>
        <w:t>followi</w:t>
      </w:r>
      <w:r w:rsidR="00BC66BB" w:rsidRPr="00803ACB">
        <w:rPr>
          <w:rFonts w:eastAsia="Times New Roman" w:cs="Times"/>
        </w:rPr>
        <w:t>ng</w:t>
      </w:r>
      <w:r w:rsidR="00BC66BB" w:rsidRPr="00803ACB">
        <w:t xml:space="preserve"> methods outlined in Pagé et al. (2012) and</w:t>
      </w:r>
      <w:r w:rsidR="00EE4C05" w:rsidRPr="00803ACB">
        <w:t xml:space="preserve"> Arguin et al. (2016)</w:t>
      </w:r>
      <w:r w:rsidR="00EC0249" w:rsidRPr="00803ACB">
        <w:t>, employing</w:t>
      </w:r>
      <w:r w:rsidR="0035196D" w:rsidRPr="00803ACB">
        <w:t xml:space="preserve"> an</w:t>
      </w:r>
      <w:r w:rsidR="00EC0249" w:rsidRPr="00803ACB">
        <w:t xml:space="preserve"> </w:t>
      </w:r>
      <w:r w:rsidR="0035196D" w:rsidRPr="00803ACB">
        <w:t>ASI RESOlution S-155 Excimer laser ablation microprobe (193 nm) coupled with an Agilent 7</w:t>
      </w:r>
      <w:r w:rsidR="005C4B5C" w:rsidRPr="00803ACB">
        <w:t>9</w:t>
      </w:r>
      <w:r w:rsidR="0035196D" w:rsidRPr="00803ACB">
        <w:t xml:space="preserve">00 Series. Analytical conditions included </w:t>
      </w:r>
      <w:r w:rsidR="0035196D" w:rsidRPr="00803ACB">
        <w:rPr>
          <w:rFonts w:eastAsia="Times New Roman" w:cs="Times"/>
        </w:rPr>
        <w:t xml:space="preserve">a </w:t>
      </w:r>
      <w:r w:rsidR="0035196D" w:rsidRPr="00803ACB">
        <w:t>fluence</w:t>
      </w:r>
      <w:r w:rsidR="0035196D" w:rsidRPr="00803ACB">
        <w:rPr>
          <w:rFonts w:eastAsia="Times New Roman" w:cs="Times"/>
        </w:rPr>
        <w:t xml:space="preserve"> of </w:t>
      </w:r>
      <w:r w:rsidR="005C4B5C" w:rsidRPr="00803ACB">
        <w:rPr>
          <w:rFonts w:eastAsia="Times New Roman" w:cs="Times"/>
        </w:rPr>
        <w:t>5</w:t>
      </w:r>
      <w:r w:rsidR="0035196D" w:rsidRPr="00803ACB">
        <w:rPr>
          <w:rFonts w:eastAsia="Times New Roman" w:cs="Times"/>
        </w:rPr>
        <w:t xml:space="preserve"> J cm</w:t>
      </w:r>
      <w:r w:rsidR="0035196D" w:rsidRPr="00803ACB">
        <w:rPr>
          <w:rFonts w:eastAsia="Times New Roman" w:cs="Times"/>
          <w:position w:val="10"/>
          <w:sz w:val="16"/>
          <w:szCs w:val="16"/>
        </w:rPr>
        <w:t>–2</w:t>
      </w:r>
      <w:r w:rsidR="0035196D" w:rsidRPr="00803ACB">
        <w:rPr>
          <w:rFonts w:eastAsia="Times New Roman" w:cs="Times"/>
        </w:rPr>
        <w:t>, a freq</w:t>
      </w:r>
      <w:r w:rsidR="00EE4C05" w:rsidRPr="00803ACB">
        <w:rPr>
          <w:rFonts w:eastAsia="Times New Roman" w:cs="Times"/>
        </w:rPr>
        <w:t>uency of 1</w:t>
      </w:r>
      <w:r w:rsidR="005C4B5C" w:rsidRPr="00803ACB">
        <w:rPr>
          <w:rFonts w:eastAsia="Times New Roman" w:cs="Times"/>
        </w:rPr>
        <w:t>5</w:t>
      </w:r>
      <w:r w:rsidR="00EE4C05" w:rsidRPr="00803ACB">
        <w:rPr>
          <w:rFonts w:eastAsia="Times New Roman" w:cs="Times"/>
        </w:rPr>
        <w:t xml:space="preserve"> Hz and a beam diameter of </w:t>
      </w:r>
      <w:r w:rsidR="005C4B5C" w:rsidRPr="00803ACB">
        <w:rPr>
          <w:rFonts w:eastAsia="Times New Roman" w:cs="Times"/>
        </w:rPr>
        <w:t>33</w:t>
      </w:r>
      <w:r w:rsidR="0015489A">
        <w:rPr>
          <w:rFonts w:eastAsia="Times New Roman" w:cs="Times"/>
        </w:rPr>
        <w:t xml:space="preserve"> or 100 </w:t>
      </w:r>
      <w:r w:rsidR="0015489A" w:rsidRPr="0015489A">
        <w:rPr>
          <w:rFonts w:ascii="Symbol" w:eastAsia="Times New Roman" w:hAnsi="Symbol" w:cs="Times"/>
        </w:rPr>
        <w:t></w:t>
      </w:r>
      <w:r w:rsidR="0015489A">
        <w:rPr>
          <w:rFonts w:eastAsia="Times New Roman" w:cs="Times"/>
        </w:rPr>
        <w:t>m</w:t>
      </w:r>
      <w:r w:rsidR="0035196D" w:rsidRPr="00803ACB">
        <w:rPr>
          <w:rFonts w:eastAsia="Times New Roman" w:cs="Times"/>
        </w:rPr>
        <w:t>.</w:t>
      </w:r>
      <w:r w:rsidR="00BC66BB" w:rsidRPr="00803ACB">
        <w:rPr>
          <w:rFonts w:eastAsia="Times New Roman" w:cs="Times"/>
        </w:rPr>
        <w:t xml:space="preserve"> Quantification was achieved used reference materials </w:t>
      </w:r>
      <w:r w:rsidR="0096151A" w:rsidRPr="00803ACB">
        <w:rPr>
          <w:rFonts w:eastAsia="Times New Roman" w:cs="Times"/>
        </w:rPr>
        <w:t>PO-727 (Memorial University</w:t>
      </w:r>
      <w:r w:rsidR="00BC66BB" w:rsidRPr="00803ACB">
        <w:rPr>
          <w:rFonts w:eastAsia="Times New Roman" w:cs="Times"/>
        </w:rPr>
        <w:t xml:space="preserve">) </w:t>
      </w:r>
      <w:r w:rsidR="0096151A" w:rsidRPr="00803ACB">
        <w:rPr>
          <w:rFonts w:eastAsia="Times New Roman" w:cs="Times"/>
        </w:rPr>
        <w:t xml:space="preserve">for </w:t>
      </w:r>
      <w:r w:rsidR="00201057" w:rsidRPr="00803ACB">
        <w:rPr>
          <w:rFonts w:eastAsia="Times New Roman" w:cs="Times"/>
        </w:rPr>
        <w:t xml:space="preserve">S, </w:t>
      </w:r>
      <w:r w:rsidR="0096151A" w:rsidRPr="00803ACB">
        <w:rPr>
          <w:rFonts w:eastAsia="Times New Roman" w:cs="Times"/>
        </w:rPr>
        <w:t>PGE and Au</w:t>
      </w:r>
      <w:r w:rsidR="00B76EC1" w:rsidRPr="00803ACB">
        <w:rPr>
          <w:rFonts w:eastAsia="Times New Roman" w:cs="Times"/>
        </w:rPr>
        <w:t>,</w:t>
      </w:r>
      <w:r w:rsidR="0096151A" w:rsidRPr="00803ACB">
        <w:rPr>
          <w:rFonts w:eastAsia="Times New Roman" w:cs="Times"/>
        </w:rPr>
        <w:t xml:space="preserve"> and GSE-1G</w:t>
      </w:r>
      <w:r w:rsidR="00201057" w:rsidRPr="00803ACB">
        <w:rPr>
          <w:rFonts w:eastAsia="Times New Roman" w:cs="Times"/>
        </w:rPr>
        <w:t xml:space="preserve"> and MASS-1</w:t>
      </w:r>
      <w:r w:rsidR="0096151A" w:rsidRPr="00803ACB">
        <w:rPr>
          <w:rFonts w:eastAsia="Times New Roman" w:cs="Times"/>
        </w:rPr>
        <w:t xml:space="preserve"> </w:t>
      </w:r>
      <w:r w:rsidR="00E90DBA" w:rsidRPr="00803ACB">
        <w:rPr>
          <w:rFonts w:eastAsia="Times New Roman" w:cs="Times"/>
        </w:rPr>
        <w:t xml:space="preserve">(USGS) </w:t>
      </w:r>
      <w:r w:rsidR="0096151A" w:rsidRPr="00803ACB">
        <w:rPr>
          <w:rFonts w:eastAsia="Times New Roman" w:cs="Times"/>
        </w:rPr>
        <w:t xml:space="preserve">for </w:t>
      </w:r>
      <w:r w:rsidR="00BC66BB" w:rsidRPr="00803ACB">
        <w:rPr>
          <w:rFonts w:eastAsia="Times New Roman" w:cs="Times"/>
        </w:rPr>
        <w:t>other trace element</w:t>
      </w:r>
      <w:r w:rsidR="0071206C" w:rsidRPr="00803ACB">
        <w:rPr>
          <w:rFonts w:eastAsia="Times New Roman" w:cs="Times"/>
        </w:rPr>
        <w:t>s</w:t>
      </w:r>
      <w:r w:rsidR="00B76EC1" w:rsidRPr="00803ACB">
        <w:rPr>
          <w:rFonts w:eastAsia="Times New Roman" w:cs="Times"/>
        </w:rPr>
        <w:t>,</w:t>
      </w:r>
      <w:r w:rsidR="00BC66BB" w:rsidRPr="00803ACB">
        <w:rPr>
          <w:rFonts w:eastAsia="Times New Roman" w:cs="Times"/>
        </w:rPr>
        <w:t xml:space="preserve"> </w:t>
      </w:r>
      <w:r w:rsidR="00B76EC1" w:rsidRPr="00803ACB">
        <w:rPr>
          <w:rFonts w:eastAsia="Times New Roman" w:cs="Times"/>
        </w:rPr>
        <w:t xml:space="preserve">with </w:t>
      </w:r>
      <w:r w:rsidR="00BC66BB" w:rsidRPr="00803ACB">
        <w:rPr>
          <w:rFonts w:eastAsia="Times New Roman" w:cs="Times"/>
          <w:vertAlign w:val="superscript"/>
        </w:rPr>
        <w:t>57</w:t>
      </w:r>
      <w:r w:rsidR="00BC66BB" w:rsidRPr="00803ACB">
        <w:rPr>
          <w:rFonts w:eastAsia="Times New Roman" w:cs="Times"/>
        </w:rPr>
        <w:t>Fe as the internal standard.</w:t>
      </w:r>
      <w:r w:rsidR="0071206C" w:rsidRPr="00803ACB">
        <w:rPr>
          <w:rFonts w:eastAsia="Times New Roman" w:cs="Times"/>
        </w:rPr>
        <w:t xml:space="preserve"> </w:t>
      </w:r>
      <w:r w:rsidR="00B76EC1" w:rsidRPr="00803ACB">
        <w:rPr>
          <w:rFonts w:eastAsia="Times New Roman" w:cs="Times"/>
        </w:rPr>
        <w:t>Abundances of e</w:t>
      </w:r>
      <w:r w:rsidR="00201057" w:rsidRPr="00803ACB">
        <w:rPr>
          <w:rFonts w:eastAsia="Times New Roman" w:cs="Times"/>
        </w:rPr>
        <w:t>lem</w:t>
      </w:r>
      <w:r w:rsidR="00B76EC1" w:rsidRPr="00803ACB">
        <w:rPr>
          <w:rFonts w:eastAsia="Times New Roman" w:cs="Times"/>
        </w:rPr>
        <w:t>ents calibrated against MASS-1</w:t>
      </w:r>
      <w:r w:rsidR="00201057" w:rsidRPr="00803ACB">
        <w:rPr>
          <w:rFonts w:eastAsia="Times New Roman" w:cs="Times"/>
        </w:rPr>
        <w:t xml:space="preserve"> (Cu, Se, Cd, Te, Pb, Bi) are regarded as semi-quantitative, though useful to reveal whether any of these elements are present at significant levels in spinel. </w:t>
      </w:r>
      <w:r w:rsidR="0071206C" w:rsidRPr="00803ACB">
        <w:t xml:space="preserve">Nickel and Cu argide interferences on Ru, Rh and Pd isotopes were corrected using measured argide production rates and amount to 0.00015% for the interference of </w:t>
      </w:r>
      <w:r w:rsidR="0071206C" w:rsidRPr="00803ACB">
        <w:rPr>
          <w:vertAlign w:val="superscript"/>
        </w:rPr>
        <w:t>61</w:t>
      </w:r>
      <w:r w:rsidR="0071206C" w:rsidRPr="00803ACB">
        <w:t>Ni</w:t>
      </w:r>
      <w:r w:rsidR="0071206C" w:rsidRPr="00803ACB">
        <w:rPr>
          <w:vertAlign w:val="superscript"/>
        </w:rPr>
        <w:t>40</w:t>
      </w:r>
      <w:r w:rsidR="0071206C" w:rsidRPr="00803ACB">
        <w:t xml:space="preserve">Ar on </w:t>
      </w:r>
      <w:r w:rsidR="0071206C" w:rsidRPr="00803ACB">
        <w:rPr>
          <w:vertAlign w:val="superscript"/>
        </w:rPr>
        <w:t>101</w:t>
      </w:r>
      <w:r w:rsidR="0071206C" w:rsidRPr="00803ACB">
        <w:t xml:space="preserve">Ru, 0.0036% for the interference of </w:t>
      </w:r>
      <w:r w:rsidR="0071206C" w:rsidRPr="00803ACB">
        <w:rPr>
          <w:vertAlign w:val="superscript"/>
        </w:rPr>
        <w:t>63</w:t>
      </w:r>
      <w:r w:rsidR="0071206C" w:rsidRPr="00803ACB">
        <w:t>Cu</w:t>
      </w:r>
      <w:r w:rsidR="0071206C" w:rsidRPr="00803ACB">
        <w:rPr>
          <w:vertAlign w:val="superscript"/>
        </w:rPr>
        <w:t>40</w:t>
      </w:r>
      <w:r w:rsidR="0071206C" w:rsidRPr="00803ACB">
        <w:t xml:space="preserve">Ar on </w:t>
      </w:r>
      <w:r w:rsidR="0071206C" w:rsidRPr="00803ACB">
        <w:rPr>
          <w:vertAlign w:val="superscript"/>
        </w:rPr>
        <w:t>103</w:t>
      </w:r>
      <w:r w:rsidR="0071206C" w:rsidRPr="00803ACB">
        <w:t xml:space="preserve">Rh and 0.010% for interference of </w:t>
      </w:r>
      <w:r w:rsidR="0071206C" w:rsidRPr="00803ACB">
        <w:rPr>
          <w:vertAlign w:val="superscript"/>
        </w:rPr>
        <w:t>65</w:t>
      </w:r>
      <w:r w:rsidR="0071206C" w:rsidRPr="00803ACB">
        <w:t>Cu</w:t>
      </w:r>
      <w:r w:rsidR="0071206C" w:rsidRPr="00803ACB">
        <w:rPr>
          <w:vertAlign w:val="superscript"/>
        </w:rPr>
        <w:t>40</w:t>
      </w:r>
      <w:r w:rsidR="0071206C" w:rsidRPr="00803ACB">
        <w:t xml:space="preserve">Ar on </w:t>
      </w:r>
      <w:r w:rsidR="0071206C" w:rsidRPr="00803ACB">
        <w:rPr>
          <w:vertAlign w:val="superscript"/>
        </w:rPr>
        <w:t>105</w:t>
      </w:r>
      <w:r w:rsidR="0071206C" w:rsidRPr="00803ACB">
        <w:t xml:space="preserve">Pd. </w:t>
      </w:r>
      <w:r w:rsidR="00EA7311" w:rsidRPr="00803ACB">
        <w:t xml:space="preserve">Silicon and Ca isotopes were monitored to identify silicate-contaminated spots and such analyses are not considered. </w:t>
      </w:r>
      <w:r w:rsidR="0071206C" w:rsidRPr="00803ACB">
        <w:rPr>
          <w:rFonts w:eastAsia="Times New Roman" w:cs="Times"/>
        </w:rPr>
        <w:t>Several sulphide</w:t>
      </w:r>
      <w:r w:rsidR="0096151A" w:rsidRPr="00803ACB">
        <w:rPr>
          <w:rFonts w:eastAsia="Times New Roman" w:cs="Times"/>
        </w:rPr>
        <w:t xml:space="preserve"> and chromite</w:t>
      </w:r>
      <w:r w:rsidR="0071206C" w:rsidRPr="00803ACB">
        <w:rPr>
          <w:rFonts w:eastAsia="Times New Roman" w:cs="Times"/>
        </w:rPr>
        <w:t xml:space="preserve"> reference materials</w:t>
      </w:r>
      <w:r w:rsidR="00FD06D5" w:rsidRPr="00803ACB">
        <w:rPr>
          <w:rFonts w:eastAsia="Times New Roman" w:cs="Times"/>
        </w:rPr>
        <w:t xml:space="preserve"> (synthetic Fe </w:t>
      </w:r>
      <w:r w:rsidR="00FD06D5" w:rsidRPr="00803ACB">
        <w:rPr>
          <w:rFonts w:eastAsia="Times New Roman" w:cs="Times"/>
        </w:rPr>
        <w:lastRenderedPageBreak/>
        <w:t xml:space="preserve">sulphide JB-mss5 doped with </w:t>
      </w:r>
      <w:r w:rsidR="00153C67" w:rsidRPr="00803ACB">
        <w:rPr>
          <w:rFonts w:eastAsia="Times New Roman" w:cs="Times"/>
        </w:rPr>
        <w:t>20–65 ppm of Au and each PGE:</w:t>
      </w:r>
      <w:r w:rsidR="00FD06D5" w:rsidRPr="00803ACB">
        <w:rPr>
          <w:rFonts w:eastAsia="Times New Roman" w:cs="Times"/>
        </w:rPr>
        <w:t xml:space="preserve"> J. Brenan, </w:t>
      </w:r>
      <w:r w:rsidR="00190B1B" w:rsidRPr="00803ACB">
        <w:rPr>
          <w:rFonts w:eastAsia="Times New Roman" w:cs="Times"/>
        </w:rPr>
        <w:t xml:space="preserve">Dalhousie </w:t>
      </w:r>
      <w:r w:rsidR="00FD06D5" w:rsidRPr="00803ACB">
        <w:rPr>
          <w:rFonts w:eastAsia="Times New Roman" w:cs="Times"/>
        </w:rPr>
        <w:t>University, Canada</w:t>
      </w:r>
      <w:r w:rsidR="00153C67" w:rsidRPr="00803ACB">
        <w:rPr>
          <w:rFonts w:eastAsia="Times New Roman" w:cs="Times"/>
        </w:rPr>
        <w:t>;</w:t>
      </w:r>
      <w:r w:rsidR="00FD06D5" w:rsidRPr="00803ACB">
        <w:rPr>
          <w:rFonts w:eastAsia="Times New Roman" w:cs="Times"/>
        </w:rPr>
        <w:t xml:space="preserve"> </w:t>
      </w:r>
      <w:r w:rsidR="00153C67" w:rsidRPr="00803ACB">
        <w:rPr>
          <w:rFonts w:eastAsia="Times New Roman" w:cs="Times"/>
        </w:rPr>
        <w:t>pressed Fe-Zn-Cu-S powder pellet MASS-1, United States Geological Survey</w:t>
      </w:r>
      <w:r w:rsidR="0096151A" w:rsidRPr="00803ACB">
        <w:rPr>
          <w:rFonts w:eastAsia="Times New Roman" w:cs="Times"/>
        </w:rPr>
        <w:t>; chromite</w:t>
      </w:r>
      <w:r w:rsidR="00754712" w:rsidRPr="00803ACB">
        <w:rPr>
          <w:rFonts w:eastAsia="Times New Roman" w:cs="Times"/>
        </w:rPr>
        <w:t xml:space="preserve"> M1A</w:t>
      </w:r>
      <w:r w:rsidR="0096151A" w:rsidRPr="00803ACB">
        <w:rPr>
          <w:rFonts w:eastAsia="Times New Roman" w:cs="Times"/>
        </w:rPr>
        <w:t xml:space="preserve"> from Thetford Mines ophiolite: Pagé and Barnes, 2009; Pagé et al., 2012</w:t>
      </w:r>
      <w:r w:rsidR="00754712" w:rsidRPr="00803ACB">
        <w:rPr>
          <w:rFonts w:eastAsia="Times New Roman" w:cs="Times"/>
        </w:rPr>
        <w:t>; chromite AX-37 from the Alexo komatiite; Arguin et al., 2016</w:t>
      </w:r>
      <w:r w:rsidR="00FD06D5" w:rsidRPr="00803ACB">
        <w:rPr>
          <w:rFonts w:eastAsia="Times New Roman" w:cs="Times"/>
        </w:rPr>
        <w:t>)</w:t>
      </w:r>
      <w:r w:rsidR="0071206C" w:rsidRPr="00803ACB">
        <w:rPr>
          <w:rFonts w:eastAsia="Times New Roman" w:cs="Times"/>
        </w:rPr>
        <w:t xml:space="preserve"> were measured as unknowns to check accuracy</w:t>
      </w:r>
      <w:r w:rsidR="00EC02D9" w:rsidRPr="00803ACB">
        <w:rPr>
          <w:rFonts w:eastAsia="Times New Roman" w:cs="Times"/>
        </w:rPr>
        <w:t xml:space="preserve"> (note that Rh and Pd for MASS-1 are not </w:t>
      </w:r>
      <w:r w:rsidR="002F0B80" w:rsidRPr="00803ACB">
        <w:rPr>
          <w:rFonts w:eastAsia="Times New Roman" w:cs="Times"/>
        </w:rPr>
        <w:t>quantifiable due to its Cu-rich matrix</w:t>
      </w:r>
      <w:r w:rsidR="001F5C9B" w:rsidRPr="00803ACB">
        <w:rPr>
          <w:rFonts w:eastAsia="Times New Roman" w:cs="Times"/>
        </w:rPr>
        <w:t xml:space="preserve"> requiring too large a correction</w:t>
      </w:r>
      <w:r w:rsidR="002F0B80" w:rsidRPr="00803ACB">
        <w:rPr>
          <w:rFonts w:eastAsia="Times New Roman" w:cs="Times"/>
        </w:rPr>
        <w:t>; cf. Baumgartner et al., 2017)</w:t>
      </w:r>
      <w:r w:rsidR="0071206C" w:rsidRPr="00803ACB">
        <w:rPr>
          <w:rFonts w:eastAsia="Times New Roman" w:cs="Times"/>
        </w:rPr>
        <w:t xml:space="preserve">. </w:t>
      </w:r>
    </w:p>
    <w:p w14:paraId="0689128D" w14:textId="77777777" w:rsidR="005B607C" w:rsidRPr="00803ACB" w:rsidRDefault="005B607C" w:rsidP="00A33081">
      <w:pPr>
        <w:rPr>
          <w:rFonts w:eastAsia="Times New Roman" w:cs="Times"/>
        </w:rPr>
      </w:pPr>
    </w:p>
    <w:p w14:paraId="6DA1B202" w14:textId="2CA66FEF" w:rsidR="00A63850" w:rsidRPr="00803ACB" w:rsidRDefault="00B712A4" w:rsidP="008C0925">
      <w:pPr>
        <w:pStyle w:val="berschrift1"/>
        <w:ind w:left="0" w:firstLine="0"/>
        <w:rPr>
          <w:b w:val="0"/>
        </w:rPr>
      </w:pPr>
      <w:r w:rsidRPr="00803ACB">
        <w:t>3</w:t>
      </w:r>
      <w:r w:rsidR="00BE5800" w:rsidRPr="00803ACB">
        <w:t>.</w:t>
      </w:r>
      <w:r w:rsidR="00A63850" w:rsidRPr="00803ACB">
        <w:t xml:space="preserve"> Challenges for quantitative element determination in mantle </w:t>
      </w:r>
      <w:r w:rsidRPr="00803ACB">
        <w:t>sulphides</w:t>
      </w:r>
    </w:p>
    <w:p w14:paraId="4C3BECD4" w14:textId="78414E78" w:rsidR="005A1691" w:rsidRPr="00803ACB" w:rsidRDefault="005A1691" w:rsidP="009A22A4">
      <w:pPr>
        <w:pStyle w:val="berschrift2"/>
      </w:pPr>
      <w:r w:rsidRPr="00803ACB">
        <w:t xml:space="preserve">3.1 </w:t>
      </w:r>
      <w:r w:rsidR="00225D0D" w:rsidRPr="00803ACB">
        <w:t>Inclusions</w:t>
      </w:r>
    </w:p>
    <w:p w14:paraId="68C16793" w14:textId="4806F170" w:rsidR="003D5BDD" w:rsidRPr="00803ACB" w:rsidRDefault="00D50AAA" w:rsidP="00A63850">
      <w:pPr>
        <w:rPr>
          <w:u w:val="single"/>
        </w:rPr>
      </w:pPr>
      <w:r w:rsidRPr="00803ACB">
        <w:t>In mantle peridotite xenoliths that were originally depleted beyond sulphide</w:t>
      </w:r>
      <w:r w:rsidR="00405756" w:rsidRPr="00803ACB">
        <w:t xml:space="preserve"> exhaustion,</w:t>
      </w:r>
      <w:r w:rsidRPr="00803ACB">
        <w:t xml:space="preserve"> but experienced “resulphidation”</w:t>
      </w:r>
      <w:r w:rsidR="00405756" w:rsidRPr="00803ACB">
        <w:t>,</w:t>
      </w:r>
      <w:r w:rsidRPr="00803ACB">
        <w:t xml:space="preserve"> </w:t>
      </w:r>
      <w:r w:rsidR="00405756" w:rsidRPr="00803ACB">
        <w:t xml:space="preserve">inclusions of </w:t>
      </w:r>
      <w:r w:rsidRPr="00803ACB">
        <w:t xml:space="preserve">PGM </w:t>
      </w:r>
      <w:r w:rsidR="00405756" w:rsidRPr="00803ACB">
        <w:t>(platinum-group minerals) and/</w:t>
      </w:r>
      <w:r w:rsidRPr="00803ACB">
        <w:t xml:space="preserve">or IPGE </w:t>
      </w:r>
      <w:r w:rsidR="00F672CE" w:rsidRPr="00803ACB">
        <w:t xml:space="preserve">(Ir-group PGE = Os, Ir, Ru) </w:t>
      </w:r>
      <w:r w:rsidRPr="00803ACB">
        <w:t>alloy are common (e.g., Luguet et al., 2007; Lorand et al., 2010)</w:t>
      </w:r>
      <w:r w:rsidR="00B76EC1" w:rsidRPr="00803ACB">
        <w:t>. PGM</w:t>
      </w:r>
      <w:r w:rsidRPr="00803ACB">
        <w:t xml:space="preserve"> may also saturate from metasomatic melts in which their solubility is low (e.g.</w:t>
      </w:r>
      <w:r w:rsidR="00405756" w:rsidRPr="00803ACB">
        <w:t>,</w:t>
      </w:r>
      <w:r w:rsidRPr="00803ACB">
        <w:t xml:space="preserve"> O'Neill et al., 1995). Tellurides, arsenides and other intermetallic compounds have been described (Lorand et al., 2010; 2013). In this study, c</w:t>
      </w:r>
      <w:r w:rsidR="00225D0D" w:rsidRPr="00803ACB">
        <w:t>oncentrations of single elements or groups of elements several times greater than those determined in the majority of analyses in a single mineral and sample suggest that</w:t>
      </w:r>
      <w:r w:rsidR="008C0925">
        <w:t xml:space="preserve"> micro-</w:t>
      </w:r>
      <w:r w:rsidR="00225D0D" w:rsidRPr="00803ACB">
        <w:t xml:space="preserve">inclusions were-co-ablated. Depending on </w:t>
      </w:r>
      <w:r w:rsidR="00405756" w:rsidRPr="00803ACB">
        <w:t xml:space="preserve">their </w:t>
      </w:r>
      <w:r w:rsidR="00225D0D" w:rsidRPr="00803ACB">
        <w:t>size</w:t>
      </w:r>
      <w:r w:rsidR="00405756" w:rsidRPr="00803ACB">
        <w:t>,</w:t>
      </w:r>
      <w:r w:rsidR="00225D0D" w:rsidRPr="00803ACB">
        <w:t xml:space="preserve"> </w:t>
      </w:r>
      <w:r w:rsidR="00405756" w:rsidRPr="00803ACB">
        <w:t xml:space="preserve">ablation of these inclusions </w:t>
      </w:r>
      <w:r w:rsidR="00225D0D" w:rsidRPr="00803ACB">
        <w:t xml:space="preserve">may produce spikes or more sustained </w:t>
      </w:r>
      <w:r w:rsidR="00D2057B" w:rsidRPr="00803ACB">
        <w:t>peaks</w:t>
      </w:r>
      <w:r w:rsidR="00225D0D" w:rsidRPr="00803ACB">
        <w:t xml:space="preserve"> in the </w:t>
      </w:r>
      <w:r w:rsidR="00B76EC1" w:rsidRPr="00803ACB">
        <w:t xml:space="preserve">time-resolved </w:t>
      </w:r>
      <w:r w:rsidR="00405756" w:rsidRPr="00803ACB">
        <w:t>spectra</w:t>
      </w:r>
      <w:r w:rsidR="00225D0D" w:rsidRPr="00803ACB">
        <w:t>. Thus, some analyses are mixtures between sulphide and inclusions</w:t>
      </w:r>
      <w:r w:rsidR="00B76EC1" w:rsidRPr="00803ACB">
        <w:t xml:space="preserve">, as listed in </w:t>
      </w:r>
      <w:r w:rsidR="00B76EC1" w:rsidRPr="00803ACB">
        <w:rPr>
          <w:color w:val="0000FF"/>
        </w:rPr>
        <w:t>Appendix 3</w:t>
      </w:r>
      <w:r w:rsidR="008C0925">
        <w:t>.</w:t>
      </w:r>
      <w:r w:rsidR="00225D0D" w:rsidRPr="00803ACB">
        <w:t xml:space="preserve"> </w:t>
      </w:r>
      <w:r w:rsidR="008C0925" w:rsidRPr="00803ACB">
        <w:t>The presence of such inclusions and the chemical compositions of inclusion-contaminated analyses have petrogenetic impl</w:t>
      </w:r>
      <w:r w:rsidR="008C0925">
        <w:t>ications that will be discussed</w:t>
      </w:r>
      <w:r w:rsidR="00225D0D" w:rsidRPr="00803ACB">
        <w:t xml:space="preserve">. </w:t>
      </w:r>
      <w:r w:rsidR="00FF724B">
        <w:t>Native Ni</w:t>
      </w:r>
      <w:r w:rsidR="00405756" w:rsidRPr="00803ACB">
        <w:t xml:space="preserve"> </w:t>
      </w:r>
      <w:r w:rsidR="00D2057B" w:rsidRPr="00803ACB">
        <w:t xml:space="preserve">is free from such </w:t>
      </w:r>
      <w:r w:rsidR="00D2057B" w:rsidRPr="00803ACB">
        <w:lastRenderedPageBreak/>
        <w:t xml:space="preserve">inclusions at the micron-scale resolution permitted by </w:t>
      </w:r>
      <w:r w:rsidR="00405756" w:rsidRPr="00803ACB">
        <w:t xml:space="preserve">optical and electron microscopy </w:t>
      </w:r>
      <w:r w:rsidR="00D2057B" w:rsidRPr="00803ACB">
        <w:t>methods or the duration of one element sweep during LAM ICPMS analysi</w:t>
      </w:r>
      <w:r w:rsidR="00740D20" w:rsidRPr="00803ACB">
        <w:t>s</w:t>
      </w:r>
      <w:r w:rsidR="00D2057B" w:rsidRPr="00803ACB">
        <w:t xml:space="preserve">. </w:t>
      </w:r>
    </w:p>
    <w:p w14:paraId="3792B744" w14:textId="7C6C4BA6" w:rsidR="005A1691" w:rsidRPr="00803ACB" w:rsidRDefault="005A1691" w:rsidP="009A22A4">
      <w:pPr>
        <w:pStyle w:val="berschrift2"/>
      </w:pPr>
      <w:r w:rsidRPr="00803ACB">
        <w:t xml:space="preserve">3.2 </w:t>
      </w:r>
      <w:r w:rsidR="00D62F9A" w:rsidRPr="00803ACB">
        <w:t>Ablation of m</w:t>
      </w:r>
      <w:r w:rsidR="0068424C" w:rsidRPr="00803ACB">
        <w:t>ixed sulphide minerals</w:t>
      </w:r>
    </w:p>
    <w:p w14:paraId="6F36F3EE" w14:textId="4D692FC0" w:rsidR="00A63850" w:rsidRPr="00803ACB" w:rsidRDefault="00A63850" w:rsidP="00A63850">
      <w:pPr>
        <w:rPr>
          <w:u w:val="single"/>
        </w:rPr>
      </w:pPr>
      <w:r w:rsidRPr="00803ACB">
        <w:t>Mantle sulphides typically are Ni-rich and may contain significant amounts of Cu (e.g.</w:t>
      </w:r>
      <w:r w:rsidR="007B121D" w:rsidRPr="00803ACB">
        <w:t>,</w:t>
      </w:r>
      <w:r w:rsidRPr="00803ACB">
        <w:t xml:space="preserve"> Lorand and Grégoire, 2006). </w:t>
      </w:r>
      <w:r w:rsidR="003D1695" w:rsidRPr="00803ACB">
        <w:t>A</w:t>
      </w:r>
      <w:r w:rsidRPr="00803ACB">
        <w:t xml:space="preserve"> common challenge in the determination of trace elements in sulphide minerals from mantle xenoliths is the decomposition of</w:t>
      </w:r>
      <w:r w:rsidR="003D1695" w:rsidRPr="00803ACB">
        <w:t xml:space="preserve"> Ni-rich</w:t>
      </w:r>
      <w:r w:rsidRPr="00803ACB">
        <w:t xml:space="preserve"> high-temperature monosulphides into low-temperature assemblages (e.g., Alard et al., 2000), which is accompanied by differential redistribution of trace elements into the newly</w:t>
      </w:r>
      <w:r w:rsidR="007B121D" w:rsidRPr="00803ACB">
        <w:t xml:space="preserve"> </w:t>
      </w:r>
      <w:r w:rsidRPr="00803ACB">
        <w:t>stabilised minerals (e.g.</w:t>
      </w:r>
      <w:r w:rsidR="007B121D" w:rsidRPr="00803ACB">
        <w:t>,</w:t>
      </w:r>
      <w:r w:rsidRPr="00803ACB">
        <w:t xml:space="preserve"> van Acken et al., 2010). This implies that trace-element abundances determined in one low-temperature mineral </w:t>
      </w:r>
      <w:r w:rsidR="008A12E9">
        <w:t>are</w:t>
      </w:r>
      <w:r w:rsidRPr="00803ACB">
        <w:t xml:space="preserve"> not necessarily representative of the bulk sulphide at mantle depth</w:t>
      </w:r>
      <w:r w:rsidR="007B121D" w:rsidRPr="00803ACB">
        <w:t>s</w:t>
      </w:r>
      <w:r w:rsidRPr="00803ACB">
        <w:t xml:space="preserve">. This can be remedied by analysing all low-temperature minerals and reconstructing the </w:t>
      </w:r>
      <w:r w:rsidR="007B121D" w:rsidRPr="00803ACB">
        <w:t xml:space="preserve">original </w:t>
      </w:r>
      <w:r w:rsidRPr="00803ACB">
        <w:t>bulk sulphide using modal abundances, which is feasible for major elements determined by EPMA with a resolution of a few micro</w:t>
      </w:r>
      <w:r w:rsidR="008A12E9">
        <w:t>n</w:t>
      </w:r>
      <w:r w:rsidRPr="00803ACB">
        <w:t xml:space="preserve"> (e.g.</w:t>
      </w:r>
      <w:r w:rsidR="007B121D" w:rsidRPr="00803ACB">
        <w:t>,</w:t>
      </w:r>
      <w:r w:rsidRPr="00803ACB">
        <w:t xml:space="preserve"> Aulbach et al., 2004). However, fine intergrowths or preferential alteration of part of the low-temperature assemblage, with Fe-rich </w:t>
      </w:r>
      <w:r w:rsidR="00BD5812" w:rsidRPr="00803ACB">
        <w:t xml:space="preserve">BMS </w:t>
      </w:r>
      <w:r w:rsidRPr="00803ACB">
        <w:t>more affected than Ni- and Cu-rich ones (</w:t>
      </w:r>
      <w:r w:rsidR="00BD5812" w:rsidRPr="00803ACB">
        <w:t xml:space="preserve">e.g., </w:t>
      </w:r>
      <w:r w:rsidRPr="00803ACB">
        <w:t xml:space="preserve">Aulbach et al., 2019) precludes this approach for the much larger volume sampled by LAM. One </w:t>
      </w:r>
      <w:r w:rsidR="00FD6164" w:rsidRPr="00803ACB">
        <w:t>solution</w:t>
      </w:r>
      <w:r w:rsidRPr="00803ACB">
        <w:t xml:space="preserve"> is to analyse the entire sulphide (e.g.</w:t>
      </w:r>
      <w:r w:rsidR="007B121D" w:rsidRPr="00803ACB">
        <w:t>,</w:t>
      </w:r>
      <w:r w:rsidRPr="00803ACB">
        <w:t xml:space="preserve"> Burness et al., 2020), although this may fail to capture chalcopyrite, which is typically concentrated at the rims </w:t>
      </w:r>
      <w:r w:rsidR="007B121D" w:rsidRPr="00803ACB">
        <w:t xml:space="preserve">of the sulphide assemblage </w:t>
      </w:r>
      <w:r w:rsidRPr="00803ACB">
        <w:t>(e.g.</w:t>
      </w:r>
      <w:r w:rsidR="007B121D" w:rsidRPr="00803ACB">
        <w:t>,</w:t>
      </w:r>
      <w:r w:rsidRPr="00803ACB">
        <w:t xml:space="preserve"> Alard et al., 2002). </w:t>
      </w:r>
    </w:p>
    <w:p w14:paraId="2BD29521" w14:textId="6E4DD1E4" w:rsidR="00C77117" w:rsidRPr="00803ACB" w:rsidRDefault="00C77117" w:rsidP="00A63850"/>
    <w:p w14:paraId="3A79F8B6" w14:textId="15CD9A8B" w:rsidR="00C77117" w:rsidRPr="00803ACB" w:rsidRDefault="00C77117" w:rsidP="00A63850">
      <w:r w:rsidRPr="00803ACB">
        <w:t xml:space="preserve">Mixed </w:t>
      </w:r>
      <w:r w:rsidR="00706057" w:rsidRPr="00803ACB">
        <w:t>sulphide</w:t>
      </w:r>
      <w:r w:rsidR="0093632C" w:rsidRPr="00803ACB">
        <w:t xml:space="preserve"> </w:t>
      </w:r>
      <w:r w:rsidRPr="00803ACB">
        <w:t xml:space="preserve">phases were ablated in several instances, such as co-ablation of heazlewoodite with pentlandite in MARID </w:t>
      </w:r>
      <w:r w:rsidR="007B121D" w:rsidRPr="00803ACB">
        <w:t xml:space="preserve">sample </w:t>
      </w:r>
      <w:r w:rsidRPr="00803ACB">
        <w:t xml:space="preserve">BLXF-3 and in polymict </w:t>
      </w:r>
      <w:r w:rsidR="007B121D" w:rsidRPr="00803ACB">
        <w:t xml:space="preserve">breccia </w:t>
      </w:r>
      <w:r w:rsidR="000556AA" w:rsidRPr="00803ACB">
        <w:t xml:space="preserve">DU-1 and with chalcopyrite in polymict </w:t>
      </w:r>
      <w:r w:rsidR="007B121D" w:rsidRPr="00803ACB">
        <w:t xml:space="preserve">breccia </w:t>
      </w:r>
      <w:r w:rsidR="000556AA" w:rsidRPr="00803ACB">
        <w:t xml:space="preserve">JJG1414, and co-ablation of chalcopyrite with </w:t>
      </w:r>
      <w:r w:rsidR="000556AA" w:rsidRPr="00803ACB">
        <w:lastRenderedPageBreak/>
        <w:t xml:space="preserve">pentlandite in polymict </w:t>
      </w:r>
      <w:r w:rsidR="007B121D" w:rsidRPr="00803ACB">
        <w:t xml:space="preserve">breccias </w:t>
      </w:r>
      <w:r w:rsidR="000556AA" w:rsidRPr="00803ACB">
        <w:t>DU-1, BD2666 and JJG1414 (</w:t>
      </w:r>
      <w:r w:rsidR="000556AA" w:rsidRPr="00803ACB">
        <w:rPr>
          <w:color w:val="0000FF"/>
        </w:rPr>
        <w:t xml:space="preserve">Appendix </w:t>
      </w:r>
      <w:r w:rsidR="0066646D" w:rsidRPr="00803ACB">
        <w:rPr>
          <w:color w:val="0000FF"/>
        </w:rPr>
        <w:t>3</w:t>
      </w:r>
      <w:r w:rsidR="000556AA" w:rsidRPr="00803ACB">
        <w:t>). The effect is assessed for pentlandite and heazlewoodi</w:t>
      </w:r>
      <w:r w:rsidR="00FD6164" w:rsidRPr="00803ACB">
        <w:t>t</w:t>
      </w:r>
      <w:r w:rsidR="000556AA" w:rsidRPr="00803ACB">
        <w:t xml:space="preserve">e in </w:t>
      </w:r>
      <w:r w:rsidR="007B121D" w:rsidRPr="00803ACB">
        <w:t xml:space="preserve">sample </w:t>
      </w:r>
      <w:r w:rsidR="000556AA" w:rsidRPr="00803ACB">
        <w:t xml:space="preserve">DU-1 where a large number of </w:t>
      </w:r>
      <w:r w:rsidR="007B121D" w:rsidRPr="00803ACB">
        <w:t xml:space="preserve">inclusion-free </w:t>
      </w:r>
      <w:r w:rsidR="000556AA" w:rsidRPr="00803ACB">
        <w:t>analyses is available.</w:t>
      </w:r>
      <w:r w:rsidR="00F53FDA" w:rsidRPr="00803ACB">
        <w:t xml:space="preserve"> Whereas for the transition metals (e.g.</w:t>
      </w:r>
      <w:r w:rsidR="007B121D" w:rsidRPr="00803ACB">
        <w:t>,</w:t>
      </w:r>
      <w:r w:rsidR="00F53FDA" w:rsidRPr="00803ACB">
        <w:t xml:space="preserve"> Co and Cu; </w:t>
      </w:r>
      <w:r w:rsidR="0066646D" w:rsidRPr="00803ACB">
        <w:rPr>
          <w:color w:val="0000FF"/>
        </w:rPr>
        <w:t>Fig. S3</w:t>
      </w:r>
      <w:r w:rsidR="007D5B9D" w:rsidRPr="00803ACB">
        <w:rPr>
          <w:color w:val="0000FF"/>
        </w:rPr>
        <w:t>A</w:t>
      </w:r>
      <w:r w:rsidR="00F53FDA" w:rsidRPr="00803ACB">
        <w:t>) the mixtures are largely intermediate between the pure sulphide minerals, these relationships break down for the chalcophile elements (e.g.</w:t>
      </w:r>
      <w:r w:rsidR="007B121D" w:rsidRPr="00803ACB">
        <w:t>,</w:t>
      </w:r>
      <w:r w:rsidR="00F53FDA" w:rsidRPr="00803ACB">
        <w:t xml:space="preserve"> Zn and Pb; </w:t>
      </w:r>
      <w:r w:rsidR="0066646D" w:rsidRPr="00803ACB">
        <w:rPr>
          <w:color w:val="0000FF"/>
        </w:rPr>
        <w:t>Fig. S3</w:t>
      </w:r>
      <w:r w:rsidR="007D5B9D" w:rsidRPr="00803ACB">
        <w:rPr>
          <w:color w:val="0000FF"/>
        </w:rPr>
        <w:t>B</w:t>
      </w:r>
      <w:r w:rsidR="00F53FDA" w:rsidRPr="00803ACB">
        <w:t>) or the PGE (</w:t>
      </w:r>
      <w:r w:rsidR="0066646D" w:rsidRPr="00803ACB">
        <w:rPr>
          <w:color w:val="0000FF"/>
        </w:rPr>
        <w:t>Fig. S3</w:t>
      </w:r>
      <w:r w:rsidR="007D5B9D" w:rsidRPr="00803ACB">
        <w:rPr>
          <w:color w:val="0000FF"/>
        </w:rPr>
        <w:t>C</w:t>
      </w:r>
      <w:r w:rsidR="00F53FDA" w:rsidRPr="00803ACB">
        <w:t xml:space="preserve">), where the distinctions between the pure phases also </w:t>
      </w:r>
      <w:r w:rsidR="009939A6" w:rsidRPr="00803ACB">
        <w:t>become unclear</w:t>
      </w:r>
      <w:r w:rsidR="00F53FDA" w:rsidRPr="00803ACB">
        <w:t>.</w:t>
      </w:r>
      <w:r w:rsidR="0093632C" w:rsidRPr="00803ACB">
        <w:t xml:space="preserve"> </w:t>
      </w:r>
      <w:r w:rsidR="008A12E9">
        <w:t>T</w:t>
      </w:r>
      <w:r w:rsidR="0093632C" w:rsidRPr="00803ACB">
        <w:t>he abundances of some trace elements (</w:t>
      </w:r>
      <w:r w:rsidR="00337C33" w:rsidRPr="00803ACB">
        <w:t>Pb, Ru</w:t>
      </w:r>
      <w:r w:rsidR="0093632C" w:rsidRPr="00803ACB">
        <w:t>) are higher in the mixtures than in the pure minerals</w:t>
      </w:r>
      <w:r w:rsidR="000874F6" w:rsidRPr="00803ACB">
        <w:t xml:space="preserve"> (note that the internal standard was roughly adjusted to account for the relative contribution of the mixed phases)</w:t>
      </w:r>
      <w:r w:rsidR="00B778FD" w:rsidRPr="00803ACB">
        <w:t>, begging the question whether the formation of the intergrowth</w:t>
      </w:r>
      <w:r w:rsidR="009939A6" w:rsidRPr="00803ACB">
        <w:t>s</w:t>
      </w:r>
      <w:r w:rsidR="00B778FD" w:rsidRPr="00803ACB">
        <w:t xml:space="preserve"> is the result of a non-isochemical process (e.g.</w:t>
      </w:r>
      <w:r w:rsidR="007B121D" w:rsidRPr="00803ACB">
        <w:t>,</w:t>
      </w:r>
      <w:r w:rsidR="00B778FD" w:rsidRPr="00803ACB">
        <w:t xml:space="preserve"> ingress of fluid</w:t>
      </w:r>
      <w:r w:rsidR="009939A6" w:rsidRPr="00803ACB">
        <w:t xml:space="preserve"> aiding low-temperature re-equilibration</w:t>
      </w:r>
      <w:r w:rsidR="00B778FD" w:rsidRPr="00803ACB">
        <w:t xml:space="preserve">). </w:t>
      </w:r>
      <w:r w:rsidR="00022FE5" w:rsidRPr="00803ACB">
        <w:t xml:space="preserve">In order to avoid complication from the analyses of such mixtures, we </w:t>
      </w:r>
      <w:r w:rsidR="00D50AAA" w:rsidRPr="00803ACB">
        <w:t>describe and discuss results only for pure minerals.</w:t>
      </w:r>
    </w:p>
    <w:p w14:paraId="0BCC3534" w14:textId="20ADDBCC" w:rsidR="005A1691" w:rsidRPr="00803ACB" w:rsidRDefault="005A1691" w:rsidP="009A22A4">
      <w:pPr>
        <w:pStyle w:val="berschrift2"/>
      </w:pPr>
      <w:r w:rsidRPr="00803ACB">
        <w:t xml:space="preserve">3.3 </w:t>
      </w:r>
      <w:r w:rsidR="005B5EA6" w:rsidRPr="00803ACB">
        <w:t>Serpentinisation</w:t>
      </w:r>
      <w:r w:rsidR="007F75FD" w:rsidRPr="00803ACB">
        <w:t xml:space="preserve"> – intergrowth with magnetite and serpentine</w:t>
      </w:r>
      <w:r w:rsidR="00B712A4" w:rsidRPr="00803ACB">
        <w:t xml:space="preserve">. </w:t>
      </w:r>
    </w:p>
    <w:p w14:paraId="6A6B18B6" w14:textId="290DC68B" w:rsidR="006C5516" w:rsidRDefault="0093632C" w:rsidP="00A92D7F">
      <w:r w:rsidRPr="00803ACB">
        <w:t>S</w:t>
      </w:r>
      <w:r w:rsidR="00A63850" w:rsidRPr="00803ACB">
        <w:t>econdary non-sulphide miner</w:t>
      </w:r>
      <w:r w:rsidR="00D12963" w:rsidRPr="00803ACB">
        <w:t>als form</w:t>
      </w:r>
      <w:r w:rsidR="00F07D4E" w:rsidRPr="00803ACB">
        <w:t xml:space="preserve"> upon low-temperature </w:t>
      </w:r>
      <w:r w:rsidR="00A63850" w:rsidRPr="00803ACB">
        <w:t>serpentinisation, s</w:t>
      </w:r>
      <w:r w:rsidR="00D12963" w:rsidRPr="00803ACB">
        <w:t>uch as magnetite and serpentine</w:t>
      </w:r>
      <w:r w:rsidR="00A63850" w:rsidRPr="00803ACB">
        <w:t xml:space="preserve">. This applies to sulphides in mantle xenoliths </w:t>
      </w:r>
      <w:r w:rsidR="009939A6" w:rsidRPr="00803ACB">
        <w:t>from</w:t>
      </w:r>
      <w:r w:rsidR="00A63850" w:rsidRPr="00803ACB">
        <w:t xml:space="preserve"> the Kaapvaal craton (Lorand and Grégoire, 2006) </w:t>
      </w:r>
      <w:r w:rsidR="009939A6" w:rsidRPr="00803ACB">
        <w:t>including</w:t>
      </w:r>
      <w:r w:rsidR="00A63850" w:rsidRPr="00803ACB">
        <w:t xml:space="preserve"> this study</w:t>
      </w:r>
      <w:r w:rsidR="00B6377F" w:rsidRPr="00803ACB">
        <w:t xml:space="preserve"> (Section 3)</w:t>
      </w:r>
      <w:r w:rsidR="00A63850" w:rsidRPr="00803ACB">
        <w:t>. These secondary minerals form fine intergrowths with remnant “primary” sulphide (</w:t>
      </w:r>
      <w:r w:rsidR="00A63850" w:rsidRPr="00803ACB">
        <w:rPr>
          <w:color w:val="0000FF"/>
        </w:rPr>
        <w:t xml:space="preserve">Fig. </w:t>
      </w:r>
      <w:r w:rsidR="005B69E4" w:rsidRPr="00803ACB">
        <w:rPr>
          <w:color w:val="0000FF"/>
        </w:rPr>
        <w:t>4</w:t>
      </w:r>
      <w:r w:rsidR="00A63850" w:rsidRPr="00803ACB">
        <w:t>)</w:t>
      </w:r>
      <w:r w:rsidR="00D12963" w:rsidRPr="00803ACB">
        <w:t>,</w:t>
      </w:r>
      <w:r w:rsidR="00A63850" w:rsidRPr="00803ACB">
        <w:t xml:space="preserve"> and </w:t>
      </w:r>
      <w:r w:rsidR="008A12E9">
        <w:t>are sampled together during LAM-</w:t>
      </w:r>
      <w:r w:rsidR="00A63850" w:rsidRPr="00803ACB">
        <w:t xml:space="preserve">ICPMS analyses. Given the subordinate volume and the generally trace element-poor nature of secondary magnetite, especially if co-existing with pentlandite (Boutroy et al., 2014), it is </w:t>
      </w:r>
      <w:r w:rsidR="00844A06" w:rsidRPr="00803ACB">
        <w:t>possible</w:t>
      </w:r>
      <w:r w:rsidR="00A63850" w:rsidRPr="00803ACB">
        <w:t xml:space="preserve"> that co-ablation dilutes the abundances of strongly siderophile elements</w:t>
      </w:r>
      <w:r w:rsidR="001C768E" w:rsidRPr="00803ACB">
        <w:t xml:space="preserve">. </w:t>
      </w:r>
      <w:r w:rsidR="00D12963" w:rsidRPr="00803ACB">
        <w:t xml:space="preserve"> </w:t>
      </w:r>
      <w:r w:rsidR="00A63850" w:rsidRPr="00803ACB">
        <w:t xml:space="preserve">Replacement by non-sulphides affects in particular the margins </w:t>
      </w:r>
      <w:r w:rsidR="005E3C50" w:rsidRPr="00803ACB">
        <w:t xml:space="preserve">and, in some case, cores </w:t>
      </w:r>
      <w:r w:rsidR="00A63850" w:rsidRPr="00803ACB">
        <w:t>of pentlandite grains in phlogopite-rich spinel peridotite and MARID</w:t>
      </w:r>
      <w:r w:rsidR="005E3C50" w:rsidRPr="00803ACB">
        <w:t xml:space="preserve"> samples</w:t>
      </w:r>
      <w:r w:rsidR="00A63850" w:rsidRPr="00803ACB">
        <w:t xml:space="preserve">, and varies in extent from complete obliteration of the original </w:t>
      </w:r>
      <w:r w:rsidR="00A63850" w:rsidRPr="00803ACB">
        <w:lastRenderedPageBreak/>
        <w:t xml:space="preserve">sulphide to minor </w:t>
      </w:r>
      <w:r w:rsidR="005E3C50" w:rsidRPr="00803ACB">
        <w:t>alteration (</w:t>
      </w:r>
      <w:r w:rsidR="00B03136" w:rsidRPr="00420D33">
        <w:rPr>
          <w:color w:val="0000FF"/>
        </w:rPr>
        <w:t>Fig. 4</w:t>
      </w:r>
      <w:r w:rsidR="005E3C50" w:rsidRPr="00803ACB">
        <w:t>)</w:t>
      </w:r>
      <w:r w:rsidR="00A63850" w:rsidRPr="00803ACB">
        <w:t>.</w:t>
      </w:r>
      <w:r w:rsidR="00A63850" w:rsidRPr="00803ACB">
        <w:rPr>
          <w:rFonts w:cs="Times New Roman"/>
        </w:rPr>
        <w:t xml:space="preserve"> Although replacement by magnetite and heazlewoodite dominates in the polymict breccias, portions of large Fe-Ni-Cu sulphides are fresh, facilitating LAM sampling of pure phases. Likewise, </w:t>
      </w:r>
      <w:r w:rsidR="00FF724B">
        <w:rPr>
          <w:rFonts w:cs="Times New Roman"/>
        </w:rPr>
        <w:t xml:space="preserve">native </w:t>
      </w:r>
      <w:r w:rsidR="00A63850" w:rsidRPr="00803ACB">
        <w:t>Ni</w:t>
      </w:r>
      <w:r w:rsidR="00420D33">
        <w:t xml:space="preserve"> </w:t>
      </w:r>
      <w:r w:rsidR="00A63850" w:rsidRPr="00803ACB">
        <w:t xml:space="preserve">and associated heazlewoodite are </w:t>
      </w:r>
      <w:r w:rsidR="005E3C50" w:rsidRPr="00803ACB">
        <w:t xml:space="preserve">largely free of </w:t>
      </w:r>
      <w:r w:rsidR="00A63850" w:rsidRPr="00803ACB">
        <w:t>silicate and magnetite. To fu</w:t>
      </w:r>
      <w:r w:rsidR="009939A6" w:rsidRPr="00803ACB">
        <w:t>rther test the e</w:t>
      </w:r>
      <w:r w:rsidR="00A63850" w:rsidRPr="00803ACB">
        <w:t>ffect of co-ablation of serpentine and magnetite, we plot</w:t>
      </w:r>
      <w:r w:rsidR="00E355EB" w:rsidRPr="00803ACB">
        <w:t xml:space="preserve"> trace elements against</w:t>
      </w:r>
      <w:r w:rsidR="00A63850" w:rsidRPr="00803ACB">
        <w:t xml:space="preserve"> Si </w:t>
      </w:r>
      <w:r w:rsidR="009E5721" w:rsidRPr="00803ACB">
        <w:t>in inclusion-free pentlandite</w:t>
      </w:r>
      <w:r w:rsidR="00D50AAA" w:rsidRPr="00803ACB">
        <w:t xml:space="preserve">. </w:t>
      </w:r>
      <w:r w:rsidR="00E355EB" w:rsidRPr="00803ACB">
        <w:t>Elevated Si is strongly correlated to elevated Mn, and weakly</w:t>
      </w:r>
      <w:r w:rsidR="003A0D01" w:rsidRPr="00803ACB">
        <w:t xml:space="preserve"> and inconsistently</w:t>
      </w:r>
      <w:r w:rsidR="00E355EB" w:rsidRPr="00803ACB">
        <w:t xml:space="preserve"> to Ti</w:t>
      </w:r>
      <w:r w:rsidR="003A0D01" w:rsidRPr="00803ACB">
        <w:t>,</w:t>
      </w:r>
      <w:r w:rsidR="00E355EB" w:rsidRPr="00803ACB">
        <w:t xml:space="preserve"> Ga</w:t>
      </w:r>
      <w:r w:rsidR="004F2B6B" w:rsidRPr="00803ACB">
        <w:t>,</w:t>
      </w:r>
      <w:r w:rsidR="003A0D01" w:rsidRPr="00803ACB">
        <w:t xml:space="preserve"> Zn</w:t>
      </w:r>
      <w:r w:rsidR="00E355EB" w:rsidRPr="00803ACB">
        <w:t xml:space="preserve">, </w:t>
      </w:r>
      <w:r w:rsidR="00D50AAA" w:rsidRPr="00803ACB">
        <w:t xml:space="preserve">Te, Re, </w:t>
      </w:r>
      <w:r w:rsidR="003A0D01" w:rsidRPr="00803ACB">
        <w:t xml:space="preserve">but </w:t>
      </w:r>
      <w:r w:rsidR="004F2B6B" w:rsidRPr="00803ACB">
        <w:t>not, or not conclusively</w:t>
      </w:r>
      <w:r w:rsidR="00D50AAA" w:rsidRPr="00803ACB">
        <w:t>,</w:t>
      </w:r>
      <w:r w:rsidR="004F2B6B" w:rsidRPr="00803ACB">
        <w:t xml:space="preserve"> </w:t>
      </w:r>
      <w:r w:rsidR="00E355EB" w:rsidRPr="00803ACB">
        <w:t xml:space="preserve">to </w:t>
      </w:r>
      <w:r w:rsidR="003A0D01" w:rsidRPr="00803ACB">
        <w:t xml:space="preserve">Co, </w:t>
      </w:r>
      <w:r w:rsidR="004F2B6B" w:rsidRPr="00803ACB">
        <w:t>As, Se, Mo, Ag, Sb, Pb, Bi, Os, Ir</w:t>
      </w:r>
      <w:r w:rsidR="00573E6E" w:rsidRPr="00803ACB">
        <w:t>, Ru, Pt or Au</w:t>
      </w:r>
      <w:r w:rsidR="005E3C50" w:rsidRPr="00803ACB">
        <w:t>,</w:t>
      </w:r>
      <w:r w:rsidR="004F2B6B" w:rsidRPr="00803ACB">
        <w:t xml:space="preserve"> </w:t>
      </w:r>
      <w:r w:rsidR="003A0D01" w:rsidRPr="00803ACB">
        <w:t>and does not appear to dilute Ni</w:t>
      </w:r>
      <w:r w:rsidR="0004611D" w:rsidRPr="00803ACB">
        <w:t xml:space="preserve"> (examples plotted in </w:t>
      </w:r>
      <w:r w:rsidR="0066646D" w:rsidRPr="00803ACB">
        <w:rPr>
          <w:color w:val="0000FF"/>
        </w:rPr>
        <w:t>Fig. S4</w:t>
      </w:r>
      <w:r w:rsidR="0004611D" w:rsidRPr="00803ACB">
        <w:t>)</w:t>
      </w:r>
      <w:r w:rsidR="003A0D01" w:rsidRPr="00803ACB">
        <w:t>.</w:t>
      </w:r>
      <w:r w:rsidR="00573E6E" w:rsidRPr="00803ACB">
        <w:t xml:space="preserve"> </w:t>
      </w:r>
      <w:r w:rsidR="00D50AAA" w:rsidRPr="00803ACB">
        <w:t>Although we report all composition</w:t>
      </w:r>
      <w:r w:rsidR="00441293" w:rsidRPr="00803ACB">
        <w:t>s</w:t>
      </w:r>
      <w:r w:rsidR="00D50AAA" w:rsidRPr="00803ACB">
        <w:t xml:space="preserve"> in </w:t>
      </w:r>
      <w:r w:rsidR="00D50AAA" w:rsidRPr="00803ACB">
        <w:rPr>
          <w:color w:val="0000FF"/>
        </w:rPr>
        <w:t xml:space="preserve">Appendix </w:t>
      </w:r>
      <w:r w:rsidR="0066646D" w:rsidRPr="00803ACB">
        <w:rPr>
          <w:color w:val="0000FF"/>
        </w:rPr>
        <w:t>3</w:t>
      </w:r>
      <w:r w:rsidR="00D50AAA" w:rsidRPr="00803ACB">
        <w:t xml:space="preserve">, we </w:t>
      </w:r>
      <w:r w:rsidR="006D6AF1" w:rsidRPr="00803ACB">
        <w:t>describe and discuss</w:t>
      </w:r>
      <w:r w:rsidR="00D50AAA" w:rsidRPr="00803ACB">
        <w:t xml:space="preserve"> </w:t>
      </w:r>
      <w:r w:rsidR="0066646D" w:rsidRPr="00803ACB">
        <w:t>in the main text</w:t>
      </w:r>
      <w:r w:rsidR="006D6AF1" w:rsidRPr="00803ACB">
        <w:t xml:space="preserve"> only </w:t>
      </w:r>
      <w:r w:rsidR="00D50AAA" w:rsidRPr="00803ACB">
        <w:t>analyses with &lt;40</w:t>
      </w:r>
      <w:r w:rsidR="00D77B25" w:rsidRPr="00803ACB">
        <w:t>,</w:t>
      </w:r>
      <w:r w:rsidR="00D50AAA" w:rsidRPr="00803ACB">
        <w:t>000 ppm S</w:t>
      </w:r>
      <w:r w:rsidR="00441293" w:rsidRPr="00803ACB">
        <w:t>i</w:t>
      </w:r>
      <w:r w:rsidR="00D50AAA" w:rsidRPr="00803ACB">
        <w:t>.</w:t>
      </w:r>
      <w:r w:rsidR="00A92D7F" w:rsidRPr="00803ACB">
        <w:t xml:space="preserve"> Using this cut-off, only Zn (</w:t>
      </w:r>
      <w:r w:rsidR="00A92D7F" w:rsidRPr="00803ACB">
        <w:rPr>
          <w:rFonts w:cs="Times"/>
        </w:rPr>
        <w:t>r</w:t>
      </w:r>
      <w:r w:rsidR="00A92D7F" w:rsidRPr="00803ACB">
        <w:rPr>
          <w:rFonts w:cs="Times"/>
          <w:vertAlign w:val="superscript"/>
        </w:rPr>
        <w:t>2</w:t>
      </w:r>
      <w:r w:rsidR="00A92D7F" w:rsidRPr="00803ACB">
        <w:t xml:space="preserve"> = 0.13) is weakly, and Re (</w:t>
      </w:r>
      <w:r w:rsidR="00A92D7F" w:rsidRPr="00803ACB">
        <w:rPr>
          <w:rFonts w:cs="Times"/>
        </w:rPr>
        <w:t>r</w:t>
      </w:r>
      <w:r w:rsidR="00A92D7F" w:rsidRPr="00803ACB">
        <w:rPr>
          <w:rFonts w:cs="Times"/>
          <w:vertAlign w:val="superscript"/>
        </w:rPr>
        <w:t>2</w:t>
      </w:r>
      <w:r w:rsidR="00A92D7F" w:rsidRPr="00803ACB">
        <w:t xml:space="preserve"> = 0.54, n = 41 excluding three outliers) and Mn (</w:t>
      </w:r>
      <w:r w:rsidR="00A92D7F" w:rsidRPr="00803ACB">
        <w:rPr>
          <w:rFonts w:cs="Times"/>
        </w:rPr>
        <w:t>r</w:t>
      </w:r>
      <w:r w:rsidR="00A92D7F" w:rsidRPr="00803ACB">
        <w:rPr>
          <w:rFonts w:cs="Times"/>
          <w:vertAlign w:val="superscript"/>
        </w:rPr>
        <w:t>2</w:t>
      </w:r>
      <w:r w:rsidR="00A92D7F" w:rsidRPr="00803ACB">
        <w:t xml:space="preserve"> = 0.48) are more strongly affected. The effect on Zn is considered negligible and Mn is not used in </w:t>
      </w:r>
      <w:r w:rsidR="005E3C50" w:rsidRPr="00803ACB">
        <w:t xml:space="preserve">the </w:t>
      </w:r>
      <w:r w:rsidR="00A92D7F" w:rsidRPr="00803ACB">
        <w:t>discussion. Conversely, Re abundances are corrected using the regression</w:t>
      </w:r>
      <w:r w:rsidR="006C5516">
        <w:t>,</w:t>
      </w:r>
      <w:r w:rsidR="00A92D7F" w:rsidRPr="00803ACB">
        <w:t xml:space="preserve"> with y = 0.000003*Si (ppm) + 0.0284.</w:t>
      </w:r>
    </w:p>
    <w:p w14:paraId="5BA3D486" w14:textId="77777777" w:rsidR="006C5516" w:rsidRDefault="006C5516" w:rsidP="00A92D7F"/>
    <w:p w14:paraId="19ED65F8" w14:textId="77777777" w:rsidR="006C5516" w:rsidRPr="00803ACB" w:rsidRDefault="006C5516" w:rsidP="006C5516">
      <w:pPr>
        <w:pStyle w:val="berschrift1"/>
        <w:rPr>
          <w:rFonts w:cs="Lucida Grande"/>
          <w:color w:val="000000"/>
        </w:rPr>
      </w:pPr>
      <w:r w:rsidRPr="00803ACB">
        <w:t>Additional References</w:t>
      </w:r>
    </w:p>
    <w:p w14:paraId="436DAD5D" w14:textId="77777777" w:rsidR="006C5516" w:rsidRPr="00803ACB" w:rsidRDefault="006C5516" w:rsidP="006C5516">
      <w:pPr>
        <w:widowControl w:val="0"/>
        <w:tabs>
          <w:tab w:val="clear" w:pos="0"/>
          <w:tab w:val="left" w:pos="142"/>
        </w:tabs>
        <w:autoSpaceDE w:val="0"/>
        <w:autoSpaceDN w:val="0"/>
        <w:adjustRightInd w:val="0"/>
        <w:spacing w:line="240" w:lineRule="auto"/>
        <w:ind w:left="142" w:hanging="142"/>
        <w:rPr>
          <w:rFonts w:ascii="Times New Roman" w:hAnsi="Times New Roman" w:cs="Times New Roman"/>
        </w:rPr>
      </w:pPr>
      <w:r w:rsidRPr="00803ACB">
        <w:rPr>
          <w:rFonts w:ascii="Times New Roman" w:hAnsi="Times New Roman" w:cs="Times New Roman"/>
        </w:rPr>
        <w:t>Alard, O., Griffin, W.L., Pearson, N.J., Lorand, J.P., O'Reilly, S.Y., 2002. New insights into the Re-Os systematics of sub-continental lithospheric mantle from in situ analysis of sulphides. Earth and Planetary Science Letters 203, 651-663.</w:t>
      </w:r>
    </w:p>
    <w:p w14:paraId="61A0B38E" w14:textId="77777777" w:rsidR="006C5516" w:rsidRPr="00803ACB" w:rsidRDefault="006C5516" w:rsidP="006C5516">
      <w:pPr>
        <w:widowControl w:val="0"/>
        <w:tabs>
          <w:tab w:val="clear" w:pos="0"/>
          <w:tab w:val="left" w:pos="142"/>
        </w:tabs>
        <w:autoSpaceDE w:val="0"/>
        <w:autoSpaceDN w:val="0"/>
        <w:adjustRightInd w:val="0"/>
        <w:spacing w:line="240" w:lineRule="auto"/>
        <w:ind w:left="142" w:hanging="142"/>
        <w:rPr>
          <w:rFonts w:ascii="Times New Roman" w:hAnsi="Times New Roman" w:cs="Times New Roman"/>
        </w:rPr>
      </w:pPr>
      <w:r w:rsidRPr="00803ACB">
        <w:rPr>
          <w:rFonts w:ascii="Times New Roman" w:hAnsi="Times New Roman" w:cs="Times New Roman"/>
        </w:rPr>
        <w:t>Aulbach, S., Griffin, W.L., Pearson, N.J., O'Reilly, S.Y., Kivi, K., Doyle, B.J., 2004. Mantle formation and evolution, Slave Craton: constraints from HSE abundances and Re-Os isotope systematics of sulfide inclusions in mantle xenocrysts. Chemical Geology 208, 61-88.</w:t>
      </w:r>
    </w:p>
    <w:p w14:paraId="6D154891" w14:textId="77777777" w:rsidR="006C5516" w:rsidRPr="00803ACB" w:rsidRDefault="006C5516" w:rsidP="006C5516">
      <w:pPr>
        <w:widowControl w:val="0"/>
        <w:tabs>
          <w:tab w:val="clear" w:pos="0"/>
          <w:tab w:val="left" w:pos="142"/>
        </w:tabs>
        <w:autoSpaceDE w:val="0"/>
        <w:autoSpaceDN w:val="0"/>
        <w:adjustRightInd w:val="0"/>
        <w:spacing w:line="240" w:lineRule="auto"/>
        <w:ind w:left="142" w:hanging="142"/>
        <w:rPr>
          <w:rFonts w:ascii="Times New Roman" w:hAnsi="Times New Roman" w:cs="Times New Roman"/>
        </w:rPr>
      </w:pPr>
      <w:r w:rsidRPr="00803ACB">
        <w:rPr>
          <w:rFonts w:ascii="Times New Roman" w:hAnsi="Times New Roman" w:cs="Times New Roman"/>
        </w:rPr>
        <w:t>Boutroy, E., Dare, S.A.S., Beaudoin, G., Barnes, S.-J., Lightfoot, P.C., 2014. Magnetite composition in Ni-Cu-PGE deposits worldwide: application to mineral exploration. Journal of Geochemical Exploration 145, 64-81.</w:t>
      </w:r>
    </w:p>
    <w:p w14:paraId="648DD7C9" w14:textId="77777777" w:rsidR="006C5516" w:rsidRPr="00803ACB" w:rsidRDefault="006C5516" w:rsidP="006C5516">
      <w:pPr>
        <w:widowControl w:val="0"/>
        <w:tabs>
          <w:tab w:val="clear" w:pos="0"/>
          <w:tab w:val="left" w:pos="142"/>
        </w:tabs>
        <w:autoSpaceDE w:val="0"/>
        <w:autoSpaceDN w:val="0"/>
        <w:adjustRightInd w:val="0"/>
        <w:spacing w:line="240" w:lineRule="auto"/>
        <w:ind w:left="142" w:hanging="142"/>
        <w:rPr>
          <w:rFonts w:ascii="Times New Roman" w:hAnsi="Times New Roman" w:cs="Times New Roman"/>
        </w:rPr>
      </w:pPr>
      <w:r w:rsidRPr="00803ACB">
        <w:rPr>
          <w:rFonts w:ascii="Times New Roman" w:hAnsi="Times New Roman" w:cs="Times New Roman"/>
        </w:rPr>
        <w:t>Danyushevsky, L., Robinson, P., Gilbert, S., Norman, M., Large, R., McGoldrick, P., Shelley, M., 2011. Routine quantitative multi-element analysis of sulphide minerals by laser ablation ICP-MS: Standard development and consideration of matrix effects. Geochemistry-Exploration Environment Analysis 11, 51-60.</w:t>
      </w:r>
    </w:p>
    <w:p w14:paraId="309C36A0" w14:textId="77777777" w:rsidR="006C5516" w:rsidRPr="00803ACB" w:rsidRDefault="006C5516" w:rsidP="006C5516">
      <w:pPr>
        <w:widowControl w:val="0"/>
        <w:tabs>
          <w:tab w:val="clear" w:pos="0"/>
          <w:tab w:val="left" w:pos="142"/>
        </w:tabs>
        <w:autoSpaceDE w:val="0"/>
        <w:autoSpaceDN w:val="0"/>
        <w:adjustRightInd w:val="0"/>
        <w:spacing w:line="240" w:lineRule="auto"/>
        <w:ind w:left="142" w:hanging="142"/>
        <w:rPr>
          <w:rFonts w:ascii="Times New Roman" w:hAnsi="Times New Roman" w:cs="Times New Roman"/>
        </w:rPr>
      </w:pPr>
      <w:r w:rsidRPr="00803ACB">
        <w:rPr>
          <w:rFonts w:ascii="Times New Roman" w:hAnsi="Times New Roman" w:cs="Times New Roman"/>
        </w:rPr>
        <w:lastRenderedPageBreak/>
        <w:t>Donovan, J.J., Snyder, D.A., Rivers, M.L., 1993. An Improved Interference Correction for Trace Element Analysis. Microbeam Analysis 2, 23-28.</w:t>
      </w:r>
    </w:p>
    <w:p w14:paraId="73E87495" w14:textId="77777777" w:rsidR="006C5516" w:rsidRPr="00803ACB" w:rsidRDefault="006C5516" w:rsidP="006C5516">
      <w:pPr>
        <w:widowControl w:val="0"/>
        <w:tabs>
          <w:tab w:val="clear" w:pos="0"/>
          <w:tab w:val="left" w:pos="142"/>
        </w:tabs>
        <w:autoSpaceDE w:val="0"/>
        <w:autoSpaceDN w:val="0"/>
        <w:adjustRightInd w:val="0"/>
        <w:spacing w:line="240" w:lineRule="auto"/>
        <w:ind w:left="142" w:hanging="142"/>
        <w:rPr>
          <w:rFonts w:ascii="Times New Roman" w:hAnsi="Times New Roman" w:cs="Times New Roman"/>
        </w:rPr>
      </w:pPr>
      <w:r w:rsidRPr="00803ACB">
        <w:rPr>
          <w:rFonts w:ascii="Times New Roman" w:hAnsi="Times New Roman" w:cs="Times New Roman"/>
        </w:rPr>
        <w:t>Donovan, J.J., Tingle, T.N., 1996. An Improved Mean Atomic Number Correction for Quantitative Microanalysis. Journal of Microscopy 2, 1-7.</w:t>
      </w:r>
    </w:p>
    <w:p w14:paraId="37CD7DE0" w14:textId="77777777" w:rsidR="006C5516" w:rsidRPr="00803ACB" w:rsidRDefault="006C5516" w:rsidP="006C5516">
      <w:pPr>
        <w:widowControl w:val="0"/>
        <w:tabs>
          <w:tab w:val="clear" w:pos="0"/>
          <w:tab w:val="left" w:pos="142"/>
        </w:tabs>
        <w:autoSpaceDE w:val="0"/>
        <w:autoSpaceDN w:val="0"/>
        <w:adjustRightInd w:val="0"/>
        <w:spacing w:line="240" w:lineRule="auto"/>
        <w:ind w:left="142" w:hanging="142"/>
        <w:rPr>
          <w:rFonts w:ascii="Times New Roman" w:hAnsi="Times New Roman" w:cs="Times New Roman"/>
        </w:rPr>
      </w:pPr>
      <w:r w:rsidRPr="00803ACB">
        <w:rPr>
          <w:rFonts w:ascii="Times New Roman" w:hAnsi="Times New Roman" w:cs="Times New Roman"/>
        </w:rPr>
        <w:t>Fitzpayne, A., Giuliani, A., Phillips, D., Hergt, J., Woodhead, J.D., Farquhar, J., Fiorentini, M.L., Drysdale, R.N., Wu, N., 2018b. Kimberlite-related metasomatism recorded in MARID and PIC mantle xenoliths. Mineralogy and Petrology 112, 71-84.</w:t>
      </w:r>
    </w:p>
    <w:p w14:paraId="28C74465" w14:textId="77777777" w:rsidR="006C5516" w:rsidRPr="00803ACB" w:rsidRDefault="006C5516" w:rsidP="006C5516">
      <w:pPr>
        <w:widowControl w:val="0"/>
        <w:tabs>
          <w:tab w:val="clear" w:pos="0"/>
          <w:tab w:val="left" w:pos="142"/>
        </w:tabs>
        <w:autoSpaceDE w:val="0"/>
        <w:autoSpaceDN w:val="0"/>
        <w:adjustRightInd w:val="0"/>
        <w:spacing w:line="240" w:lineRule="auto"/>
        <w:ind w:left="142" w:hanging="142"/>
        <w:rPr>
          <w:rFonts w:ascii="Times New Roman" w:hAnsi="Times New Roman" w:cs="Times New Roman"/>
        </w:rPr>
      </w:pPr>
      <w:r w:rsidRPr="00803ACB">
        <w:rPr>
          <w:rFonts w:ascii="Times New Roman" w:hAnsi="Times New Roman" w:cs="Times New Roman"/>
        </w:rPr>
        <w:t>Giuliani, A., Martin, L.A.J., Soltys, A., Griffin, W.L., 2019. Mantle-like oxygen isotopes in kimberlites determined by in situ SIMS analyses of zoned olivine. Geochimica Et Cosmochimica Acta 266, 274-291.</w:t>
      </w:r>
    </w:p>
    <w:p w14:paraId="7F979627" w14:textId="77777777" w:rsidR="006C5516" w:rsidRPr="00803ACB" w:rsidRDefault="006C5516" w:rsidP="006C5516">
      <w:pPr>
        <w:widowControl w:val="0"/>
        <w:tabs>
          <w:tab w:val="clear" w:pos="0"/>
          <w:tab w:val="left" w:pos="142"/>
        </w:tabs>
        <w:autoSpaceDE w:val="0"/>
        <w:autoSpaceDN w:val="0"/>
        <w:adjustRightInd w:val="0"/>
        <w:spacing w:line="240" w:lineRule="auto"/>
        <w:ind w:left="142" w:hanging="142"/>
        <w:rPr>
          <w:rFonts w:ascii="Times New Roman" w:hAnsi="Times New Roman" w:cs="Times New Roman"/>
        </w:rPr>
      </w:pPr>
      <w:r w:rsidRPr="00803ACB">
        <w:rPr>
          <w:rFonts w:ascii="Times New Roman" w:hAnsi="Times New Roman" w:cs="Times New Roman"/>
        </w:rPr>
        <w:t>Höfer, H.E., Lazarov, M., Brey, G.P., Woodland, A.B., 2009. Oxygen fugacity of the metasomatizing melt in a polymict peridotite from Kimberley. Lithos 112, 1150-1154.</w:t>
      </w:r>
    </w:p>
    <w:p w14:paraId="3DE8F64B" w14:textId="77777777" w:rsidR="006C5516" w:rsidRPr="00803ACB" w:rsidRDefault="006C5516" w:rsidP="006C5516">
      <w:pPr>
        <w:widowControl w:val="0"/>
        <w:tabs>
          <w:tab w:val="clear" w:pos="0"/>
          <w:tab w:val="left" w:pos="142"/>
        </w:tabs>
        <w:autoSpaceDE w:val="0"/>
        <w:autoSpaceDN w:val="0"/>
        <w:adjustRightInd w:val="0"/>
        <w:spacing w:line="240" w:lineRule="auto"/>
        <w:ind w:left="142" w:hanging="142"/>
        <w:rPr>
          <w:rFonts w:ascii="Times New Roman" w:hAnsi="Times New Roman" w:cs="Times New Roman"/>
        </w:rPr>
      </w:pPr>
      <w:r w:rsidRPr="00803ACB">
        <w:rPr>
          <w:rFonts w:ascii="Times New Roman" w:hAnsi="Times New Roman" w:cs="Times New Roman"/>
        </w:rPr>
        <w:t>Nowell, G.M., Pearson, D.G., Bell, D.R., Carlson, R.W., Smith, C.B., Kempton, P.D., Noble, S.R., 2004. Hf isotope systematics of kimberlites and their megacrysts: New constraints on their source regions. Journal of Petrology 45, 1583-1612.</w:t>
      </w:r>
    </w:p>
    <w:p w14:paraId="2D3D66B3" w14:textId="77777777" w:rsidR="006C5516" w:rsidRPr="00803ACB" w:rsidRDefault="006C5516" w:rsidP="006C5516">
      <w:pPr>
        <w:widowControl w:val="0"/>
        <w:tabs>
          <w:tab w:val="clear" w:pos="0"/>
          <w:tab w:val="left" w:pos="142"/>
        </w:tabs>
        <w:autoSpaceDE w:val="0"/>
        <w:autoSpaceDN w:val="0"/>
        <w:adjustRightInd w:val="0"/>
        <w:spacing w:line="240" w:lineRule="auto"/>
        <w:ind w:left="142" w:hanging="142"/>
        <w:rPr>
          <w:rFonts w:ascii="Times New Roman" w:hAnsi="Times New Roman" w:cs="Times New Roman"/>
        </w:rPr>
      </w:pPr>
      <w:r w:rsidRPr="00803ACB">
        <w:rPr>
          <w:rFonts w:ascii="Times New Roman" w:hAnsi="Times New Roman" w:cs="Times New Roman"/>
        </w:rPr>
        <w:t>O'Neill, H.S.C., Dingwell, D.B., Borisov, A., Spettel, B., Palme, H., 1995. Experimental petrochemistry of some highly siderophile elements at high temperatures, and some implications for core formation and the mantle's early history. Chemical Geology 120, 255-273.</w:t>
      </w:r>
    </w:p>
    <w:p w14:paraId="2799B77F" w14:textId="77777777" w:rsidR="006C5516" w:rsidRPr="00803ACB" w:rsidRDefault="006C5516" w:rsidP="006C5516">
      <w:pPr>
        <w:widowControl w:val="0"/>
        <w:tabs>
          <w:tab w:val="clear" w:pos="0"/>
          <w:tab w:val="left" w:pos="142"/>
        </w:tabs>
        <w:autoSpaceDE w:val="0"/>
        <w:autoSpaceDN w:val="0"/>
        <w:adjustRightInd w:val="0"/>
        <w:spacing w:line="240" w:lineRule="auto"/>
        <w:ind w:left="142" w:hanging="142"/>
        <w:rPr>
          <w:rFonts w:ascii="Times New Roman" w:hAnsi="Times New Roman" w:cs="Times New Roman"/>
        </w:rPr>
      </w:pPr>
      <w:r w:rsidRPr="00803ACB">
        <w:rPr>
          <w:rFonts w:ascii="Times New Roman" w:hAnsi="Times New Roman" w:cs="Times New Roman"/>
        </w:rPr>
        <w:t>Pagé, P., Barnes, S.-J., 2009. Trace elements signature of chromites from podiform chromitites of the Thetford Mines Ophiolite, Québec, Canada: products of boninitic melt migration. Economic Geology 104, 997-1018.</w:t>
      </w:r>
    </w:p>
    <w:p w14:paraId="4F214E24" w14:textId="77777777" w:rsidR="006C5516" w:rsidRPr="00803ACB" w:rsidRDefault="006C5516" w:rsidP="006C5516">
      <w:pPr>
        <w:widowControl w:val="0"/>
        <w:tabs>
          <w:tab w:val="clear" w:pos="0"/>
          <w:tab w:val="left" w:pos="142"/>
        </w:tabs>
        <w:autoSpaceDE w:val="0"/>
        <w:autoSpaceDN w:val="0"/>
        <w:adjustRightInd w:val="0"/>
        <w:spacing w:line="240" w:lineRule="auto"/>
        <w:ind w:left="142" w:hanging="142"/>
        <w:rPr>
          <w:rFonts w:ascii="Times New Roman" w:hAnsi="Times New Roman" w:cs="Times New Roman"/>
        </w:rPr>
      </w:pPr>
      <w:r w:rsidRPr="00803ACB">
        <w:rPr>
          <w:rFonts w:ascii="Times New Roman" w:hAnsi="Times New Roman" w:cs="Times New Roman"/>
        </w:rPr>
        <w:t>van Acken, D., Becker, H., Walker, R.J., McDonough, W.F., Wombacher, F., Ash, R.D., Piccoli, P.M., 2010. Formation of pyroxenite layers in the Totalp ultramafic, massif (Swiss Alps) - Insights from highly siderophile elements and Os isotopes. Geochimica Et Cosmochimica Acta 74, 661-683.</w:t>
      </w:r>
    </w:p>
    <w:p w14:paraId="34703794" w14:textId="677034A6" w:rsidR="00F751AB" w:rsidRPr="006C5516" w:rsidRDefault="006C5516" w:rsidP="006C5516">
      <w:pPr>
        <w:widowControl w:val="0"/>
        <w:tabs>
          <w:tab w:val="clear" w:pos="0"/>
          <w:tab w:val="left" w:pos="142"/>
        </w:tabs>
        <w:autoSpaceDE w:val="0"/>
        <w:autoSpaceDN w:val="0"/>
        <w:adjustRightInd w:val="0"/>
        <w:spacing w:line="240" w:lineRule="auto"/>
        <w:ind w:left="142" w:hanging="142"/>
        <w:rPr>
          <w:rFonts w:ascii="Times New Roman" w:hAnsi="Times New Roman" w:cs="Times New Roman"/>
        </w:rPr>
      </w:pPr>
      <w:r w:rsidRPr="00803ACB">
        <w:rPr>
          <w:rFonts w:ascii="Times New Roman" w:hAnsi="Times New Roman" w:cs="Times New Roman"/>
        </w:rPr>
        <w:t>Woodhead, J., Hergt, J., Giuliani, A., Maas, R., Phillips, D., Pearson, D.G., Nowell, G., 2019. Kimberlites reveal 2.5-billion-year evolution of a deep, isolated mantle reservoir. Nature 573, 578-581.</w:t>
      </w:r>
      <w:r w:rsidR="00F751AB" w:rsidRPr="00803ACB">
        <w:br w:type="page"/>
      </w:r>
    </w:p>
    <w:p w14:paraId="051B3E11" w14:textId="125C268C" w:rsidR="00F751AB" w:rsidRPr="00803ACB" w:rsidRDefault="00CF06B6" w:rsidP="005524D5">
      <w:pPr>
        <w:rPr>
          <w:rFonts w:cs="Lucida Grande"/>
          <w:color w:val="000000"/>
          <w:sz w:val="22"/>
          <w:szCs w:val="22"/>
        </w:rPr>
      </w:pPr>
      <w:r w:rsidRPr="00803ACB">
        <w:rPr>
          <w:rFonts w:cs="Lucida Grande"/>
          <w:b/>
          <w:noProof/>
          <w:color w:val="000000"/>
          <w:sz w:val="22"/>
          <w:szCs w:val="22"/>
          <w:lang w:val="de-DE"/>
        </w:rPr>
        <w:lastRenderedPageBreak/>
        <w:drawing>
          <wp:anchor distT="0" distB="0" distL="114300" distR="114300" simplePos="0" relativeHeight="251663360" behindDoc="0" locked="0" layoutInCell="1" allowOverlap="1" wp14:anchorId="08579D5A" wp14:editId="4805D42C">
            <wp:simplePos x="0" y="0"/>
            <wp:positionH relativeFrom="column">
              <wp:posOffset>635</wp:posOffset>
            </wp:positionH>
            <wp:positionV relativeFrom="paragraph">
              <wp:posOffset>0</wp:posOffset>
            </wp:positionV>
            <wp:extent cx="2705735" cy="8001000"/>
            <wp:effectExtent l="0" t="0" r="12065"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1 MQ argides.jpg"/>
                    <pic:cNvPicPr/>
                  </pic:nvPicPr>
                  <pic:blipFill>
                    <a:blip r:embed="rId8">
                      <a:extLst>
                        <a:ext uri="{28A0092B-C50C-407E-A947-70E740481C1C}">
                          <a14:useLocalDpi xmlns:a14="http://schemas.microsoft.com/office/drawing/2010/main" val="0"/>
                        </a:ext>
                      </a:extLst>
                    </a:blip>
                    <a:stretch>
                      <a:fillRect/>
                    </a:stretch>
                  </pic:blipFill>
                  <pic:spPr>
                    <a:xfrm>
                      <a:off x="0" y="0"/>
                      <a:ext cx="2705735" cy="80010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751AB" w:rsidRPr="00803ACB">
        <w:rPr>
          <w:rFonts w:cs="Lucida Grande"/>
          <w:b/>
          <w:color w:val="000000"/>
          <w:sz w:val="22"/>
          <w:szCs w:val="22"/>
        </w:rPr>
        <w:t>Figure S1</w:t>
      </w:r>
      <w:r w:rsidR="00F751AB" w:rsidRPr="00803ACB">
        <w:rPr>
          <w:rFonts w:cs="Lucida Grande"/>
          <w:color w:val="000000"/>
          <w:sz w:val="22"/>
          <w:szCs w:val="22"/>
        </w:rPr>
        <w:t xml:space="preserve"> A</w:t>
      </w:r>
      <w:r w:rsidR="009939A6" w:rsidRPr="00803ACB">
        <w:rPr>
          <w:rFonts w:cs="Lucida Grande"/>
          <w:color w:val="000000"/>
          <w:sz w:val="22"/>
          <w:szCs w:val="22"/>
        </w:rPr>
        <w:t>.</w:t>
      </w:r>
      <w:r w:rsidR="00F751AB" w:rsidRPr="00803ACB">
        <w:rPr>
          <w:rFonts w:cs="Lucida Grande"/>
          <w:color w:val="000000"/>
          <w:sz w:val="22"/>
          <w:szCs w:val="22"/>
        </w:rPr>
        <w:t xml:space="preserve"> Ru as a function of Ni</w:t>
      </w:r>
      <w:r w:rsidR="0036703C" w:rsidRPr="00803ACB">
        <w:rPr>
          <w:rFonts w:cs="Lucida Grande"/>
          <w:color w:val="000000"/>
          <w:sz w:val="22"/>
          <w:szCs w:val="22"/>
        </w:rPr>
        <w:t>;</w:t>
      </w:r>
      <w:r w:rsidR="00F751AB" w:rsidRPr="00803ACB">
        <w:rPr>
          <w:rFonts w:cs="Lucida Grande"/>
          <w:color w:val="000000"/>
          <w:sz w:val="22"/>
          <w:szCs w:val="22"/>
        </w:rPr>
        <w:t xml:space="preserve"> B</w:t>
      </w:r>
      <w:r w:rsidR="009939A6" w:rsidRPr="00803ACB">
        <w:rPr>
          <w:rFonts w:cs="Lucida Grande"/>
          <w:color w:val="000000"/>
          <w:sz w:val="22"/>
          <w:szCs w:val="22"/>
        </w:rPr>
        <w:t>.</w:t>
      </w:r>
      <w:r w:rsidR="00F751AB" w:rsidRPr="00803ACB">
        <w:rPr>
          <w:rFonts w:cs="Lucida Grande"/>
          <w:color w:val="000000"/>
          <w:sz w:val="22"/>
          <w:szCs w:val="22"/>
        </w:rPr>
        <w:t xml:space="preserve"> Rh as a function of Cu</w:t>
      </w:r>
      <w:r w:rsidR="0036703C" w:rsidRPr="00803ACB">
        <w:rPr>
          <w:rFonts w:cs="Lucida Grande"/>
          <w:color w:val="000000"/>
          <w:sz w:val="22"/>
          <w:szCs w:val="22"/>
        </w:rPr>
        <w:t>;</w:t>
      </w:r>
      <w:r w:rsidR="00F751AB" w:rsidRPr="00803ACB">
        <w:rPr>
          <w:rFonts w:cs="Lucida Grande"/>
          <w:color w:val="000000"/>
          <w:sz w:val="22"/>
          <w:szCs w:val="22"/>
        </w:rPr>
        <w:t xml:space="preserve"> and C</w:t>
      </w:r>
      <w:r w:rsidR="009939A6" w:rsidRPr="00803ACB">
        <w:rPr>
          <w:rFonts w:cs="Lucida Grande"/>
          <w:color w:val="000000"/>
          <w:sz w:val="22"/>
          <w:szCs w:val="22"/>
        </w:rPr>
        <w:t>.</w:t>
      </w:r>
      <w:r w:rsidR="00F751AB" w:rsidRPr="00803ACB">
        <w:rPr>
          <w:rFonts w:cs="Lucida Grande"/>
          <w:color w:val="000000"/>
          <w:sz w:val="22"/>
          <w:szCs w:val="22"/>
        </w:rPr>
        <w:t xml:space="preserve"> Pd as a function of Zn (ppm) illustrating the effect of Ni-, Cu- and Zn-argide interferences. Only pure pentlandite analyses are shown to remove scatter arising from co-ablation of inclusions or mixed sulphide analyses. Inset in B shows area at lower Cu contents with a suggested cut-off below which argide interferences appear insignificant (stippled line). Stippled line in C similarly delimits Zn abundances below </w:t>
      </w:r>
      <w:r w:rsidR="009939A6" w:rsidRPr="00803ACB">
        <w:rPr>
          <w:rFonts w:cs="Lucida Grande"/>
          <w:color w:val="000000"/>
          <w:sz w:val="22"/>
          <w:szCs w:val="22"/>
        </w:rPr>
        <w:t>which argide interferences are undetecta</w:t>
      </w:r>
      <w:r w:rsidR="00F751AB" w:rsidRPr="00803ACB">
        <w:rPr>
          <w:rFonts w:cs="Lucida Grande"/>
          <w:color w:val="000000"/>
          <w:sz w:val="22"/>
          <w:szCs w:val="22"/>
        </w:rPr>
        <w:t>ble.</w:t>
      </w:r>
    </w:p>
    <w:p w14:paraId="1483E5B9" w14:textId="77777777" w:rsidR="00F751AB" w:rsidRPr="00803ACB" w:rsidRDefault="00F751AB">
      <w:pPr>
        <w:tabs>
          <w:tab w:val="clear" w:pos="0"/>
        </w:tabs>
        <w:spacing w:line="240" w:lineRule="auto"/>
        <w:rPr>
          <w:rFonts w:cs="Lucida Grande"/>
          <w:color w:val="000000"/>
          <w:sz w:val="22"/>
          <w:szCs w:val="22"/>
        </w:rPr>
      </w:pPr>
      <w:r w:rsidRPr="00803ACB">
        <w:rPr>
          <w:rFonts w:cs="Lucida Grande"/>
          <w:color w:val="000000"/>
          <w:sz w:val="22"/>
          <w:szCs w:val="22"/>
        </w:rPr>
        <w:br w:type="page"/>
      </w:r>
    </w:p>
    <w:p w14:paraId="3B663938" w14:textId="12487C09" w:rsidR="00FF6463" w:rsidRPr="00803ACB" w:rsidRDefault="00705386" w:rsidP="00F7180F">
      <w:pPr>
        <w:rPr>
          <w:rFonts w:cs="Lucida Grande"/>
          <w:sz w:val="22"/>
          <w:szCs w:val="22"/>
          <w:lang w:val="en-US"/>
        </w:rPr>
      </w:pPr>
      <w:r w:rsidRPr="00803ACB">
        <w:rPr>
          <w:rFonts w:cs="Lucida Grande"/>
          <w:b/>
          <w:sz w:val="22"/>
          <w:szCs w:val="22"/>
        </w:rPr>
        <w:lastRenderedPageBreak/>
        <w:t>Figure S2</w:t>
      </w:r>
      <w:r w:rsidRPr="00803ACB">
        <w:rPr>
          <w:rFonts w:cs="Lucida Grande"/>
          <w:sz w:val="22"/>
          <w:szCs w:val="22"/>
        </w:rPr>
        <w:t xml:space="preserve"> Representative </w:t>
      </w:r>
      <w:r w:rsidR="00FF6463" w:rsidRPr="00803ACB">
        <w:rPr>
          <w:rFonts w:cs="Lucida Grande"/>
          <w:sz w:val="22"/>
          <w:szCs w:val="22"/>
        </w:rPr>
        <w:t>X-R</w:t>
      </w:r>
      <w:r w:rsidR="00E3660C" w:rsidRPr="00803ACB">
        <w:rPr>
          <w:rFonts w:cs="Lucida Grande"/>
          <w:sz w:val="22"/>
          <w:szCs w:val="22"/>
        </w:rPr>
        <w:t>ay elemental</w:t>
      </w:r>
      <w:r w:rsidRPr="00803ACB">
        <w:rPr>
          <w:rFonts w:cs="Lucida Grande"/>
          <w:sz w:val="22"/>
          <w:szCs w:val="22"/>
        </w:rPr>
        <w:t xml:space="preserve"> maps of maj</w:t>
      </w:r>
      <w:r w:rsidR="00FF6463" w:rsidRPr="00803ACB">
        <w:rPr>
          <w:rFonts w:cs="Lucida Grande"/>
          <w:sz w:val="22"/>
          <w:szCs w:val="22"/>
        </w:rPr>
        <w:t>or and minor elements in spinel in sample</w:t>
      </w:r>
      <w:r w:rsidR="009B4E92" w:rsidRPr="00803ACB">
        <w:rPr>
          <w:rFonts w:cs="Lucida Grande"/>
          <w:sz w:val="22"/>
          <w:szCs w:val="22"/>
          <w:lang w:val="en-US"/>
        </w:rPr>
        <w:t xml:space="preserve"> XM1-341_1</w:t>
      </w:r>
    </w:p>
    <w:p w14:paraId="6FFE93A3" w14:textId="5BADFA60" w:rsidR="00705386" w:rsidRPr="00803ACB" w:rsidRDefault="00D6631A" w:rsidP="00F7180F">
      <w:pPr>
        <w:rPr>
          <w:rFonts w:cs="Lucida Grande"/>
          <w:color w:val="FF0000"/>
          <w:sz w:val="22"/>
          <w:szCs w:val="22"/>
          <w:lang w:val="de-DE"/>
        </w:rPr>
      </w:pPr>
      <w:r w:rsidRPr="00803ACB">
        <w:rPr>
          <w:rFonts w:cs="Lucida Grande"/>
          <w:noProof/>
          <w:color w:val="000000"/>
          <w:sz w:val="22"/>
          <w:szCs w:val="22"/>
          <w:lang w:val="de-DE"/>
        </w:rPr>
        <w:drawing>
          <wp:inline distT="0" distB="0" distL="0" distR="0" wp14:anchorId="7CEB7D2E" wp14:editId="1E2E4783">
            <wp:extent cx="4113558" cy="2977390"/>
            <wp:effectExtent l="0" t="0" r="1270" b="0"/>
            <wp:docPr id="8" name="Picture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288EADD0-6D13-5A49-B61B-E2663DFE1D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288EADD0-6D13-5A49-B61B-E2663DFE1D33}"/>
                        </a:ext>
                      </a:extLst>
                    </pic:cNvPr>
                    <pic:cNvPicPr>
                      <a:picLocks noChangeAspect="1"/>
                    </pic:cNvPicPr>
                  </pic:nvPicPr>
                  <pic:blipFill rotWithShape="1">
                    <a:blip r:embed="rId9">
                      <a:extLst>
                        <a:ext uri="{28A0092B-C50C-407E-A947-70E740481C1C}">
                          <a14:useLocalDpi xmlns:a14="http://schemas.microsoft.com/office/drawing/2010/main" val="0"/>
                        </a:ext>
                      </a:extLst>
                    </a:blip>
                    <a:srcRect t="8929"/>
                    <a:stretch/>
                  </pic:blipFill>
                  <pic:spPr bwMode="auto">
                    <a:xfrm>
                      <a:off x="0" y="0"/>
                      <a:ext cx="4113972" cy="2977690"/>
                    </a:xfrm>
                    <a:prstGeom prst="rect">
                      <a:avLst/>
                    </a:prstGeom>
                    <a:noFill/>
                    <a:ln>
                      <a:noFill/>
                    </a:ln>
                  </pic:spPr>
                </pic:pic>
              </a:graphicData>
            </a:graphic>
          </wp:inline>
        </w:drawing>
      </w:r>
      <w:r w:rsidRPr="00803ACB">
        <w:rPr>
          <w:rFonts w:cs="Lucida Grande"/>
          <w:noProof/>
          <w:color w:val="000000"/>
          <w:sz w:val="22"/>
          <w:szCs w:val="22"/>
          <w:lang w:val="de-DE"/>
        </w:rPr>
        <w:drawing>
          <wp:inline distT="0" distB="0" distL="0" distR="0" wp14:anchorId="14D24567" wp14:editId="0C9BC25C">
            <wp:extent cx="4113558" cy="2999218"/>
            <wp:effectExtent l="0" t="0" r="1270" b="0"/>
            <wp:docPr id="9"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243176E1-B274-3642-8EE6-A8792480C7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243176E1-B274-3642-8EE6-A8792480C759}"/>
                        </a:ext>
                      </a:extLst>
                    </pic:cNvPr>
                    <pic:cNvPicPr>
                      <a:picLocks noChangeAspect="1"/>
                    </pic:cNvPicPr>
                  </pic:nvPicPr>
                  <pic:blipFill rotWithShape="1">
                    <a:blip r:embed="rId10">
                      <a:extLst>
                        <a:ext uri="{28A0092B-C50C-407E-A947-70E740481C1C}">
                          <a14:useLocalDpi xmlns:a14="http://schemas.microsoft.com/office/drawing/2010/main" val="0"/>
                        </a:ext>
                      </a:extLst>
                    </a:blip>
                    <a:srcRect t="8929"/>
                    <a:stretch/>
                  </pic:blipFill>
                  <pic:spPr bwMode="auto">
                    <a:xfrm>
                      <a:off x="0" y="0"/>
                      <a:ext cx="4113971" cy="2999519"/>
                    </a:xfrm>
                    <a:prstGeom prst="rect">
                      <a:avLst/>
                    </a:prstGeom>
                    <a:noFill/>
                    <a:ln>
                      <a:noFill/>
                    </a:ln>
                  </pic:spPr>
                </pic:pic>
              </a:graphicData>
            </a:graphic>
          </wp:inline>
        </w:drawing>
      </w:r>
      <w:r w:rsidRPr="00803ACB">
        <w:rPr>
          <w:rFonts w:cs="Lucida Grande"/>
          <w:noProof/>
          <w:color w:val="000000"/>
          <w:sz w:val="22"/>
          <w:szCs w:val="22"/>
          <w:lang w:val="de-DE"/>
        </w:rPr>
        <w:drawing>
          <wp:inline distT="0" distB="0" distL="0" distR="0" wp14:anchorId="311DF9A4" wp14:editId="305F9E0F">
            <wp:extent cx="4113558" cy="1603744"/>
            <wp:effectExtent l="0" t="0" r="1270" b="0"/>
            <wp:docPr id="10" name="Pictur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6C3D9002-668A-8642-BD3A-DA41FE56A4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6C3D9002-668A-8642-BD3A-DA41FE56A471}"/>
                        </a:ext>
                      </a:extLst>
                    </pic:cNvPr>
                    <pic:cNvPicPr>
                      <a:picLocks noChangeAspect="1"/>
                    </pic:cNvPicPr>
                  </pic:nvPicPr>
                  <pic:blipFill rotWithShape="1">
                    <a:blip r:embed="rId11">
                      <a:extLst>
                        <a:ext uri="{28A0092B-C50C-407E-A947-70E740481C1C}">
                          <a14:useLocalDpi xmlns:a14="http://schemas.microsoft.com/office/drawing/2010/main" val="0"/>
                        </a:ext>
                      </a:extLst>
                    </a:blip>
                    <a:srcRect t="7280" b="44093"/>
                    <a:stretch/>
                  </pic:blipFill>
                  <pic:spPr bwMode="auto">
                    <a:xfrm>
                      <a:off x="0" y="0"/>
                      <a:ext cx="4113558" cy="1603744"/>
                    </a:xfrm>
                    <a:prstGeom prst="rect">
                      <a:avLst/>
                    </a:prstGeom>
                    <a:noFill/>
                    <a:ln>
                      <a:noFill/>
                    </a:ln>
                  </pic:spPr>
                </pic:pic>
              </a:graphicData>
            </a:graphic>
          </wp:inline>
        </w:drawing>
      </w:r>
      <w:r w:rsidR="00705386" w:rsidRPr="00803ACB">
        <w:rPr>
          <w:rFonts w:cs="Lucida Grande"/>
          <w:color w:val="000000"/>
          <w:sz w:val="22"/>
          <w:szCs w:val="22"/>
        </w:rPr>
        <w:br w:type="page"/>
      </w:r>
    </w:p>
    <w:p w14:paraId="4CAC842F" w14:textId="34A7B1DB" w:rsidR="00114423" w:rsidRPr="00803ACB" w:rsidRDefault="00577045" w:rsidP="005524D5">
      <w:pPr>
        <w:rPr>
          <w:rFonts w:cs="Lucida Grande"/>
          <w:color w:val="000000"/>
          <w:sz w:val="22"/>
          <w:szCs w:val="22"/>
        </w:rPr>
      </w:pPr>
      <w:r w:rsidRPr="00803ACB">
        <w:rPr>
          <w:rFonts w:cs="Lucida Grande"/>
          <w:b/>
          <w:noProof/>
          <w:color w:val="000000"/>
          <w:sz w:val="22"/>
          <w:szCs w:val="22"/>
          <w:lang w:val="de-DE"/>
        </w:rPr>
        <w:lastRenderedPageBreak/>
        <w:drawing>
          <wp:anchor distT="0" distB="0" distL="114300" distR="114300" simplePos="0" relativeHeight="251664384" behindDoc="0" locked="0" layoutInCell="1" allowOverlap="1" wp14:anchorId="22C70780" wp14:editId="110234CD">
            <wp:simplePos x="0" y="0"/>
            <wp:positionH relativeFrom="column">
              <wp:posOffset>635</wp:posOffset>
            </wp:positionH>
            <wp:positionV relativeFrom="paragraph">
              <wp:posOffset>0</wp:posOffset>
            </wp:positionV>
            <wp:extent cx="2949575" cy="822960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3 Mixed sulphides.jpg"/>
                    <pic:cNvPicPr/>
                  </pic:nvPicPr>
                  <pic:blipFill>
                    <a:blip r:embed="rId12">
                      <a:extLst>
                        <a:ext uri="{28A0092B-C50C-407E-A947-70E740481C1C}">
                          <a14:useLocalDpi xmlns:a14="http://schemas.microsoft.com/office/drawing/2010/main" val="0"/>
                        </a:ext>
                      </a:extLst>
                    </a:blip>
                    <a:stretch>
                      <a:fillRect/>
                    </a:stretch>
                  </pic:blipFill>
                  <pic:spPr>
                    <a:xfrm>
                      <a:off x="0" y="0"/>
                      <a:ext cx="2949575" cy="82296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A00D5" w:rsidRPr="00803ACB">
        <w:rPr>
          <w:rFonts w:cs="Lucida Grande"/>
          <w:b/>
          <w:color w:val="000000"/>
          <w:sz w:val="22"/>
          <w:szCs w:val="22"/>
        </w:rPr>
        <w:t>Figure S3</w:t>
      </w:r>
      <w:r w:rsidR="009939A6" w:rsidRPr="00803ACB">
        <w:rPr>
          <w:rFonts w:cs="Lucida Grande"/>
          <w:color w:val="000000"/>
          <w:sz w:val="22"/>
          <w:szCs w:val="22"/>
        </w:rPr>
        <w:t xml:space="preserve"> Trace-</w:t>
      </w:r>
      <w:r w:rsidR="00EA00D5" w:rsidRPr="00803ACB">
        <w:rPr>
          <w:rFonts w:cs="Lucida Grande"/>
          <w:color w:val="000000"/>
          <w:sz w:val="22"/>
          <w:szCs w:val="22"/>
        </w:rPr>
        <w:t>element abundances (ppm) in pure pentlandite and heazlewoodite vs. mixed analyses in polymict breccia DU-1, illustrating the effect of co-ablating mixed, intergrown sulphide phases. Only inclusion-free analyses are shown.</w:t>
      </w:r>
    </w:p>
    <w:p w14:paraId="731A3A49" w14:textId="77777777" w:rsidR="00114423" w:rsidRPr="00803ACB" w:rsidRDefault="00114423">
      <w:pPr>
        <w:tabs>
          <w:tab w:val="clear" w:pos="0"/>
        </w:tabs>
        <w:spacing w:line="240" w:lineRule="auto"/>
        <w:rPr>
          <w:rFonts w:cs="Lucida Grande"/>
          <w:color w:val="000000"/>
          <w:sz w:val="22"/>
          <w:szCs w:val="22"/>
        </w:rPr>
      </w:pPr>
      <w:r w:rsidRPr="00803ACB">
        <w:rPr>
          <w:rFonts w:cs="Lucida Grande"/>
          <w:color w:val="000000"/>
          <w:sz w:val="22"/>
          <w:szCs w:val="22"/>
        </w:rPr>
        <w:br w:type="page"/>
      </w:r>
    </w:p>
    <w:p w14:paraId="73D4B80B" w14:textId="77777777" w:rsidR="0013388A" w:rsidRPr="00803ACB" w:rsidRDefault="0013388A" w:rsidP="0013388A">
      <w:pPr>
        <w:rPr>
          <w:rFonts w:cs="Lucida Grande"/>
          <w:color w:val="000000"/>
          <w:sz w:val="22"/>
          <w:szCs w:val="22"/>
        </w:rPr>
      </w:pPr>
      <w:r w:rsidRPr="00803ACB">
        <w:rPr>
          <w:rFonts w:cs="Lucida Grande"/>
          <w:b/>
          <w:color w:val="000000"/>
          <w:sz w:val="22"/>
          <w:szCs w:val="22"/>
        </w:rPr>
        <w:lastRenderedPageBreak/>
        <w:t>Figure S4</w:t>
      </w:r>
      <w:r w:rsidRPr="00803ACB">
        <w:rPr>
          <w:rFonts w:cs="Lucida Grande"/>
          <w:color w:val="000000"/>
          <w:sz w:val="22"/>
          <w:szCs w:val="22"/>
        </w:rPr>
        <w:t xml:space="preserve"> Trace element abundances (ppm) in pure pentlandite as a function of Si content, illustrating the effect of co-ablating secondary serpentine intergrown with sulphide minerals.</w:t>
      </w:r>
    </w:p>
    <w:p w14:paraId="7B545497" w14:textId="36A8F2C4" w:rsidR="00A52E13" w:rsidRPr="006C5516" w:rsidRDefault="0013388A" w:rsidP="006C5516">
      <w:pPr>
        <w:jc w:val="center"/>
        <w:rPr>
          <w:rFonts w:cs="Lucida Grande"/>
          <w:b/>
          <w:color w:val="000000"/>
          <w:sz w:val="22"/>
          <w:szCs w:val="22"/>
        </w:rPr>
      </w:pPr>
      <w:r w:rsidRPr="00803ACB">
        <w:rPr>
          <w:rFonts w:cs="Lucida Grande"/>
          <w:b/>
          <w:noProof/>
          <w:color w:val="000000"/>
          <w:sz w:val="22"/>
          <w:szCs w:val="22"/>
          <w:lang w:val="de-DE"/>
        </w:rPr>
        <w:drawing>
          <wp:inline distT="0" distB="0" distL="0" distR="0" wp14:anchorId="692565AE" wp14:editId="48F0359B">
            <wp:extent cx="4687790" cy="7429500"/>
            <wp:effectExtent l="0" t="0" r="1143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4 serp mnt contam.jpg"/>
                    <pic:cNvPicPr/>
                  </pic:nvPicPr>
                  <pic:blipFill>
                    <a:blip r:embed="rId13">
                      <a:extLst>
                        <a:ext uri="{28A0092B-C50C-407E-A947-70E740481C1C}">
                          <a14:useLocalDpi xmlns:a14="http://schemas.microsoft.com/office/drawing/2010/main" val="0"/>
                        </a:ext>
                      </a:extLst>
                    </a:blip>
                    <a:stretch>
                      <a:fillRect/>
                    </a:stretch>
                  </pic:blipFill>
                  <pic:spPr>
                    <a:xfrm>
                      <a:off x="0" y="0"/>
                      <a:ext cx="4687919" cy="7429705"/>
                    </a:xfrm>
                    <a:prstGeom prst="rect">
                      <a:avLst/>
                    </a:prstGeom>
                  </pic:spPr>
                </pic:pic>
              </a:graphicData>
            </a:graphic>
          </wp:inline>
        </w:drawing>
      </w:r>
    </w:p>
    <w:sectPr w:rsidR="00A52E13" w:rsidRPr="006C5516" w:rsidSect="00327006">
      <w:footerReference w:type="even" r:id="rId14"/>
      <w:footerReference w:type="default" r:id="rId15"/>
      <w:pgSz w:w="11899" w:h="16838"/>
      <w:pgMar w:top="1440" w:right="1531" w:bottom="1440" w:left="1701" w:header="720" w:footer="720" w:gutter="0"/>
      <w:lnNumType w:countBy="1" w:restart="continuou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AD5346" w14:textId="77777777" w:rsidR="0031294A" w:rsidRDefault="0031294A" w:rsidP="00C77E1C">
      <w:r>
        <w:separator/>
      </w:r>
    </w:p>
    <w:p w14:paraId="0F606DF0" w14:textId="77777777" w:rsidR="0031294A" w:rsidRDefault="0031294A" w:rsidP="00C77E1C"/>
  </w:endnote>
  <w:endnote w:type="continuationSeparator" w:id="0">
    <w:p w14:paraId="4C5575E2" w14:textId="77777777" w:rsidR="0031294A" w:rsidRDefault="0031294A" w:rsidP="00C77E1C">
      <w:r>
        <w:continuationSeparator/>
      </w:r>
    </w:p>
    <w:p w14:paraId="05984EC0" w14:textId="77777777" w:rsidR="0031294A" w:rsidRDefault="0031294A" w:rsidP="00C77E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eneva">
    <w:panose1 w:val="020B0503030404040204"/>
    <w:charset w:val="00"/>
    <w:family w:val="auto"/>
    <w:pitch w:val="variable"/>
    <w:sig w:usb0="00000007" w:usb1="00000000" w:usb2="00000000" w:usb3="00000000" w:csb0="00000093" w:csb1="00000000"/>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C1FA1B" w14:textId="77777777" w:rsidR="0031294A" w:rsidRDefault="0031294A" w:rsidP="00C77E1C">
    <w:pPr>
      <w:pStyle w:val="Fuzeile"/>
      <w:rPr>
        <w:rStyle w:val="Seitenzahl"/>
      </w:rPr>
    </w:pPr>
    <w:r>
      <w:rPr>
        <w:rStyle w:val="Seitenzahl"/>
      </w:rPr>
      <w:fldChar w:fldCharType="begin"/>
    </w:r>
    <w:r>
      <w:rPr>
        <w:rStyle w:val="Seitenzahl"/>
      </w:rPr>
      <w:instrText xml:space="preserve">PAGE  </w:instrText>
    </w:r>
    <w:r>
      <w:rPr>
        <w:rStyle w:val="Seitenzahl"/>
      </w:rPr>
      <w:fldChar w:fldCharType="end"/>
    </w:r>
  </w:p>
  <w:p w14:paraId="71A49CE5" w14:textId="77777777" w:rsidR="0031294A" w:rsidRDefault="0031294A" w:rsidP="00C77E1C">
    <w:pPr>
      <w:pStyle w:val="Fuzeile"/>
    </w:pPr>
  </w:p>
  <w:p w14:paraId="5323FB25" w14:textId="77777777" w:rsidR="0031294A" w:rsidRDefault="0031294A" w:rsidP="00C77E1C"/>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478953" w14:textId="2E66D55D" w:rsidR="0031294A" w:rsidRDefault="0031294A" w:rsidP="00F751AB">
    <w:pPr>
      <w:pStyle w:val="Fuzeile"/>
      <w:jc w:val="right"/>
      <w:rPr>
        <w:rStyle w:val="Seitenzahl"/>
      </w:rPr>
    </w:pPr>
    <w:r>
      <w:rPr>
        <w:rStyle w:val="Seitenzahl"/>
      </w:rPr>
      <w:fldChar w:fldCharType="begin"/>
    </w:r>
    <w:r>
      <w:rPr>
        <w:rStyle w:val="Seitenzahl"/>
      </w:rPr>
      <w:instrText xml:space="preserve">PAGE  </w:instrText>
    </w:r>
    <w:r>
      <w:rPr>
        <w:rStyle w:val="Seitenzahl"/>
      </w:rPr>
      <w:fldChar w:fldCharType="separate"/>
    </w:r>
    <w:r w:rsidR="00CD35BB">
      <w:rPr>
        <w:rStyle w:val="Seitenzahl"/>
        <w:noProof/>
      </w:rPr>
      <w:t>2</w:t>
    </w:r>
    <w:r>
      <w:rPr>
        <w:rStyle w:val="Seitenzahl"/>
      </w:rPr>
      <w:fldChar w:fldCharType="end"/>
    </w:r>
  </w:p>
  <w:p w14:paraId="356C1A62" w14:textId="77777777" w:rsidR="0031294A" w:rsidRDefault="0031294A" w:rsidP="00C77E1C">
    <w:pPr>
      <w:pStyle w:val="Fuzeile"/>
    </w:pPr>
  </w:p>
  <w:p w14:paraId="0F3CE44B" w14:textId="77777777" w:rsidR="0031294A" w:rsidRDefault="0031294A" w:rsidP="00C77E1C"/>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157691" w14:textId="77777777" w:rsidR="0031294A" w:rsidRDefault="0031294A" w:rsidP="00C77E1C">
      <w:r>
        <w:separator/>
      </w:r>
    </w:p>
    <w:p w14:paraId="17724569" w14:textId="77777777" w:rsidR="0031294A" w:rsidRDefault="0031294A" w:rsidP="00C77E1C"/>
  </w:footnote>
  <w:footnote w:type="continuationSeparator" w:id="0">
    <w:p w14:paraId="7022E855" w14:textId="77777777" w:rsidR="0031294A" w:rsidRDefault="0031294A" w:rsidP="00C77E1C">
      <w:r>
        <w:continuationSeparator/>
      </w:r>
    </w:p>
    <w:p w14:paraId="0637FE1E" w14:textId="77777777" w:rsidR="0031294A" w:rsidRDefault="0031294A" w:rsidP="00C77E1C"/>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DE47B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326"/>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F76474F"/>
    <w:multiLevelType w:val="hybridMultilevel"/>
    <w:tmpl w:val="4EC4123C"/>
    <w:lvl w:ilvl="0" w:tplc="681683C4">
      <w:start w:val="2"/>
      <w:numFmt w:val="decimal"/>
      <w:lvlText w:val="(%1)"/>
      <w:lvlJc w:val="left"/>
      <w:pPr>
        <w:tabs>
          <w:tab w:val="num" w:pos="1080"/>
        </w:tabs>
        <w:ind w:left="1080" w:hanging="720"/>
      </w:pPr>
      <w:rPr>
        <w:rFonts w:hint="default"/>
      </w:rPr>
    </w:lvl>
    <w:lvl w:ilvl="1" w:tplc="860E4D76" w:tentative="1">
      <w:start w:val="1"/>
      <w:numFmt w:val="lowerLetter"/>
      <w:lvlText w:val="%2."/>
      <w:lvlJc w:val="left"/>
      <w:pPr>
        <w:tabs>
          <w:tab w:val="num" w:pos="1440"/>
        </w:tabs>
        <w:ind w:left="1440" w:hanging="360"/>
      </w:pPr>
    </w:lvl>
    <w:lvl w:ilvl="2" w:tplc="26AE5A76" w:tentative="1">
      <w:start w:val="1"/>
      <w:numFmt w:val="lowerRoman"/>
      <w:lvlText w:val="%3."/>
      <w:lvlJc w:val="right"/>
      <w:pPr>
        <w:tabs>
          <w:tab w:val="num" w:pos="2160"/>
        </w:tabs>
        <w:ind w:left="2160" w:hanging="180"/>
      </w:pPr>
    </w:lvl>
    <w:lvl w:ilvl="3" w:tplc="B4CC8D06" w:tentative="1">
      <w:start w:val="1"/>
      <w:numFmt w:val="decimal"/>
      <w:lvlText w:val="%4."/>
      <w:lvlJc w:val="left"/>
      <w:pPr>
        <w:tabs>
          <w:tab w:val="num" w:pos="2880"/>
        </w:tabs>
        <w:ind w:left="2880" w:hanging="360"/>
      </w:pPr>
    </w:lvl>
    <w:lvl w:ilvl="4" w:tplc="C5446F74" w:tentative="1">
      <w:start w:val="1"/>
      <w:numFmt w:val="lowerLetter"/>
      <w:lvlText w:val="%5."/>
      <w:lvlJc w:val="left"/>
      <w:pPr>
        <w:tabs>
          <w:tab w:val="num" w:pos="3600"/>
        </w:tabs>
        <w:ind w:left="3600" w:hanging="360"/>
      </w:pPr>
    </w:lvl>
    <w:lvl w:ilvl="5" w:tplc="41E2EE3A" w:tentative="1">
      <w:start w:val="1"/>
      <w:numFmt w:val="lowerRoman"/>
      <w:lvlText w:val="%6."/>
      <w:lvlJc w:val="right"/>
      <w:pPr>
        <w:tabs>
          <w:tab w:val="num" w:pos="4320"/>
        </w:tabs>
        <w:ind w:left="4320" w:hanging="180"/>
      </w:pPr>
    </w:lvl>
    <w:lvl w:ilvl="6" w:tplc="C2F82C8A" w:tentative="1">
      <w:start w:val="1"/>
      <w:numFmt w:val="decimal"/>
      <w:lvlText w:val="%7."/>
      <w:lvlJc w:val="left"/>
      <w:pPr>
        <w:tabs>
          <w:tab w:val="num" w:pos="5040"/>
        </w:tabs>
        <w:ind w:left="5040" w:hanging="360"/>
      </w:pPr>
    </w:lvl>
    <w:lvl w:ilvl="7" w:tplc="39C478F4" w:tentative="1">
      <w:start w:val="1"/>
      <w:numFmt w:val="lowerLetter"/>
      <w:lvlText w:val="%8."/>
      <w:lvlJc w:val="left"/>
      <w:pPr>
        <w:tabs>
          <w:tab w:val="num" w:pos="5760"/>
        </w:tabs>
        <w:ind w:left="5760" w:hanging="360"/>
      </w:pPr>
    </w:lvl>
    <w:lvl w:ilvl="8" w:tplc="C1184A5C" w:tentative="1">
      <w:start w:val="1"/>
      <w:numFmt w:val="lowerRoman"/>
      <w:lvlText w:val="%9."/>
      <w:lvlJc w:val="right"/>
      <w:pPr>
        <w:tabs>
          <w:tab w:val="num" w:pos="6480"/>
        </w:tabs>
        <w:ind w:left="6480" w:hanging="180"/>
      </w:pPr>
    </w:lvl>
  </w:abstractNum>
  <w:abstractNum w:abstractNumId="3">
    <w:nsid w:val="21736980"/>
    <w:multiLevelType w:val="hybridMultilevel"/>
    <w:tmpl w:val="1D64DF72"/>
    <w:lvl w:ilvl="0" w:tplc="942E4D16">
      <w:start w:val="1"/>
      <w:numFmt w:val="bullet"/>
      <w:lvlText w:val="-"/>
      <w:lvlJc w:val="left"/>
      <w:pPr>
        <w:tabs>
          <w:tab w:val="num" w:pos="720"/>
        </w:tabs>
        <w:ind w:left="720" w:hanging="360"/>
      </w:pPr>
      <w:rPr>
        <w:rFonts w:ascii="Times New Roman" w:hAnsi="Times New Roman" w:hint="default"/>
      </w:rPr>
    </w:lvl>
    <w:lvl w:ilvl="1" w:tplc="C28AA7A0" w:tentative="1">
      <w:start w:val="1"/>
      <w:numFmt w:val="bullet"/>
      <w:lvlText w:val="-"/>
      <w:lvlJc w:val="left"/>
      <w:pPr>
        <w:tabs>
          <w:tab w:val="num" w:pos="1440"/>
        </w:tabs>
        <w:ind w:left="1440" w:hanging="360"/>
      </w:pPr>
      <w:rPr>
        <w:rFonts w:ascii="Times New Roman" w:hAnsi="Times New Roman" w:hint="default"/>
      </w:rPr>
    </w:lvl>
    <w:lvl w:ilvl="2" w:tplc="39F25D96" w:tentative="1">
      <w:start w:val="1"/>
      <w:numFmt w:val="bullet"/>
      <w:lvlText w:val="-"/>
      <w:lvlJc w:val="left"/>
      <w:pPr>
        <w:tabs>
          <w:tab w:val="num" w:pos="2160"/>
        </w:tabs>
        <w:ind w:left="2160" w:hanging="360"/>
      </w:pPr>
      <w:rPr>
        <w:rFonts w:ascii="Times New Roman" w:hAnsi="Times New Roman" w:hint="default"/>
      </w:rPr>
    </w:lvl>
    <w:lvl w:ilvl="3" w:tplc="BAA4C480" w:tentative="1">
      <w:start w:val="1"/>
      <w:numFmt w:val="bullet"/>
      <w:lvlText w:val="-"/>
      <w:lvlJc w:val="left"/>
      <w:pPr>
        <w:tabs>
          <w:tab w:val="num" w:pos="2880"/>
        </w:tabs>
        <w:ind w:left="2880" w:hanging="360"/>
      </w:pPr>
      <w:rPr>
        <w:rFonts w:ascii="Times New Roman" w:hAnsi="Times New Roman" w:hint="default"/>
      </w:rPr>
    </w:lvl>
    <w:lvl w:ilvl="4" w:tplc="14B6FB08" w:tentative="1">
      <w:start w:val="1"/>
      <w:numFmt w:val="bullet"/>
      <w:lvlText w:val="-"/>
      <w:lvlJc w:val="left"/>
      <w:pPr>
        <w:tabs>
          <w:tab w:val="num" w:pos="3600"/>
        </w:tabs>
        <w:ind w:left="3600" w:hanging="360"/>
      </w:pPr>
      <w:rPr>
        <w:rFonts w:ascii="Times New Roman" w:hAnsi="Times New Roman" w:hint="default"/>
      </w:rPr>
    </w:lvl>
    <w:lvl w:ilvl="5" w:tplc="281879A2" w:tentative="1">
      <w:start w:val="1"/>
      <w:numFmt w:val="bullet"/>
      <w:lvlText w:val="-"/>
      <w:lvlJc w:val="left"/>
      <w:pPr>
        <w:tabs>
          <w:tab w:val="num" w:pos="4320"/>
        </w:tabs>
        <w:ind w:left="4320" w:hanging="360"/>
      </w:pPr>
      <w:rPr>
        <w:rFonts w:ascii="Times New Roman" w:hAnsi="Times New Roman" w:hint="default"/>
      </w:rPr>
    </w:lvl>
    <w:lvl w:ilvl="6" w:tplc="AF32A352" w:tentative="1">
      <w:start w:val="1"/>
      <w:numFmt w:val="bullet"/>
      <w:lvlText w:val="-"/>
      <w:lvlJc w:val="left"/>
      <w:pPr>
        <w:tabs>
          <w:tab w:val="num" w:pos="5040"/>
        </w:tabs>
        <w:ind w:left="5040" w:hanging="360"/>
      </w:pPr>
      <w:rPr>
        <w:rFonts w:ascii="Times New Roman" w:hAnsi="Times New Roman" w:hint="default"/>
      </w:rPr>
    </w:lvl>
    <w:lvl w:ilvl="7" w:tplc="0A7EBFF6" w:tentative="1">
      <w:start w:val="1"/>
      <w:numFmt w:val="bullet"/>
      <w:lvlText w:val="-"/>
      <w:lvlJc w:val="left"/>
      <w:pPr>
        <w:tabs>
          <w:tab w:val="num" w:pos="5760"/>
        </w:tabs>
        <w:ind w:left="5760" w:hanging="360"/>
      </w:pPr>
      <w:rPr>
        <w:rFonts w:ascii="Times New Roman" w:hAnsi="Times New Roman" w:hint="default"/>
      </w:rPr>
    </w:lvl>
    <w:lvl w:ilvl="8" w:tplc="C144C74C" w:tentative="1">
      <w:start w:val="1"/>
      <w:numFmt w:val="bullet"/>
      <w:lvlText w:val="-"/>
      <w:lvlJc w:val="left"/>
      <w:pPr>
        <w:tabs>
          <w:tab w:val="num" w:pos="6480"/>
        </w:tabs>
        <w:ind w:left="6480" w:hanging="360"/>
      </w:pPr>
      <w:rPr>
        <w:rFonts w:ascii="Times New Roman" w:hAnsi="Times New Roman" w:hint="default"/>
      </w:rPr>
    </w:lvl>
  </w:abstractNum>
  <w:abstractNum w:abstractNumId="4">
    <w:nsid w:val="253E0168"/>
    <w:multiLevelType w:val="hybridMultilevel"/>
    <w:tmpl w:val="426A5BAE"/>
    <w:lvl w:ilvl="0" w:tplc="2790083C">
      <w:start w:val="1"/>
      <w:numFmt w:val="bullet"/>
      <w:lvlText w:val="•"/>
      <w:lvlJc w:val="left"/>
      <w:pPr>
        <w:tabs>
          <w:tab w:val="num" w:pos="720"/>
        </w:tabs>
        <w:ind w:left="720" w:hanging="360"/>
      </w:pPr>
      <w:rPr>
        <w:rFonts w:ascii="Times New Roman" w:hAnsi="Times New Roman" w:hint="default"/>
      </w:rPr>
    </w:lvl>
    <w:lvl w:ilvl="1" w:tplc="26AE6000" w:tentative="1">
      <w:start w:val="1"/>
      <w:numFmt w:val="bullet"/>
      <w:lvlText w:val="•"/>
      <w:lvlJc w:val="left"/>
      <w:pPr>
        <w:tabs>
          <w:tab w:val="num" w:pos="1440"/>
        </w:tabs>
        <w:ind w:left="1440" w:hanging="360"/>
      </w:pPr>
      <w:rPr>
        <w:rFonts w:ascii="Times New Roman" w:hAnsi="Times New Roman" w:hint="default"/>
      </w:rPr>
    </w:lvl>
    <w:lvl w:ilvl="2" w:tplc="7464A960" w:tentative="1">
      <w:start w:val="1"/>
      <w:numFmt w:val="bullet"/>
      <w:lvlText w:val="•"/>
      <w:lvlJc w:val="left"/>
      <w:pPr>
        <w:tabs>
          <w:tab w:val="num" w:pos="2160"/>
        </w:tabs>
        <w:ind w:left="2160" w:hanging="360"/>
      </w:pPr>
      <w:rPr>
        <w:rFonts w:ascii="Times New Roman" w:hAnsi="Times New Roman" w:hint="default"/>
      </w:rPr>
    </w:lvl>
    <w:lvl w:ilvl="3" w:tplc="7786D170" w:tentative="1">
      <w:start w:val="1"/>
      <w:numFmt w:val="bullet"/>
      <w:lvlText w:val="•"/>
      <w:lvlJc w:val="left"/>
      <w:pPr>
        <w:tabs>
          <w:tab w:val="num" w:pos="2880"/>
        </w:tabs>
        <w:ind w:left="2880" w:hanging="360"/>
      </w:pPr>
      <w:rPr>
        <w:rFonts w:ascii="Times New Roman" w:hAnsi="Times New Roman" w:hint="default"/>
      </w:rPr>
    </w:lvl>
    <w:lvl w:ilvl="4" w:tplc="5EEACBCC" w:tentative="1">
      <w:start w:val="1"/>
      <w:numFmt w:val="bullet"/>
      <w:lvlText w:val="•"/>
      <w:lvlJc w:val="left"/>
      <w:pPr>
        <w:tabs>
          <w:tab w:val="num" w:pos="3600"/>
        </w:tabs>
        <w:ind w:left="3600" w:hanging="360"/>
      </w:pPr>
      <w:rPr>
        <w:rFonts w:ascii="Times New Roman" w:hAnsi="Times New Roman" w:hint="default"/>
      </w:rPr>
    </w:lvl>
    <w:lvl w:ilvl="5" w:tplc="014041B2" w:tentative="1">
      <w:start w:val="1"/>
      <w:numFmt w:val="bullet"/>
      <w:lvlText w:val="•"/>
      <w:lvlJc w:val="left"/>
      <w:pPr>
        <w:tabs>
          <w:tab w:val="num" w:pos="4320"/>
        </w:tabs>
        <w:ind w:left="4320" w:hanging="360"/>
      </w:pPr>
      <w:rPr>
        <w:rFonts w:ascii="Times New Roman" w:hAnsi="Times New Roman" w:hint="default"/>
      </w:rPr>
    </w:lvl>
    <w:lvl w:ilvl="6" w:tplc="A1826DFC" w:tentative="1">
      <w:start w:val="1"/>
      <w:numFmt w:val="bullet"/>
      <w:lvlText w:val="•"/>
      <w:lvlJc w:val="left"/>
      <w:pPr>
        <w:tabs>
          <w:tab w:val="num" w:pos="5040"/>
        </w:tabs>
        <w:ind w:left="5040" w:hanging="360"/>
      </w:pPr>
      <w:rPr>
        <w:rFonts w:ascii="Times New Roman" w:hAnsi="Times New Roman" w:hint="default"/>
      </w:rPr>
    </w:lvl>
    <w:lvl w:ilvl="7" w:tplc="BB1252DE" w:tentative="1">
      <w:start w:val="1"/>
      <w:numFmt w:val="bullet"/>
      <w:lvlText w:val="•"/>
      <w:lvlJc w:val="left"/>
      <w:pPr>
        <w:tabs>
          <w:tab w:val="num" w:pos="5760"/>
        </w:tabs>
        <w:ind w:left="5760" w:hanging="360"/>
      </w:pPr>
      <w:rPr>
        <w:rFonts w:ascii="Times New Roman" w:hAnsi="Times New Roman" w:hint="default"/>
      </w:rPr>
    </w:lvl>
    <w:lvl w:ilvl="8" w:tplc="77D8FCC6" w:tentative="1">
      <w:start w:val="1"/>
      <w:numFmt w:val="bullet"/>
      <w:lvlText w:val="•"/>
      <w:lvlJc w:val="left"/>
      <w:pPr>
        <w:tabs>
          <w:tab w:val="num" w:pos="6480"/>
        </w:tabs>
        <w:ind w:left="6480" w:hanging="360"/>
      </w:pPr>
      <w:rPr>
        <w:rFonts w:ascii="Times New Roman" w:hAnsi="Times New Roman" w:hint="default"/>
      </w:rPr>
    </w:lvl>
  </w:abstractNum>
  <w:abstractNum w:abstractNumId="5">
    <w:nsid w:val="317228DB"/>
    <w:multiLevelType w:val="hybridMultilevel"/>
    <w:tmpl w:val="3F4A7886"/>
    <w:lvl w:ilvl="0" w:tplc="4DA2D8DC">
      <w:start w:val="1"/>
      <w:numFmt w:val="bullet"/>
      <w:lvlText w:val="-"/>
      <w:lvlJc w:val="left"/>
      <w:pPr>
        <w:tabs>
          <w:tab w:val="num" w:pos="720"/>
        </w:tabs>
        <w:ind w:left="720" w:hanging="360"/>
      </w:pPr>
      <w:rPr>
        <w:rFonts w:ascii="Times New Roman" w:hAnsi="Times New Roman" w:hint="default"/>
      </w:rPr>
    </w:lvl>
    <w:lvl w:ilvl="1" w:tplc="0B7C0220" w:tentative="1">
      <w:start w:val="1"/>
      <w:numFmt w:val="bullet"/>
      <w:lvlText w:val="-"/>
      <w:lvlJc w:val="left"/>
      <w:pPr>
        <w:tabs>
          <w:tab w:val="num" w:pos="1440"/>
        </w:tabs>
        <w:ind w:left="1440" w:hanging="360"/>
      </w:pPr>
      <w:rPr>
        <w:rFonts w:ascii="Times New Roman" w:hAnsi="Times New Roman" w:hint="default"/>
      </w:rPr>
    </w:lvl>
    <w:lvl w:ilvl="2" w:tplc="06C28380" w:tentative="1">
      <w:start w:val="1"/>
      <w:numFmt w:val="bullet"/>
      <w:lvlText w:val="-"/>
      <w:lvlJc w:val="left"/>
      <w:pPr>
        <w:tabs>
          <w:tab w:val="num" w:pos="2160"/>
        </w:tabs>
        <w:ind w:left="2160" w:hanging="360"/>
      </w:pPr>
      <w:rPr>
        <w:rFonts w:ascii="Times New Roman" w:hAnsi="Times New Roman" w:hint="default"/>
      </w:rPr>
    </w:lvl>
    <w:lvl w:ilvl="3" w:tplc="6DC231A0" w:tentative="1">
      <w:start w:val="1"/>
      <w:numFmt w:val="bullet"/>
      <w:lvlText w:val="-"/>
      <w:lvlJc w:val="left"/>
      <w:pPr>
        <w:tabs>
          <w:tab w:val="num" w:pos="2880"/>
        </w:tabs>
        <w:ind w:left="2880" w:hanging="360"/>
      </w:pPr>
      <w:rPr>
        <w:rFonts w:ascii="Times New Roman" w:hAnsi="Times New Roman" w:hint="default"/>
      </w:rPr>
    </w:lvl>
    <w:lvl w:ilvl="4" w:tplc="4FCE115E" w:tentative="1">
      <w:start w:val="1"/>
      <w:numFmt w:val="bullet"/>
      <w:lvlText w:val="-"/>
      <w:lvlJc w:val="left"/>
      <w:pPr>
        <w:tabs>
          <w:tab w:val="num" w:pos="3600"/>
        </w:tabs>
        <w:ind w:left="3600" w:hanging="360"/>
      </w:pPr>
      <w:rPr>
        <w:rFonts w:ascii="Times New Roman" w:hAnsi="Times New Roman" w:hint="default"/>
      </w:rPr>
    </w:lvl>
    <w:lvl w:ilvl="5" w:tplc="A4A037D8" w:tentative="1">
      <w:start w:val="1"/>
      <w:numFmt w:val="bullet"/>
      <w:lvlText w:val="-"/>
      <w:lvlJc w:val="left"/>
      <w:pPr>
        <w:tabs>
          <w:tab w:val="num" w:pos="4320"/>
        </w:tabs>
        <w:ind w:left="4320" w:hanging="360"/>
      </w:pPr>
      <w:rPr>
        <w:rFonts w:ascii="Times New Roman" w:hAnsi="Times New Roman" w:hint="default"/>
      </w:rPr>
    </w:lvl>
    <w:lvl w:ilvl="6" w:tplc="AF18B9F6" w:tentative="1">
      <w:start w:val="1"/>
      <w:numFmt w:val="bullet"/>
      <w:lvlText w:val="-"/>
      <w:lvlJc w:val="left"/>
      <w:pPr>
        <w:tabs>
          <w:tab w:val="num" w:pos="5040"/>
        </w:tabs>
        <w:ind w:left="5040" w:hanging="360"/>
      </w:pPr>
      <w:rPr>
        <w:rFonts w:ascii="Times New Roman" w:hAnsi="Times New Roman" w:hint="default"/>
      </w:rPr>
    </w:lvl>
    <w:lvl w:ilvl="7" w:tplc="9DECEA6A" w:tentative="1">
      <w:start w:val="1"/>
      <w:numFmt w:val="bullet"/>
      <w:lvlText w:val="-"/>
      <w:lvlJc w:val="left"/>
      <w:pPr>
        <w:tabs>
          <w:tab w:val="num" w:pos="5760"/>
        </w:tabs>
        <w:ind w:left="5760" w:hanging="360"/>
      </w:pPr>
      <w:rPr>
        <w:rFonts w:ascii="Times New Roman" w:hAnsi="Times New Roman" w:hint="default"/>
      </w:rPr>
    </w:lvl>
    <w:lvl w:ilvl="8" w:tplc="91F636F4" w:tentative="1">
      <w:start w:val="1"/>
      <w:numFmt w:val="bullet"/>
      <w:lvlText w:val="-"/>
      <w:lvlJc w:val="left"/>
      <w:pPr>
        <w:tabs>
          <w:tab w:val="num" w:pos="6480"/>
        </w:tabs>
        <w:ind w:left="6480" w:hanging="360"/>
      </w:pPr>
      <w:rPr>
        <w:rFonts w:ascii="Times New Roman" w:hAnsi="Times New Roman" w:hint="default"/>
      </w:rPr>
    </w:lvl>
  </w:abstractNum>
  <w:abstractNum w:abstractNumId="6">
    <w:nsid w:val="3E12788D"/>
    <w:multiLevelType w:val="hybridMultilevel"/>
    <w:tmpl w:val="21087244"/>
    <w:lvl w:ilvl="0" w:tplc="CC78AB20">
      <w:start w:val="1"/>
      <w:numFmt w:val="bullet"/>
      <w:lvlText w:val="-"/>
      <w:lvlJc w:val="left"/>
      <w:pPr>
        <w:tabs>
          <w:tab w:val="num" w:pos="720"/>
        </w:tabs>
        <w:ind w:left="720" w:hanging="360"/>
      </w:pPr>
      <w:rPr>
        <w:rFonts w:ascii="Times New Roman" w:hAnsi="Times New Roman" w:hint="default"/>
      </w:rPr>
    </w:lvl>
    <w:lvl w:ilvl="1" w:tplc="566AB4BE" w:tentative="1">
      <w:start w:val="1"/>
      <w:numFmt w:val="bullet"/>
      <w:lvlText w:val="-"/>
      <w:lvlJc w:val="left"/>
      <w:pPr>
        <w:tabs>
          <w:tab w:val="num" w:pos="1440"/>
        </w:tabs>
        <w:ind w:left="1440" w:hanging="360"/>
      </w:pPr>
      <w:rPr>
        <w:rFonts w:ascii="Times New Roman" w:hAnsi="Times New Roman" w:hint="default"/>
      </w:rPr>
    </w:lvl>
    <w:lvl w:ilvl="2" w:tplc="6602DC10" w:tentative="1">
      <w:start w:val="1"/>
      <w:numFmt w:val="bullet"/>
      <w:lvlText w:val="-"/>
      <w:lvlJc w:val="left"/>
      <w:pPr>
        <w:tabs>
          <w:tab w:val="num" w:pos="2160"/>
        </w:tabs>
        <w:ind w:left="2160" w:hanging="360"/>
      </w:pPr>
      <w:rPr>
        <w:rFonts w:ascii="Times New Roman" w:hAnsi="Times New Roman" w:hint="default"/>
      </w:rPr>
    </w:lvl>
    <w:lvl w:ilvl="3" w:tplc="E4D0B72A" w:tentative="1">
      <w:start w:val="1"/>
      <w:numFmt w:val="bullet"/>
      <w:lvlText w:val="-"/>
      <w:lvlJc w:val="left"/>
      <w:pPr>
        <w:tabs>
          <w:tab w:val="num" w:pos="2880"/>
        </w:tabs>
        <w:ind w:left="2880" w:hanging="360"/>
      </w:pPr>
      <w:rPr>
        <w:rFonts w:ascii="Times New Roman" w:hAnsi="Times New Roman" w:hint="default"/>
      </w:rPr>
    </w:lvl>
    <w:lvl w:ilvl="4" w:tplc="4A38B6FE" w:tentative="1">
      <w:start w:val="1"/>
      <w:numFmt w:val="bullet"/>
      <w:lvlText w:val="-"/>
      <w:lvlJc w:val="left"/>
      <w:pPr>
        <w:tabs>
          <w:tab w:val="num" w:pos="3600"/>
        </w:tabs>
        <w:ind w:left="3600" w:hanging="360"/>
      </w:pPr>
      <w:rPr>
        <w:rFonts w:ascii="Times New Roman" w:hAnsi="Times New Roman" w:hint="default"/>
      </w:rPr>
    </w:lvl>
    <w:lvl w:ilvl="5" w:tplc="D978795E" w:tentative="1">
      <w:start w:val="1"/>
      <w:numFmt w:val="bullet"/>
      <w:lvlText w:val="-"/>
      <w:lvlJc w:val="left"/>
      <w:pPr>
        <w:tabs>
          <w:tab w:val="num" w:pos="4320"/>
        </w:tabs>
        <w:ind w:left="4320" w:hanging="360"/>
      </w:pPr>
      <w:rPr>
        <w:rFonts w:ascii="Times New Roman" w:hAnsi="Times New Roman" w:hint="default"/>
      </w:rPr>
    </w:lvl>
    <w:lvl w:ilvl="6" w:tplc="92FA293C" w:tentative="1">
      <w:start w:val="1"/>
      <w:numFmt w:val="bullet"/>
      <w:lvlText w:val="-"/>
      <w:lvlJc w:val="left"/>
      <w:pPr>
        <w:tabs>
          <w:tab w:val="num" w:pos="5040"/>
        </w:tabs>
        <w:ind w:left="5040" w:hanging="360"/>
      </w:pPr>
      <w:rPr>
        <w:rFonts w:ascii="Times New Roman" w:hAnsi="Times New Roman" w:hint="default"/>
      </w:rPr>
    </w:lvl>
    <w:lvl w:ilvl="7" w:tplc="37EA7DB0" w:tentative="1">
      <w:start w:val="1"/>
      <w:numFmt w:val="bullet"/>
      <w:lvlText w:val="-"/>
      <w:lvlJc w:val="left"/>
      <w:pPr>
        <w:tabs>
          <w:tab w:val="num" w:pos="5760"/>
        </w:tabs>
        <w:ind w:left="5760" w:hanging="360"/>
      </w:pPr>
      <w:rPr>
        <w:rFonts w:ascii="Times New Roman" w:hAnsi="Times New Roman" w:hint="default"/>
      </w:rPr>
    </w:lvl>
    <w:lvl w:ilvl="8" w:tplc="3E0845BC" w:tentative="1">
      <w:start w:val="1"/>
      <w:numFmt w:val="bullet"/>
      <w:lvlText w:val="-"/>
      <w:lvlJc w:val="left"/>
      <w:pPr>
        <w:tabs>
          <w:tab w:val="num" w:pos="6480"/>
        </w:tabs>
        <w:ind w:left="6480" w:hanging="360"/>
      </w:pPr>
      <w:rPr>
        <w:rFonts w:ascii="Times New Roman" w:hAnsi="Times New Roman" w:hint="default"/>
      </w:rPr>
    </w:lvl>
  </w:abstractNum>
  <w:abstractNum w:abstractNumId="7">
    <w:nsid w:val="42CE257D"/>
    <w:multiLevelType w:val="hybridMultilevel"/>
    <w:tmpl w:val="C7942D6E"/>
    <w:lvl w:ilvl="0" w:tplc="04070001">
      <w:start w:val="1"/>
      <w:numFmt w:val="bullet"/>
      <w:lvlText w:val=""/>
      <w:lvlJc w:val="left"/>
      <w:pPr>
        <w:ind w:left="907" w:hanging="360"/>
      </w:pPr>
      <w:rPr>
        <w:rFonts w:ascii="Symbol" w:hAnsi="Symbol" w:hint="default"/>
      </w:rPr>
    </w:lvl>
    <w:lvl w:ilvl="1" w:tplc="04070003" w:tentative="1">
      <w:start w:val="1"/>
      <w:numFmt w:val="bullet"/>
      <w:lvlText w:val="o"/>
      <w:lvlJc w:val="left"/>
      <w:pPr>
        <w:ind w:left="1627" w:hanging="360"/>
      </w:pPr>
      <w:rPr>
        <w:rFonts w:ascii="Courier New" w:hAnsi="Courier New" w:cs="Courier New" w:hint="default"/>
      </w:rPr>
    </w:lvl>
    <w:lvl w:ilvl="2" w:tplc="04070005" w:tentative="1">
      <w:start w:val="1"/>
      <w:numFmt w:val="bullet"/>
      <w:lvlText w:val=""/>
      <w:lvlJc w:val="left"/>
      <w:pPr>
        <w:ind w:left="2347" w:hanging="360"/>
      </w:pPr>
      <w:rPr>
        <w:rFonts w:ascii="Wingdings" w:hAnsi="Wingdings" w:hint="default"/>
      </w:rPr>
    </w:lvl>
    <w:lvl w:ilvl="3" w:tplc="04070001" w:tentative="1">
      <w:start w:val="1"/>
      <w:numFmt w:val="bullet"/>
      <w:lvlText w:val=""/>
      <w:lvlJc w:val="left"/>
      <w:pPr>
        <w:ind w:left="3067" w:hanging="360"/>
      </w:pPr>
      <w:rPr>
        <w:rFonts w:ascii="Symbol" w:hAnsi="Symbol" w:hint="default"/>
      </w:rPr>
    </w:lvl>
    <w:lvl w:ilvl="4" w:tplc="04070003" w:tentative="1">
      <w:start w:val="1"/>
      <w:numFmt w:val="bullet"/>
      <w:lvlText w:val="o"/>
      <w:lvlJc w:val="left"/>
      <w:pPr>
        <w:ind w:left="3787" w:hanging="360"/>
      </w:pPr>
      <w:rPr>
        <w:rFonts w:ascii="Courier New" w:hAnsi="Courier New" w:cs="Courier New" w:hint="default"/>
      </w:rPr>
    </w:lvl>
    <w:lvl w:ilvl="5" w:tplc="04070005" w:tentative="1">
      <w:start w:val="1"/>
      <w:numFmt w:val="bullet"/>
      <w:lvlText w:val=""/>
      <w:lvlJc w:val="left"/>
      <w:pPr>
        <w:ind w:left="4507" w:hanging="360"/>
      </w:pPr>
      <w:rPr>
        <w:rFonts w:ascii="Wingdings" w:hAnsi="Wingdings" w:hint="default"/>
      </w:rPr>
    </w:lvl>
    <w:lvl w:ilvl="6" w:tplc="04070001" w:tentative="1">
      <w:start w:val="1"/>
      <w:numFmt w:val="bullet"/>
      <w:lvlText w:val=""/>
      <w:lvlJc w:val="left"/>
      <w:pPr>
        <w:ind w:left="5227" w:hanging="360"/>
      </w:pPr>
      <w:rPr>
        <w:rFonts w:ascii="Symbol" w:hAnsi="Symbol" w:hint="default"/>
      </w:rPr>
    </w:lvl>
    <w:lvl w:ilvl="7" w:tplc="04070003" w:tentative="1">
      <w:start w:val="1"/>
      <w:numFmt w:val="bullet"/>
      <w:lvlText w:val="o"/>
      <w:lvlJc w:val="left"/>
      <w:pPr>
        <w:ind w:left="5947" w:hanging="360"/>
      </w:pPr>
      <w:rPr>
        <w:rFonts w:ascii="Courier New" w:hAnsi="Courier New" w:cs="Courier New" w:hint="default"/>
      </w:rPr>
    </w:lvl>
    <w:lvl w:ilvl="8" w:tplc="04070005" w:tentative="1">
      <w:start w:val="1"/>
      <w:numFmt w:val="bullet"/>
      <w:lvlText w:val=""/>
      <w:lvlJc w:val="left"/>
      <w:pPr>
        <w:ind w:left="6667" w:hanging="360"/>
      </w:pPr>
      <w:rPr>
        <w:rFonts w:ascii="Wingdings" w:hAnsi="Wingdings" w:hint="default"/>
      </w:rPr>
    </w:lvl>
  </w:abstractNum>
  <w:abstractNum w:abstractNumId="8">
    <w:nsid w:val="52E14A06"/>
    <w:multiLevelType w:val="hybridMultilevel"/>
    <w:tmpl w:val="FB323B8C"/>
    <w:lvl w:ilvl="0" w:tplc="5A0040C0">
      <w:start w:val="1"/>
      <w:numFmt w:val="bullet"/>
      <w:lvlText w:val="-"/>
      <w:lvlJc w:val="left"/>
      <w:pPr>
        <w:tabs>
          <w:tab w:val="num" w:pos="720"/>
        </w:tabs>
        <w:ind w:left="720" w:hanging="360"/>
      </w:pPr>
      <w:rPr>
        <w:rFonts w:ascii="Times New Roman" w:hAnsi="Times New Roman" w:hint="default"/>
      </w:rPr>
    </w:lvl>
    <w:lvl w:ilvl="1" w:tplc="8670E1CE" w:tentative="1">
      <w:start w:val="1"/>
      <w:numFmt w:val="bullet"/>
      <w:lvlText w:val="-"/>
      <w:lvlJc w:val="left"/>
      <w:pPr>
        <w:tabs>
          <w:tab w:val="num" w:pos="1440"/>
        </w:tabs>
        <w:ind w:left="1440" w:hanging="360"/>
      </w:pPr>
      <w:rPr>
        <w:rFonts w:ascii="Times New Roman" w:hAnsi="Times New Roman" w:hint="default"/>
      </w:rPr>
    </w:lvl>
    <w:lvl w:ilvl="2" w:tplc="25C8C5EC" w:tentative="1">
      <w:start w:val="1"/>
      <w:numFmt w:val="bullet"/>
      <w:lvlText w:val="-"/>
      <w:lvlJc w:val="left"/>
      <w:pPr>
        <w:tabs>
          <w:tab w:val="num" w:pos="2160"/>
        </w:tabs>
        <w:ind w:left="2160" w:hanging="360"/>
      </w:pPr>
      <w:rPr>
        <w:rFonts w:ascii="Times New Roman" w:hAnsi="Times New Roman" w:hint="default"/>
      </w:rPr>
    </w:lvl>
    <w:lvl w:ilvl="3" w:tplc="67CC62BA" w:tentative="1">
      <w:start w:val="1"/>
      <w:numFmt w:val="bullet"/>
      <w:lvlText w:val="-"/>
      <w:lvlJc w:val="left"/>
      <w:pPr>
        <w:tabs>
          <w:tab w:val="num" w:pos="2880"/>
        </w:tabs>
        <w:ind w:left="2880" w:hanging="360"/>
      </w:pPr>
      <w:rPr>
        <w:rFonts w:ascii="Times New Roman" w:hAnsi="Times New Roman" w:hint="default"/>
      </w:rPr>
    </w:lvl>
    <w:lvl w:ilvl="4" w:tplc="E2883516" w:tentative="1">
      <w:start w:val="1"/>
      <w:numFmt w:val="bullet"/>
      <w:lvlText w:val="-"/>
      <w:lvlJc w:val="left"/>
      <w:pPr>
        <w:tabs>
          <w:tab w:val="num" w:pos="3600"/>
        </w:tabs>
        <w:ind w:left="3600" w:hanging="360"/>
      </w:pPr>
      <w:rPr>
        <w:rFonts w:ascii="Times New Roman" w:hAnsi="Times New Roman" w:hint="default"/>
      </w:rPr>
    </w:lvl>
    <w:lvl w:ilvl="5" w:tplc="00588E20" w:tentative="1">
      <w:start w:val="1"/>
      <w:numFmt w:val="bullet"/>
      <w:lvlText w:val="-"/>
      <w:lvlJc w:val="left"/>
      <w:pPr>
        <w:tabs>
          <w:tab w:val="num" w:pos="4320"/>
        </w:tabs>
        <w:ind w:left="4320" w:hanging="360"/>
      </w:pPr>
      <w:rPr>
        <w:rFonts w:ascii="Times New Roman" w:hAnsi="Times New Roman" w:hint="default"/>
      </w:rPr>
    </w:lvl>
    <w:lvl w:ilvl="6" w:tplc="DD6AD414" w:tentative="1">
      <w:start w:val="1"/>
      <w:numFmt w:val="bullet"/>
      <w:lvlText w:val="-"/>
      <w:lvlJc w:val="left"/>
      <w:pPr>
        <w:tabs>
          <w:tab w:val="num" w:pos="5040"/>
        </w:tabs>
        <w:ind w:left="5040" w:hanging="360"/>
      </w:pPr>
      <w:rPr>
        <w:rFonts w:ascii="Times New Roman" w:hAnsi="Times New Roman" w:hint="default"/>
      </w:rPr>
    </w:lvl>
    <w:lvl w:ilvl="7" w:tplc="83747EDC" w:tentative="1">
      <w:start w:val="1"/>
      <w:numFmt w:val="bullet"/>
      <w:lvlText w:val="-"/>
      <w:lvlJc w:val="left"/>
      <w:pPr>
        <w:tabs>
          <w:tab w:val="num" w:pos="5760"/>
        </w:tabs>
        <w:ind w:left="5760" w:hanging="360"/>
      </w:pPr>
      <w:rPr>
        <w:rFonts w:ascii="Times New Roman" w:hAnsi="Times New Roman" w:hint="default"/>
      </w:rPr>
    </w:lvl>
    <w:lvl w:ilvl="8" w:tplc="2A5A39A4" w:tentative="1">
      <w:start w:val="1"/>
      <w:numFmt w:val="bullet"/>
      <w:lvlText w:val="-"/>
      <w:lvlJc w:val="left"/>
      <w:pPr>
        <w:tabs>
          <w:tab w:val="num" w:pos="6480"/>
        </w:tabs>
        <w:ind w:left="6480" w:hanging="360"/>
      </w:pPr>
      <w:rPr>
        <w:rFonts w:ascii="Times New Roman" w:hAnsi="Times New Roman" w:hint="default"/>
      </w:rPr>
    </w:lvl>
  </w:abstractNum>
  <w:abstractNum w:abstractNumId="9">
    <w:nsid w:val="605F6C0F"/>
    <w:multiLevelType w:val="hybridMultilevel"/>
    <w:tmpl w:val="B96E2E3C"/>
    <w:lvl w:ilvl="0" w:tplc="61962248">
      <w:start w:val="1"/>
      <w:numFmt w:val="bullet"/>
      <w:lvlText w:val=""/>
      <w:lvlJc w:val="left"/>
      <w:pPr>
        <w:tabs>
          <w:tab w:val="num" w:pos="720"/>
        </w:tabs>
        <w:ind w:left="720" w:hanging="360"/>
      </w:pPr>
      <w:rPr>
        <w:rFonts w:ascii="Wingdings" w:hAnsi="Wingdings" w:hint="default"/>
      </w:rPr>
    </w:lvl>
    <w:lvl w:ilvl="1" w:tplc="921A550C" w:tentative="1">
      <w:start w:val="1"/>
      <w:numFmt w:val="bullet"/>
      <w:lvlText w:val="o"/>
      <w:lvlJc w:val="left"/>
      <w:pPr>
        <w:tabs>
          <w:tab w:val="num" w:pos="1440"/>
        </w:tabs>
        <w:ind w:left="1440" w:hanging="360"/>
      </w:pPr>
      <w:rPr>
        <w:rFonts w:ascii="Courier New" w:hAnsi="Courier New" w:hint="default"/>
      </w:rPr>
    </w:lvl>
    <w:lvl w:ilvl="2" w:tplc="13C6F704" w:tentative="1">
      <w:start w:val="1"/>
      <w:numFmt w:val="bullet"/>
      <w:lvlText w:val=""/>
      <w:lvlJc w:val="left"/>
      <w:pPr>
        <w:tabs>
          <w:tab w:val="num" w:pos="2160"/>
        </w:tabs>
        <w:ind w:left="2160" w:hanging="360"/>
      </w:pPr>
      <w:rPr>
        <w:rFonts w:ascii="Wingdings" w:hAnsi="Wingdings" w:hint="default"/>
      </w:rPr>
    </w:lvl>
    <w:lvl w:ilvl="3" w:tplc="EC3C42E8" w:tentative="1">
      <w:start w:val="1"/>
      <w:numFmt w:val="bullet"/>
      <w:lvlText w:val=""/>
      <w:lvlJc w:val="left"/>
      <w:pPr>
        <w:tabs>
          <w:tab w:val="num" w:pos="2880"/>
        </w:tabs>
        <w:ind w:left="2880" w:hanging="360"/>
      </w:pPr>
      <w:rPr>
        <w:rFonts w:ascii="Symbol" w:hAnsi="Symbol" w:hint="default"/>
      </w:rPr>
    </w:lvl>
    <w:lvl w:ilvl="4" w:tplc="24702C40" w:tentative="1">
      <w:start w:val="1"/>
      <w:numFmt w:val="bullet"/>
      <w:lvlText w:val="o"/>
      <w:lvlJc w:val="left"/>
      <w:pPr>
        <w:tabs>
          <w:tab w:val="num" w:pos="3600"/>
        </w:tabs>
        <w:ind w:left="3600" w:hanging="360"/>
      </w:pPr>
      <w:rPr>
        <w:rFonts w:ascii="Courier New" w:hAnsi="Courier New" w:hint="default"/>
      </w:rPr>
    </w:lvl>
    <w:lvl w:ilvl="5" w:tplc="EB524E80" w:tentative="1">
      <w:start w:val="1"/>
      <w:numFmt w:val="bullet"/>
      <w:lvlText w:val=""/>
      <w:lvlJc w:val="left"/>
      <w:pPr>
        <w:tabs>
          <w:tab w:val="num" w:pos="4320"/>
        </w:tabs>
        <w:ind w:left="4320" w:hanging="360"/>
      </w:pPr>
      <w:rPr>
        <w:rFonts w:ascii="Wingdings" w:hAnsi="Wingdings" w:hint="default"/>
      </w:rPr>
    </w:lvl>
    <w:lvl w:ilvl="6" w:tplc="188AB3AC" w:tentative="1">
      <w:start w:val="1"/>
      <w:numFmt w:val="bullet"/>
      <w:lvlText w:val=""/>
      <w:lvlJc w:val="left"/>
      <w:pPr>
        <w:tabs>
          <w:tab w:val="num" w:pos="5040"/>
        </w:tabs>
        <w:ind w:left="5040" w:hanging="360"/>
      </w:pPr>
      <w:rPr>
        <w:rFonts w:ascii="Symbol" w:hAnsi="Symbol" w:hint="default"/>
      </w:rPr>
    </w:lvl>
    <w:lvl w:ilvl="7" w:tplc="61043E6E" w:tentative="1">
      <w:start w:val="1"/>
      <w:numFmt w:val="bullet"/>
      <w:lvlText w:val="o"/>
      <w:lvlJc w:val="left"/>
      <w:pPr>
        <w:tabs>
          <w:tab w:val="num" w:pos="5760"/>
        </w:tabs>
        <w:ind w:left="5760" w:hanging="360"/>
      </w:pPr>
      <w:rPr>
        <w:rFonts w:ascii="Courier New" w:hAnsi="Courier New" w:hint="default"/>
      </w:rPr>
    </w:lvl>
    <w:lvl w:ilvl="8" w:tplc="633EB21C" w:tentative="1">
      <w:start w:val="1"/>
      <w:numFmt w:val="bullet"/>
      <w:lvlText w:val=""/>
      <w:lvlJc w:val="left"/>
      <w:pPr>
        <w:tabs>
          <w:tab w:val="num" w:pos="6480"/>
        </w:tabs>
        <w:ind w:left="6480" w:hanging="360"/>
      </w:pPr>
      <w:rPr>
        <w:rFonts w:ascii="Wingdings" w:hAnsi="Wingdings" w:hint="default"/>
      </w:rPr>
    </w:lvl>
  </w:abstractNum>
  <w:abstractNum w:abstractNumId="10">
    <w:nsid w:val="71BF0EEF"/>
    <w:multiLevelType w:val="hybridMultilevel"/>
    <w:tmpl w:val="2548C502"/>
    <w:lvl w:ilvl="0" w:tplc="42E0E10E">
      <w:start w:val="1"/>
      <w:numFmt w:val="bullet"/>
      <w:lvlText w:val="-"/>
      <w:lvlJc w:val="left"/>
      <w:pPr>
        <w:tabs>
          <w:tab w:val="num" w:pos="720"/>
        </w:tabs>
        <w:ind w:left="720" w:hanging="360"/>
      </w:pPr>
      <w:rPr>
        <w:rFonts w:ascii="Times New Roman" w:hAnsi="Times New Roman" w:hint="default"/>
      </w:rPr>
    </w:lvl>
    <w:lvl w:ilvl="1" w:tplc="66E28024" w:tentative="1">
      <w:start w:val="1"/>
      <w:numFmt w:val="bullet"/>
      <w:lvlText w:val="-"/>
      <w:lvlJc w:val="left"/>
      <w:pPr>
        <w:tabs>
          <w:tab w:val="num" w:pos="1440"/>
        </w:tabs>
        <w:ind w:left="1440" w:hanging="360"/>
      </w:pPr>
      <w:rPr>
        <w:rFonts w:ascii="Times New Roman" w:hAnsi="Times New Roman" w:hint="default"/>
      </w:rPr>
    </w:lvl>
    <w:lvl w:ilvl="2" w:tplc="4E9AE05C" w:tentative="1">
      <w:start w:val="1"/>
      <w:numFmt w:val="bullet"/>
      <w:lvlText w:val="-"/>
      <w:lvlJc w:val="left"/>
      <w:pPr>
        <w:tabs>
          <w:tab w:val="num" w:pos="2160"/>
        </w:tabs>
        <w:ind w:left="2160" w:hanging="360"/>
      </w:pPr>
      <w:rPr>
        <w:rFonts w:ascii="Times New Roman" w:hAnsi="Times New Roman" w:hint="default"/>
      </w:rPr>
    </w:lvl>
    <w:lvl w:ilvl="3" w:tplc="AF4C73A8" w:tentative="1">
      <w:start w:val="1"/>
      <w:numFmt w:val="bullet"/>
      <w:lvlText w:val="-"/>
      <w:lvlJc w:val="left"/>
      <w:pPr>
        <w:tabs>
          <w:tab w:val="num" w:pos="2880"/>
        </w:tabs>
        <w:ind w:left="2880" w:hanging="360"/>
      </w:pPr>
      <w:rPr>
        <w:rFonts w:ascii="Times New Roman" w:hAnsi="Times New Roman" w:hint="default"/>
      </w:rPr>
    </w:lvl>
    <w:lvl w:ilvl="4" w:tplc="772C5EB8" w:tentative="1">
      <w:start w:val="1"/>
      <w:numFmt w:val="bullet"/>
      <w:lvlText w:val="-"/>
      <w:lvlJc w:val="left"/>
      <w:pPr>
        <w:tabs>
          <w:tab w:val="num" w:pos="3600"/>
        </w:tabs>
        <w:ind w:left="3600" w:hanging="360"/>
      </w:pPr>
      <w:rPr>
        <w:rFonts w:ascii="Times New Roman" w:hAnsi="Times New Roman" w:hint="default"/>
      </w:rPr>
    </w:lvl>
    <w:lvl w:ilvl="5" w:tplc="50809D88" w:tentative="1">
      <w:start w:val="1"/>
      <w:numFmt w:val="bullet"/>
      <w:lvlText w:val="-"/>
      <w:lvlJc w:val="left"/>
      <w:pPr>
        <w:tabs>
          <w:tab w:val="num" w:pos="4320"/>
        </w:tabs>
        <w:ind w:left="4320" w:hanging="360"/>
      </w:pPr>
      <w:rPr>
        <w:rFonts w:ascii="Times New Roman" w:hAnsi="Times New Roman" w:hint="default"/>
      </w:rPr>
    </w:lvl>
    <w:lvl w:ilvl="6" w:tplc="18749736" w:tentative="1">
      <w:start w:val="1"/>
      <w:numFmt w:val="bullet"/>
      <w:lvlText w:val="-"/>
      <w:lvlJc w:val="left"/>
      <w:pPr>
        <w:tabs>
          <w:tab w:val="num" w:pos="5040"/>
        </w:tabs>
        <w:ind w:left="5040" w:hanging="360"/>
      </w:pPr>
      <w:rPr>
        <w:rFonts w:ascii="Times New Roman" w:hAnsi="Times New Roman" w:hint="default"/>
      </w:rPr>
    </w:lvl>
    <w:lvl w:ilvl="7" w:tplc="7076F944" w:tentative="1">
      <w:start w:val="1"/>
      <w:numFmt w:val="bullet"/>
      <w:lvlText w:val="-"/>
      <w:lvlJc w:val="left"/>
      <w:pPr>
        <w:tabs>
          <w:tab w:val="num" w:pos="5760"/>
        </w:tabs>
        <w:ind w:left="5760" w:hanging="360"/>
      </w:pPr>
      <w:rPr>
        <w:rFonts w:ascii="Times New Roman" w:hAnsi="Times New Roman" w:hint="default"/>
      </w:rPr>
    </w:lvl>
    <w:lvl w:ilvl="8" w:tplc="487AE6E2" w:tentative="1">
      <w:start w:val="1"/>
      <w:numFmt w:val="bullet"/>
      <w:lvlText w:val="-"/>
      <w:lvlJc w:val="left"/>
      <w:pPr>
        <w:tabs>
          <w:tab w:val="num" w:pos="6480"/>
        </w:tabs>
        <w:ind w:left="6480" w:hanging="360"/>
      </w:pPr>
      <w:rPr>
        <w:rFonts w:ascii="Times New Roman" w:hAnsi="Times New Roman" w:hint="default"/>
      </w:rPr>
    </w:lvl>
  </w:abstractNum>
  <w:abstractNum w:abstractNumId="11">
    <w:nsid w:val="72E63490"/>
    <w:multiLevelType w:val="hybridMultilevel"/>
    <w:tmpl w:val="7578FC40"/>
    <w:lvl w:ilvl="0" w:tplc="BE38E938">
      <w:start w:val="1"/>
      <w:numFmt w:val="bullet"/>
      <w:lvlText w:val="•"/>
      <w:lvlJc w:val="left"/>
      <w:pPr>
        <w:tabs>
          <w:tab w:val="num" w:pos="720"/>
        </w:tabs>
        <w:ind w:left="720" w:hanging="360"/>
      </w:pPr>
      <w:rPr>
        <w:rFonts w:ascii="Times New Roman" w:hAnsi="Times New Roman" w:hint="default"/>
      </w:rPr>
    </w:lvl>
    <w:lvl w:ilvl="1" w:tplc="CD0A7440" w:tentative="1">
      <w:start w:val="1"/>
      <w:numFmt w:val="bullet"/>
      <w:lvlText w:val="•"/>
      <w:lvlJc w:val="left"/>
      <w:pPr>
        <w:tabs>
          <w:tab w:val="num" w:pos="1440"/>
        </w:tabs>
        <w:ind w:left="1440" w:hanging="360"/>
      </w:pPr>
      <w:rPr>
        <w:rFonts w:ascii="Times New Roman" w:hAnsi="Times New Roman" w:hint="default"/>
      </w:rPr>
    </w:lvl>
    <w:lvl w:ilvl="2" w:tplc="59B28CDC" w:tentative="1">
      <w:start w:val="1"/>
      <w:numFmt w:val="bullet"/>
      <w:lvlText w:val="•"/>
      <w:lvlJc w:val="left"/>
      <w:pPr>
        <w:tabs>
          <w:tab w:val="num" w:pos="2160"/>
        </w:tabs>
        <w:ind w:left="2160" w:hanging="360"/>
      </w:pPr>
      <w:rPr>
        <w:rFonts w:ascii="Times New Roman" w:hAnsi="Times New Roman" w:hint="default"/>
      </w:rPr>
    </w:lvl>
    <w:lvl w:ilvl="3" w:tplc="3E34A586" w:tentative="1">
      <w:start w:val="1"/>
      <w:numFmt w:val="bullet"/>
      <w:lvlText w:val="•"/>
      <w:lvlJc w:val="left"/>
      <w:pPr>
        <w:tabs>
          <w:tab w:val="num" w:pos="2880"/>
        </w:tabs>
        <w:ind w:left="2880" w:hanging="360"/>
      </w:pPr>
      <w:rPr>
        <w:rFonts w:ascii="Times New Roman" w:hAnsi="Times New Roman" w:hint="default"/>
      </w:rPr>
    </w:lvl>
    <w:lvl w:ilvl="4" w:tplc="92565B0A" w:tentative="1">
      <w:start w:val="1"/>
      <w:numFmt w:val="bullet"/>
      <w:lvlText w:val="•"/>
      <w:lvlJc w:val="left"/>
      <w:pPr>
        <w:tabs>
          <w:tab w:val="num" w:pos="3600"/>
        </w:tabs>
        <w:ind w:left="3600" w:hanging="360"/>
      </w:pPr>
      <w:rPr>
        <w:rFonts w:ascii="Times New Roman" w:hAnsi="Times New Roman" w:hint="default"/>
      </w:rPr>
    </w:lvl>
    <w:lvl w:ilvl="5" w:tplc="0C4C130C" w:tentative="1">
      <w:start w:val="1"/>
      <w:numFmt w:val="bullet"/>
      <w:lvlText w:val="•"/>
      <w:lvlJc w:val="left"/>
      <w:pPr>
        <w:tabs>
          <w:tab w:val="num" w:pos="4320"/>
        </w:tabs>
        <w:ind w:left="4320" w:hanging="360"/>
      </w:pPr>
      <w:rPr>
        <w:rFonts w:ascii="Times New Roman" w:hAnsi="Times New Roman" w:hint="default"/>
      </w:rPr>
    </w:lvl>
    <w:lvl w:ilvl="6" w:tplc="0CD0E094" w:tentative="1">
      <w:start w:val="1"/>
      <w:numFmt w:val="bullet"/>
      <w:lvlText w:val="•"/>
      <w:lvlJc w:val="left"/>
      <w:pPr>
        <w:tabs>
          <w:tab w:val="num" w:pos="5040"/>
        </w:tabs>
        <w:ind w:left="5040" w:hanging="360"/>
      </w:pPr>
      <w:rPr>
        <w:rFonts w:ascii="Times New Roman" w:hAnsi="Times New Roman" w:hint="default"/>
      </w:rPr>
    </w:lvl>
    <w:lvl w:ilvl="7" w:tplc="163A218C" w:tentative="1">
      <w:start w:val="1"/>
      <w:numFmt w:val="bullet"/>
      <w:lvlText w:val="•"/>
      <w:lvlJc w:val="left"/>
      <w:pPr>
        <w:tabs>
          <w:tab w:val="num" w:pos="5760"/>
        </w:tabs>
        <w:ind w:left="5760" w:hanging="360"/>
      </w:pPr>
      <w:rPr>
        <w:rFonts w:ascii="Times New Roman" w:hAnsi="Times New Roman" w:hint="default"/>
      </w:rPr>
    </w:lvl>
    <w:lvl w:ilvl="8" w:tplc="75E40884" w:tentative="1">
      <w:start w:val="1"/>
      <w:numFmt w:val="bullet"/>
      <w:lvlText w:val="•"/>
      <w:lvlJc w:val="left"/>
      <w:pPr>
        <w:tabs>
          <w:tab w:val="num" w:pos="6480"/>
        </w:tabs>
        <w:ind w:left="6480" w:hanging="360"/>
      </w:pPr>
      <w:rPr>
        <w:rFonts w:ascii="Times New Roman" w:hAnsi="Times New Roman" w:hint="default"/>
      </w:rPr>
    </w:lvl>
  </w:abstractNum>
  <w:abstractNum w:abstractNumId="12">
    <w:nsid w:val="7BCF0C9F"/>
    <w:multiLevelType w:val="hybridMultilevel"/>
    <w:tmpl w:val="B01C9AFE"/>
    <w:lvl w:ilvl="0" w:tplc="0EB48F7C">
      <w:start w:val="1"/>
      <w:numFmt w:val="bullet"/>
      <w:lvlText w:val="•"/>
      <w:lvlJc w:val="left"/>
      <w:pPr>
        <w:tabs>
          <w:tab w:val="num" w:pos="720"/>
        </w:tabs>
        <w:ind w:left="720" w:hanging="360"/>
      </w:pPr>
      <w:rPr>
        <w:rFonts w:ascii="Times New Roman" w:hAnsi="Times New Roman" w:hint="default"/>
      </w:rPr>
    </w:lvl>
    <w:lvl w:ilvl="1" w:tplc="EC20219A" w:tentative="1">
      <w:start w:val="1"/>
      <w:numFmt w:val="bullet"/>
      <w:lvlText w:val="•"/>
      <w:lvlJc w:val="left"/>
      <w:pPr>
        <w:tabs>
          <w:tab w:val="num" w:pos="1440"/>
        </w:tabs>
        <w:ind w:left="1440" w:hanging="360"/>
      </w:pPr>
      <w:rPr>
        <w:rFonts w:ascii="Times New Roman" w:hAnsi="Times New Roman" w:hint="default"/>
      </w:rPr>
    </w:lvl>
    <w:lvl w:ilvl="2" w:tplc="77A8D936" w:tentative="1">
      <w:start w:val="1"/>
      <w:numFmt w:val="bullet"/>
      <w:lvlText w:val="•"/>
      <w:lvlJc w:val="left"/>
      <w:pPr>
        <w:tabs>
          <w:tab w:val="num" w:pos="2160"/>
        </w:tabs>
        <w:ind w:left="2160" w:hanging="360"/>
      </w:pPr>
      <w:rPr>
        <w:rFonts w:ascii="Times New Roman" w:hAnsi="Times New Roman" w:hint="default"/>
      </w:rPr>
    </w:lvl>
    <w:lvl w:ilvl="3" w:tplc="A09AB158" w:tentative="1">
      <w:start w:val="1"/>
      <w:numFmt w:val="bullet"/>
      <w:lvlText w:val="•"/>
      <w:lvlJc w:val="left"/>
      <w:pPr>
        <w:tabs>
          <w:tab w:val="num" w:pos="2880"/>
        </w:tabs>
        <w:ind w:left="2880" w:hanging="360"/>
      </w:pPr>
      <w:rPr>
        <w:rFonts w:ascii="Times New Roman" w:hAnsi="Times New Roman" w:hint="default"/>
      </w:rPr>
    </w:lvl>
    <w:lvl w:ilvl="4" w:tplc="168C6408" w:tentative="1">
      <w:start w:val="1"/>
      <w:numFmt w:val="bullet"/>
      <w:lvlText w:val="•"/>
      <w:lvlJc w:val="left"/>
      <w:pPr>
        <w:tabs>
          <w:tab w:val="num" w:pos="3600"/>
        </w:tabs>
        <w:ind w:left="3600" w:hanging="360"/>
      </w:pPr>
      <w:rPr>
        <w:rFonts w:ascii="Times New Roman" w:hAnsi="Times New Roman" w:hint="default"/>
      </w:rPr>
    </w:lvl>
    <w:lvl w:ilvl="5" w:tplc="F25E9452" w:tentative="1">
      <w:start w:val="1"/>
      <w:numFmt w:val="bullet"/>
      <w:lvlText w:val="•"/>
      <w:lvlJc w:val="left"/>
      <w:pPr>
        <w:tabs>
          <w:tab w:val="num" w:pos="4320"/>
        </w:tabs>
        <w:ind w:left="4320" w:hanging="360"/>
      </w:pPr>
      <w:rPr>
        <w:rFonts w:ascii="Times New Roman" w:hAnsi="Times New Roman" w:hint="default"/>
      </w:rPr>
    </w:lvl>
    <w:lvl w:ilvl="6" w:tplc="9640AF22" w:tentative="1">
      <w:start w:val="1"/>
      <w:numFmt w:val="bullet"/>
      <w:lvlText w:val="•"/>
      <w:lvlJc w:val="left"/>
      <w:pPr>
        <w:tabs>
          <w:tab w:val="num" w:pos="5040"/>
        </w:tabs>
        <w:ind w:left="5040" w:hanging="360"/>
      </w:pPr>
      <w:rPr>
        <w:rFonts w:ascii="Times New Roman" w:hAnsi="Times New Roman" w:hint="default"/>
      </w:rPr>
    </w:lvl>
    <w:lvl w:ilvl="7" w:tplc="61FEB7DA" w:tentative="1">
      <w:start w:val="1"/>
      <w:numFmt w:val="bullet"/>
      <w:lvlText w:val="•"/>
      <w:lvlJc w:val="left"/>
      <w:pPr>
        <w:tabs>
          <w:tab w:val="num" w:pos="5760"/>
        </w:tabs>
        <w:ind w:left="5760" w:hanging="360"/>
      </w:pPr>
      <w:rPr>
        <w:rFonts w:ascii="Times New Roman" w:hAnsi="Times New Roman" w:hint="default"/>
      </w:rPr>
    </w:lvl>
    <w:lvl w:ilvl="8" w:tplc="B316EAE4" w:tentative="1">
      <w:start w:val="1"/>
      <w:numFmt w:val="bullet"/>
      <w:lvlText w:val="•"/>
      <w:lvlJc w:val="left"/>
      <w:pPr>
        <w:tabs>
          <w:tab w:val="num" w:pos="6480"/>
        </w:tabs>
        <w:ind w:left="6480" w:hanging="360"/>
      </w:pPr>
      <w:rPr>
        <w:rFonts w:ascii="Times New Roman" w:hAnsi="Times New Roman" w:hint="default"/>
      </w:rPr>
    </w:lvl>
  </w:abstractNum>
  <w:abstractNum w:abstractNumId="13">
    <w:nsid w:val="7EBB2CE0"/>
    <w:multiLevelType w:val="hybridMultilevel"/>
    <w:tmpl w:val="832CD614"/>
    <w:lvl w:ilvl="0" w:tplc="80D850B4">
      <w:start w:val="1"/>
      <w:numFmt w:val="bullet"/>
      <w:lvlText w:val=""/>
      <w:lvlJc w:val="left"/>
      <w:pPr>
        <w:tabs>
          <w:tab w:val="num" w:pos="720"/>
        </w:tabs>
        <w:ind w:left="720" w:hanging="360"/>
      </w:pPr>
      <w:rPr>
        <w:rFonts w:ascii="Symbol" w:hAnsi="Symbol" w:hint="default"/>
      </w:rPr>
    </w:lvl>
    <w:lvl w:ilvl="1" w:tplc="6C98983C" w:tentative="1">
      <w:start w:val="1"/>
      <w:numFmt w:val="bullet"/>
      <w:lvlText w:val="o"/>
      <w:lvlJc w:val="left"/>
      <w:pPr>
        <w:tabs>
          <w:tab w:val="num" w:pos="1440"/>
        </w:tabs>
        <w:ind w:left="1440" w:hanging="360"/>
      </w:pPr>
      <w:rPr>
        <w:rFonts w:ascii="Courier New" w:hAnsi="Courier New" w:hint="default"/>
      </w:rPr>
    </w:lvl>
    <w:lvl w:ilvl="2" w:tplc="BCF6AFCC" w:tentative="1">
      <w:start w:val="1"/>
      <w:numFmt w:val="bullet"/>
      <w:lvlText w:val=""/>
      <w:lvlJc w:val="left"/>
      <w:pPr>
        <w:tabs>
          <w:tab w:val="num" w:pos="2160"/>
        </w:tabs>
        <w:ind w:left="2160" w:hanging="360"/>
      </w:pPr>
      <w:rPr>
        <w:rFonts w:ascii="Wingdings" w:hAnsi="Wingdings" w:hint="default"/>
      </w:rPr>
    </w:lvl>
    <w:lvl w:ilvl="3" w:tplc="C4F22E8C" w:tentative="1">
      <w:start w:val="1"/>
      <w:numFmt w:val="bullet"/>
      <w:lvlText w:val=""/>
      <w:lvlJc w:val="left"/>
      <w:pPr>
        <w:tabs>
          <w:tab w:val="num" w:pos="2880"/>
        </w:tabs>
        <w:ind w:left="2880" w:hanging="360"/>
      </w:pPr>
      <w:rPr>
        <w:rFonts w:ascii="Symbol" w:hAnsi="Symbol" w:hint="default"/>
      </w:rPr>
    </w:lvl>
    <w:lvl w:ilvl="4" w:tplc="01E0626A" w:tentative="1">
      <w:start w:val="1"/>
      <w:numFmt w:val="bullet"/>
      <w:lvlText w:val="o"/>
      <w:lvlJc w:val="left"/>
      <w:pPr>
        <w:tabs>
          <w:tab w:val="num" w:pos="3600"/>
        </w:tabs>
        <w:ind w:left="3600" w:hanging="360"/>
      </w:pPr>
      <w:rPr>
        <w:rFonts w:ascii="Courier New" w:hAnsi="Courier New" w:hint="default"/>
      </w:rPr>
    </w:lvl>
    <w:lvl w:ilvl="5" w:tplc="0C08EE12" w:tentative="1">
      <w:start w:val="1"/>
      <w:numFmt w:val="bullet"/>
      <w:lvlText w:val=""/>
      <w:lvlJc w:val="left"/>
      <w:pPr>
        <w:tabs>
          <w:tab w:val="num" w:pos="4320"/>
        </w:tabs>
        <w:ind w:left="4320" w:hanging="360"/>
      </w:pPr>
      <w:rPr>
        <w:rFonts w:ascii="Wingdings" w:hAnsi="Wingdings" w:hint="default"/>
      </w:rPr>
    </w:lvl>
    <w:lvl w:ilvl="6" w:tplc="E43EC4E4" w:tentative="1">
      <w:start w:val="1"/>
      <w:numFmt w:val="bullet"/>
      <w:lvlText w:val=""/>
      <w:lvlJc w:val="left"/>
      <w:pPr>
        <w:tabs>
          <w:tab w:val="num" w:pos="5040"/>
        </w:tabs>
        <w:ind w:left="5040" w:hanging="360"/>
      </w:pPr>
      <w:rPr>
        <w:rFonts w:ascii="Symbol" w:hAnsi="Symbol" w:hint="default"/>
      </w:rPr>
    </w:lvl>
    <w:lvl w:ilvl="7" w:tplc="00AAF3E4" w:tentative="1">
      <w:start w:val="1"/>
      <w:numFmt w:val="bullet"/>
      <w:lvlText w:val="o"/>
      <w:lvlJc w:val="left"/>
      <w:pPr>
        <w:tabs>
          <w:tab w:val="num" w:pos="5760"/>
        </w:tabs>
        <w:ind w:left="5760" w:hanging="360"/>
      </w:pPr>
      <w:rPr>
        <w:rFonts w:ascii="Courier New" w:hAnsi="Courier New" w:hint="default"/>
      </w:rPr>
    </w:lvl>
    <w:lvl w:ilvl="8" w:tplc="10086D14"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4"/>
  </w:num>
  <w:num w:numId="3">
    <w:abstractNumId w:val="10"/>
  </w:num>
  <w:num w:numId="4">
    <w:abstractNumId w:val="5"/>
  </w:num>
  <w:num w:numId="5">
    <w:abstractNumId w:val="12"/>
  </w:num>
  <w:num w:numId="6">
    <w:abstractNumId w:val="3"/>
  </w:num>
  <w:num w:numId="7">
    <w:abstractNumId w:val="8"/>
  </w:num>
  <w:num w:numId="8">
    <w:abstractNumId w:val="11"/>
  </w:num>
  <w:num w:numId="9">
    <w:abstractNumId w:val="6"/>
  </w:num>
  <w:num w:numId="10">
    <w:abstractNumId w:val="2"/>
  </w:num>
  <w:num w:numId="11">
    <w:abstractNumId w:val="9"/>
  </w:num>
  <w:num w:numId="12">
    <w:abstractNumId w:val="0"/>
  </w:num>
  <w:num w:numId="13">
    <w:abstractNumId w:val="7"/>
  </w:num>
  <w:num w:numId="1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ny">
    <w15:presenceInfo w15:providerId="None" w15:userId="Dan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7E58"/>
    <w:rsid w:val="00003486"/>
    <w:rsid w:val="000056A8"/>
    <w:rsid w:val="00005F34"/>
    <w:rsid w:val="00006003"/>
    <w:rsid w:val="00007125"/>
    <w:rsid w:val="00010399"/>
    <w:rsid w:val="00012149"/>
    <w:rsid w:val="00012329"/>
    <w:rsid w:val="00012C8B"/>
    <w:rsid w:val="00013032"/>
    <w:rsid w:val="00016D0A"/>
    <w:rsid w:val="00016D55"/>
    <w:rsid w:val="00021686"/>
    <w:rsid w:val="00022FE5"/>
    <w:rsid w:val="000231DB"/>
    <w:rsid w:val="000232F2"/>
    <w:rsid w:val="000252FB"/>
    <w:rsid w:val="00027B5B"/>
    <w:rsid w:val="0003038B"/>
    <w:rsid w:val="00030C10"/>
    <w:rsid w:val="00031EAD"/>
    <w:rsid w:val="0003340F"/>
    <w:rsid w:val="000340E4"/>
    <w:rsid w:val="00035B06"/>
    <w:rsid w:val="00036959"/>
    <w:rsid w:val="00036FA4"/>
    <w:rsid w:val="0004262E"/>
    <w:rsid w:val="00042C5C"/>
    <w:rsid w:val="0004550E"/>
    <w:rsid w:val="00045B83"/>
    <w:rsid w:val="0004611D"/>
    <w:rsid w:val="00046E54"/>
    <w:rsid w:val="000470A5"/>
    <w:rsid w:val="00054A6F"/>
    <w:rsid w:val="0005526C"/>
    <w:rsid w:val="000556AA"/>
    <w:rsid w:val="00055903"/>
    <w:rsid w:val="000559E2"/>
    <w:rsid w:val="00057AF6"/>
    <w:rsid w:val="000604A5"/>
    <w:rsid w:val="00060D59"/>
    <w:rsid w:val="00062044"/>
    <w:rsid w:val="00062E7B"/>
    <w:rsid w:val="00063EF9"/>
    <w:rsid w:val="0006490B"/>
    <w:rsid w:val="0006597B"/>
    <w:rsid w:val="000676A1"/>
    <w:rsid w:val="00071307"/>
    <w:rsid w:val="000720DB"/>
    <w:rsid w:val="00072F19"/>
    <w:rsid w:val="000733E4"/>
    <w:rsid w:val="00074D30"/>
    <w:rsid w:val="00074EC6"/>
    <w:rsid w:val="00075E88"/>
    <w:rsid w:val="000774FE"/>
    <w:rsid w:val="00080107"/>
    <w:rsid w:val="000801BD"/>
    <w:rsid w:val="000804F9"/>
    <w:rsid w:val="00080FCF"/>
    <w:rsid w:val="0008306E"/>
    <w:rsid w:val="000839AB"/>
    <w:rsid w:val="000845E2"/>
    <w:rsid w:val="00085E3E"/>
    <w:rsid w:val="000874F6"/>
    <w:rsid w:val="00092F5B"/>
    <w:rsid w:val="00093997"/>
    <w:rsid w:val="00094623"/>
    <w:rsid w:val="00094B99"/>
    <w:rsid w:val="00094EF4"/>
    <w:rsid w:val="000959F6"/>
    <w:rsid w:val="000A0B1A"/>
    <w:rsid w:val="000A1601"/>
    <w:rsid w:val="000A6AB0"/>
    <w:rsid w:val="000A6EED"/>
    <w:rsid w:val="000A70F2"/>
    <w:rsid w:val="000A7566"/>
    <w:rsid w:val="000B002B"/>
    <w:rsid w:val="000B0A14"/>
    <w:rsid w:val="000B2170"/>
    <w:rsid w:val="000B32BF"/>
    <w:rsid w:val="000B33F9"/>
    <w:rsid w:val="000B4A5F"/>
    <w:rsid w:val="000B6ED1"/>
    <w:rsid w:val="000C269A"/>
    <w:rsid w:val="000C3D01"/>
    <w:rsid w:val="000C443C"/>
    <w:rsid w:val="000C52F3"/>
    <w:rsid w:val="000C5B78"/>
    <w:rsid w:val="000C7F06"/>
    <w:rsid w:val="000D1DC1"/>
    <w:rsid w:val="000D1F02"/>
    <w:rsid w:val="000D488A"/>
    <w:rsid w:val="000D49D3"/>
    <w:rsid w:val="000E0F6A"/>
    <w:rsid w:val="000E588A"/>
    <w:rsid w:val="000E5ED1"/>
    <w:rsid w:val="000E6BE1"/>
    <w:rsid w:val="000F0B2F"/>
    <w:rsid w:val="000F14BA"/>
    <w:rsid w:val="000F1E2A"/>
    <w:rsid w:val="000F2414"/>
    <w:rsid w:val="000F3268"/>
    <w:rsid w:val="000F402F"/>
    <w:rsid w:val="000F7AB7"/>
    <w:rsid w:val="001008C2"/>
    <w:rsid w:val="0010161E"/>
    <w:rsid w:val="0010190F"/>
    <w:rsid w:val="001021AA"/>
    <w:rsid w:val="00105D6F"/>
    <w:rsid w:val="001061CD"/>
    <w:rsid w:val="00107834"/>
    <w:rsid w:val="001103BE"/>
    <w:rsid w:val="00111ED7"/>
    <w:rsid w:val="00112538"/>
    <w:rsid w:val="00113F77"/>
    <w:rsid w:val="001141BB"/>
    <w:rsid w:val="00114423"/>
    <w:rsid w:val="00114DB8"/>
    <w:rsid w:val="001152FB"/>
    <w:rsid w:val="00117661"/>
    <w:rsid w:val="001255D9"/>
    <w:rsid w:val="001277FE"/>
    <w:rsid w:val="00127B9C"/>
    <w:rsid w:val="001309A4"/>
    <w:rsid w:val="0013388A"/>
    <w:rsid w:val="001345D3"/>
    <w:rsid w:val="0013489E"/>
    <w:rsid w:val="00135284"/>
    <w:rsid w:val="0013587A"/>
    <w:rsid w:val="001365A5"/>
    <w:rsid w:val="00136788"/>
    <w:rsid w:val="00136B00"/>
    <w:rsid w:val="00140994"/>
    <w:rsid w:val="00140AD7"/>
    <w:rsid w:val="00141874"/>
    <w:rsid w:val="00142320"/>
    <w:rsid w:val="00142403"/>
    <w:rsid w:val="00143CC6"/>
    <w:rsid w:val="00144B8E"/>
    <w:rsid w:val="00147636"/>
    <w:rsid w:val="001505CF"/>
    <w:rsid w:val="0015125F"/>
    <w:rsid w:val="00151375"/>
    <w:rsid w:val="00153978"/>
    <w:rsid w:val="00153C67"/>
    <w:rsid w:val="001541E5"/>
    <w:rsid w:val="0015489A"/>
    <w:rsid w:val="001568D1"/>
    <w:rsid w:val="00157A21"/>
    <w:rsid w:val="001608F9"/>
    <w:rsid w:val="00161870"/>
    <w:rsid w:val="00162A66"/>
    <w:rsid w:val="00162AF0"/>
    <w:rsid w:val="00163B06"/>
    <w:rsid w:val="00163DA7"/>
    <w:rsid w:val="00163EDE"/>
    <w:rsid w:val="00164480"/>
    <w:rsid w:val="00166D8E"/>
    <w:rsid w:val="0017036F"/>
    <w:rsid w:val="001706B9"/>
    <w:rsid w:val="00171A05"/>
    <w:rsid w:val="001726F0"/>
    <w:rsid w:val="0017276D"/>
    <w:rsid w:val="001729AF"/>
    <w:rsid w:val="0017435C"/>
    <w:rsid w:val="00176CAA"/>
    <w:rsid w:val="00176F34"/>
    <w:rsid w:val="0018013C"/>
    <w:rsid w:val="00180DA7"/>
    <w:rsid w:val="00182AAC"/>
    <w:rsid w:val="001835E1"/>
    <w:rsid w:val="0018401D"/>
    <w:rsid w:val="0018442B"/>
    <w:rsid w:val="00187F6F"/>
    <w:rsid w:val="00190B1B"/>
    <w:rsid w:val="00190F04"/>
    <w:rsid w:val="00192044"/>
    <w:rsid w:val="00192974"/>
    <w:rsid w:val="0019305D"/>
    <w:rsid w:val="0019527A"/>
    <w:rsid w:val="001952D4"/>
    <w:rsid w:val="00195AAE"/>
    <w:rsid w:val="001972CF"/>
    <w:rsid w:val="00197A1D"/>
    <w:rsid w:val="001A00DA"/>
    <w:rsid w:val="001A1459"/>
    <w:rsid w:val="001A23BA"/>
    <w:rsid w:val="001A2E57"/>
    <w:rsid w:val="001A331D"/>
    <w:rsid w:val="001A3697"/>
    <w:rsid w:val="001A5D22"/>
    <w:rsid w:val="001A620F"/>
    <w:rsid w:val="001A62F6"/>
    <w:rsid w:val="001A7161"/>
    <w:rsid w:val="001A78AE"/>
    <w:rsid w:val="001B1469"/>
    <w:rsid w:val="001B1CE4"/>
    <w:rsid w:val="001B326E"/>
    <w:rsid w:val="001B3D36"/>
    <w:rsid w:val="001B3F1F"/>
    <w:rsid w:val="001B64A9"/>
    <w:rsid w:val="001B7094"/>
    <w:rsid w:val="001C1566"/>
    <w:rsid w:val="001C1824"/>
    <w:rsid w:val="001C1C8E"/>
    <w:rsid w:val="001C28B3"/>
    <w:rsid w:val="001C37A2"/>
    <w:rsid w:val="001C4046"/>
    <w:rsid w:val="001C4DDF"/>
    <w:rsid w:val="001C60C3"/>
    <w:rsid w:val="001C71D6"/>
    <w:rsid w:val="001C768E"/>
    <w:rsid w:val="001D0912"/>
    <w:rsid w:val="001D61B1"/>
    <w:rsid w:val="001D644B"/>
    <w:rsid w:val="001E0E42"/>
    <w:rsid w:val="001E28B5"/>
    <w:rsid w:val="001E2E10"/>
    <w:rsid w:val="001E304E"/>
    <w:rsid w:val="001E3176"/>
    <w:rsid w:val="001E4FAB"/>
    <w:rsid w:val="001E5F82"/>
    <w:rsid w:val="001F15D9"/>
    <w:rsid w:val="001F1C80"/>
    <w:rsid w:val="001F2C9E"/>
    <w:rsid w:val="001F3D2C"/>
    <w:rsid w:val="001F45BE"/>
    <w:rsid w:val="001F5C9B"/>
    <w:rsid w:val="00201057"/>
    <w:rsid w:val="00201AB8"/>
    <w:rsid w:val="00203C39"/>
    <w:rsid w:val="002043DB"/>
    <w:rsid w:val="00204669"/>
    <w:rsid w:val="00204A4C"/>
    <w:rsid w:val="002052A2"/>
    <w:rsid w:val="00206B97"/>
    <w:rsid w:val="00206DD9"/>
    <w:rsid w:val="0020743B"/>
    <w:rsid w:val="00207CB7"/>
    <w:rsid w:val="002100AD"/>
    <w:rsid w:val="00211B0F"/>
    <w:rsid w:val="00212ABB"/>
    <w:rsid w:val="0021562B"/>
    <w:rsid w:val="002160BC"/>
    <w:rsid w:val="00216E13"/>
    <w:rsid w:val="002171E2"/>
    <w:rsid w:val="002206A2"/>
    <w:rsid w:val="00221B62"/>
    <w:rsid w:val="00222738"/>
    <w:rsid w:val="00222D04"/>
    <w:rsid w:val="00225177"/>
    <w:rsid w:val="002257E6"/>
    <w:rsid w:val="00225D0D"/>
    <w:rsid w:val="00226020"/>
    <w:rsid w:val="002304DD"/>
    <w:rsid w:val="00231D67"/>
    <w:rsid w:val="00232CAA"/>
    <w:rsid w:val="00233B90"/>
    <w:rsid w:val="00233E39"/>
    <w:rsid w:val="00234067"/>
    <w:rsid w:val="002417F4"/>
    <w:rsid w:val="0024217C"/>
    <w:rsid w:val="00244749"/>
    <w:rsid w:val="00245A55"/>
    <w:rsid w:val="00246458"/>
    <w:rsid w:val="00247CCD"/>
    <w:rsid w:val="00250813"/>
    <w:rsid w:val="00250B8D"/>
    <w:rsid w:val="00251507"/>
    <w:rsid w:val="002535B0"/>
    <w:rsid w:val="00254489"/>
    <w:rsid w:val="00254AA3"/>
    <w:rsid w:val="00256084"/>
    <w:rsid w:val="002565A3"/>
    <w:rsid w:val="00257BF9"/>
    <w:rsid w:val="002602A1"/>
    <w:rsid w:val="00260454"/>
    <w:rsid w:val="002612EA"/>
    <w:rsid w:val="0026226D"/>
    <w:rsid w:val="00263CED"/>
    <w:rsid w:val="00265F0A"/>
    <w:rsid w:val="00270664"/>
    <w:rsid w:val="00273A6D"/>
    <w:rsid w:val="00273AE6"/>
    <w:rsid w:val="00275580"/>
    <w:rsid w:val="00275B43"/>
    <w:rsid w:val="00276CBC"/>
    <w:rsid w:val="00276F25"/>
    <w:rsid w:val="00276FCA"/>
    <w:rsid w:val="002807C9"/>
    <w:rsid w:val="00280A12"/>
    <w:rsid w:val="0028132E"/>
    <w:rsid w:val="00281C7C"/>
    <w:rsid w:val="002821E8"/>
    <w:rsid w:val="00283B5B"/>
    <w:rsid w:val="00283E5D"/>
    <w:rsid w:val="0028454A"/>
    <w:rsid w:val="00284869"/>
    <w:rsid w:val="00285F87"/>
    <w:rsid w:val="00286765"/>
    <w:rsid w:val="00286BF6"/>
    <w:rsid w:val="0028720D"/>
    <w:rsid w:val="002879FF"/>
    <w:rsid w:val="00290816"/>
    <w:rsid w:val="002923AA"/>
    <w:rsid w:val="00293CB3"/>
    <w:rsid w:val="00294038"/>
    <w:rsid w:val="00295722"/>
    <w:rsid w:val="00296450"/>
    <w:rsid w:val="002A689E"/>
    <w:rsid w:val="002A699B"/>
    <w:rsid w:val="002A7854"/>
    <w:rsid w:val="002A7C5C"/>
    <w:rsid w:val="002B02F6"/>
    <w:rsid w:val="002B078B"/>
    <w:rsid w:val="002B394D"/>
    <w:rsid w:val="002B7038"/>
    <w:rsid w:val="002C5B1A"/>
    <w:rsid w:val="002C5CAF"/>
    <w:rsid w:val="002D3537"/>
    <w:rsid w:val="002D65D9"/>
    <w:rsid w:val="002E1928"/>
    <w:rsid w:val="002E48C7"/>
    <w:rsid w:val="002E5C31"/>
    <w:rsid w:val="002E7AF5"/>
    <w:rsid w:val="002E7C09"/>
    <w:rsid w:val="002F0B80"/>
    <w:rsid w:val="002F15B1"/>
    <w:rsid w:val="002F3B3F"/>
    <w:rsid w:val="002F3CCF"/>
    <w:rsid w:val="002F407D"/>
    <w:rsid w:val="002F420A"/>
    <w:rsid w:val="002F45BF"/>
    <w:rsid w:val="002F489B"/>
    <w:rsid w:val="002F50B7"/>
    <w:rsid w:val="00301612"/>
    <w:rsid w:val="0030219B"/>
    <w:rsid w:val="003046EB"/>
    <w:rsid w:val="0030575B"/>
    <w:rsid w:val="00305AE3"/>
    <w:rsid w:val="00306109"/>
    <w:rsid w:val="00310BA2"/>
    <w:rsid w:val="00311FF2"/>
    <w:rsid w:val="003121AC"/>
    <w:rsid w:val="0031294A"/>
    <w:rsid w:val="003166DD"/>
    <w:rsid w:val="00316FF3"/>
    <w:rsid w:val="00320B3B"/>
    <w:rsid w:val="00320FEA"/>
    <w:rsid w:val="00321259"/>
    <w:rsid w:val="00321C63"/>
    <w:rsid w:val="00321ECC"/>
    <w:rsid w:val="00323DCD"/>
    <w:rsid w:val="003241DF"/>
    <w:rsid w:val="0032617F"/>
    <w:rsid w:val="003261E6"/>
    <w:rsid w:val="00326318"/>
    <w:rsid w:val="00326B48"/>
    <w:rsid w:val="00326F85"/>
    <w:rsid w:val="00327006"/>
    <w:rsid w:val="003308A3"/>
    <w:rsid w:val="00330EB6"/>
    <w:rsid w:val="00331216"/>
    <w:rsid w:val="00331B37"/>
    <w:rsid w:val="00333CFA"/>
    <w:rsid w:val="00337C33"/>
    <w:rsid w:val="003404A8"/>
    <w:rsid w:val="0034068C"/>
    <w:rsid w:val="00340E01"/>
    <w:rsid w:val="003416E4"/>
    <w:rsid w:val="00345013"/>
    <w:rsid w:val="003475D6"/>
    <w:rsid w:val="003478A8"/>
    <w:rsid w:val="0035004D"/>
    <w:rsid w:val="0035037A"/>
    <w:rsid w:val="00350E9E"/>
    <w:rsid w:val="0035196D"/>
    <w:rsid w:val="003524DA"/>
    <w:rsid w:val="00353120"/>
    <w:rsid w:val="00354310"/>
    <w:rsid w:val="00354539"/>
    <w:rsid w:val="003604A5"/>
    <w:rsid w:val="00360A46"/>
    <w:rsid w:val="00361278"/>
    <w:rsid w:val="0036227A"/>
    <w:rsid w:val="00362FDA"/>
    <w:rsid w:val="00364288"/>
    <w:rsid w:val="0036703C"/>
    <w:rsid w:val="0037196A"/>
    <w:rsid w:val="00371A9D"/>
    <w:rsid w:val="0037258D"/>
    <w:rsid w:val="003725C7"/>
    <w:rsid w:val="00372D94"/>
    <w:rsid w:val="003732EF"/>
    <w:rsid w:val="00373982"/>
    <w:rsid w:val="00373FF0"/>
    <w:rsid w:val="0037451B"/>
    <w:rsid w:val="00376154"/>
    <w:rsid w:val="00376A75"/>
    <w:rsid w:val="00376F00"/>
    <w:rsid w:val="00377273"/>
    <w:rsid w:val="00377C1B"/>
    <w:rsid w:val="00381392"/>
    <w:rsid w:val="00383138"/>
    <w:rsid w:val="003831F9"/>
    <w:rsid w:val="00384DD5"/>
    <w:rsid w:val="00385596"/>
    <w:rsid w:val="00385A10"/>
    <w:rsid w:val="00385FF4"/>
    <w:rsid w:val="003925EB"/>
    <w:rsid w:val="00392909"/>
    <w:rsid w:val="0039292F"/>
    <w:rsid w:val="003946A5"/>
    <w:rsid w:val="00395124"/>
    <w:rsid w:val="00396C68"/>
    <w:rsid w:val="003976ED"/>
    <w:rsid w:val="003A08AE"/>
    <w:rsid w:val="003A0973"/>
    <w:rsid w:val="003A0D01"/>
    <w:rsid w:val="003A26BC"/>
    <w:rsid w:val="003A38C8"/>
    <w:rsid w:val="003A3A27"/>
    <w:rsid w:val="003A592F"/>
    <w:rsid w:val="003A5A99"/>
    <w:rsid w:val="003A62D9"/>
    <w:rsid w:val="003A697A"/>
    <w:rsid w:val="003A6A40"/>
    <w:rsid w:val="003B3C3F"/>
    <w:rsid w:val="003B446B"/>
    <w:rsid w:val="003B4E0E"/>
    <w:rsid w:val="003B59C0"/>
    <w:rsid w:val="003B6E47"/>
    <w:rsid w:val="003B7062"/>
    <w:rsid w:val="003C06DA"/>
    <w:rsid w:val="003C0D0D"/>
    <w:rsid w:val="003C10D7"/>
    <w:rsid w:val="003C15B0"/>
    <w:rsid w:val="003C2BA7"/>
    <w:rsid w:val="003C32D9"/>
    <w:rsid w:val="003C3641"/>
    <w:rsid w:val="003C37A9"/>
    <w:rsid w:val="003C3F37"/>
    <w:rsid w:val="003C478F"/>
    <w:rsid w:val="003C5715"/>
    <w:rsid w:val="003C617D"/>
    <w:rsid w:val="003C759A"/>
    <w:rsid w:val="003C7A1E"/>
    <w:rsid w:val="003D0DD1"/>
    <w:rsid w:val="003D1695"/>
    <w:rsid w:val="003D1AE8"/>
    <w:rsid w:val="003D2155"/>
    <w:rsid w:val="003D2893"/>
    <w:rsid w:val="003D37C6"/>
    <w:rsid w:val="003D4385"/>
    <w:rsid w:val="003D4892"/>
    <w:rsid w:val="003D5BDD"/>
    <w:rsid w:val="003D7D05"/>
    <w:rsid w:val="003E01D1"/>
    <w:rsid w:val="003E342F"/>
    <w:rsid w:val="003E4302"/>
    <w:rsid w:val="003E4D82"/>
    <w:rsid w:val="003E6698"/>
    <w:rsid w:val="003F11DA"/>
    <w:rsid w:val="003F4464"/>
    <w:rsid w:val="003F572C"/>
    <w:rsid w:val="003F5777"/>
    <w:rsid w:val="003F5882"/>
    <w:rsid w:val="003F5D34"/>
    <w:rsid w:val="003F5F31"/>
    <w:rsid w:val="003F6C21"/>
    <w:rsid w:val="0040090C"/>
    <w:rsid w:val="00402468"/>
    <w:rsid w:val="0040327C"/>
    <w:rsid w:val="00404E79"/>
    <w:rsid w:val="00404E7B"/>
    <w:rsid w:val="00404F14"/>
    <w:rsid w:val="00405756"/>
    <w:rsid w:val="00407DA6"/>
    <w:rsid w:val="004108EA"/>
    <w:rsid w:val="00410A40"/>
    <w:rsid w:val="00411850"/>
    <w:rsid w:val="00412156"/>
    <w:rsid w:val="00414739"/>
    <w:rsid w:val="0041499F"/>
    <w:rsid w:val="00415C70"/>
    <w:rsid w:val="004176C2"/>
    <w:rsid w:val="00420D12"/>
    <w:rsid w:val="00420D33"/>
    <w:rsid w:val="00422A29"/>
    <w:rsid w:val="00422C7E"/>
    <w:rsid w:val="00422E47"/>
    <w:rsid w:val="004236FD"/>
    <w:rsid w:val="00423B7E"/>
    <w:rsid w:val="004243E6"/>
    <w:rsid w:val="00425865"/>
    <w:rsid w:val="0042726B"/>
    <w:rsid w:val="004273A4"/>
    <w:rsid w:val="004301AA"/>
    <w:rsid w:val="00431D1F"/>
    <w:rsid w:val="0043305C"/>
    <w:rsid w:val="004335E0"/>
    <w:rsid w:val="00435BDC"/>
    <w:rsid w:val="004363A9"/>
    <w:rsid w:val="00441293"/>
    <w:rsid w:val="0044413E"/>
    <w:rsid w:val="00444A8C"/>
    <w:rsid w:val="00444AF7"/>
    <w:rsid w:val="004474C5"/>
    <w:rsid w:val="00447CB9"/>
    <w:rsid w:val="00454604"/>
    <w:rsid w:val="00455DF2"/>
    <w:rsid w:val="00457EAF"/>
    <w:rsid w:val="00460B7E"/>
    <w:rsid w:val="0046111D"/>
    <w:rsid w:val="00461259"/>
    <w:rsid w:val="004618E6"/>
    <w:rsid w:val="00461B0E"/>
    <w:rsid w:val="004641ED"/>
    <w:rsid w:val="00467E91"/>
    <w:rsid w:val="004731F7"/>
    <w:rsid w:val="004750A2"/>
    <w:rsid w:val="00477F9E"/>
    <w:rsid w:val="004803A0"/>
    <w:rsid w:val="00480A11"/>
    <w:rsid w:val="00483954"/>
    <w:rsid w:val="00483F50"/>
    <w:rsid w:val="00490FFD"/>
    <w:rsid w:val="00491332"/>
    <w:rsid w:val="00491813"/>
    <w:rsid w:val="00491A6D"/>
    <w:rsid w:val="004920B0"/>
    <w:rsid w:val="004928D5"/>
    <w:rsid w:val="00492AFD"/>
    <w:rsid w:val="0049719D"/>
    <w:rsid w:val="004A00D0"/>
    <w:rsid w:val="004A2AD0"/>
    <w:rsid w:val="004A582F"/>
    <w:rsid w:val="004A623D"/>
    <w:rsid w:val="004B007C"/>
    <w:rsid w:val="004B2DD2"/>
    <w:rsid w:val="004B39B6"/>
    <w:rsid w:val="004B5CC2"/>
    <w:rsid w:val="004B5E76"/>
    <w:rsid w:val="004B60F4"/>
    <w:rsid w:val="004B7EB0"/>
    <w:rsid w:val="004C0027"/>
    <w:rsid w:val="004C0BC6"/>
    <w:rsid w:val="004C10EB"/>
    <w:rsid w:val="004C116A"/>
    <w:rsid w:val="004C18D5"/>
    <w:rsid w:val="004C1AC2"/>
    <w:rsid w:val="004C38CE"/>
    <w:rsid w:val="004C4873"/>
    <w:rsid w:val="004D07CD"/>
    <w:rsid w:val="004D3BE2"/>
    <w:rsid w:val="004D3F88"/>
    <w:rsid w:val="004D49FE"/>
    <w:rsid w:val="004D5733"/>
    <w:rsid w:val="004D5F4D"/>
    <w:rsid w:val="004D7645"/>
    <w:rsid w:val="004D7A6D"/>
    <w:rsid w:val="004E1449"/>
    <w:rsid w:val="004E2C1F"/>
    <w:rsid w:val="004E6C67"/>
    <w:rsid w:val="004E77EB"/>
    <w:rsid w:val="004E7D66"/>
    <w:rsid w:val="004F2B35"/>
    <w:rsid w:val="004F2B6B"/>
    <w:rsid w:val="004F48FE"/>
    <w:rsid w:val="00500CAE"/>
    <w:rsid w:val="0050189E"/>
    <w:rsid w:val="00502908"/>
    <w:rsid w:val="005035F5"/>
    <w:rsid w:val="00503AA6"/>
    <w:rsid w:val="00507F44"/>
    <w:rsid w:val="005101BD"/>
    <w:rsid w:val="00511319"/>
    <w:rsid w:val="00514EAD"/>
    <w:rsid w:val="00515A5F"/>
    <w:rsid w:val="00516B85"/>
    <w:rsid w:val="00517852"/>
    <w:rsid w:val="00517A54"/>
    <w:rsid w:val="00520816"/>
    <w:rsid w:val="005240D0"/>
    <w:rsid w:val="00526215"/>
    <w:rsid w:val="00526244"/>
    <w:rsid w:val="0052647C"/>
    <w:rsid w:val="005272F3"/>
    <w:rsid w:val="0052783A"/>
    <w:rsid w:val="00531B97"/>
    <w:rsid w:val="005324A4"/>
    <w:rsid w:val="0053593F"/>
    <w:rsid w:val="005374F6"/>
    <w:rsid w:val="00537514"/>
    <w:rsid w:val="00537707"/>
    <w:rsid w:val="00540E19"/>
    <w:rsid w:val="005426F7"/>
    <w:rsid w:val="005430D9"/>
    <w:rsid w:val="00543A22"/>
    <w:rsid w:val="00544CB8"/>
    <w:rsid w:val="0054668C"/>
    <w:rsid w:val="00547DD4"/>
    <w:rsid w:val="0055041C"/>
    <w:rsid w:val="00551D61"/>
    <w:rsid w:val="005524D5"/>
    <w:rsid w:val="00553E62"/>
    <w:rsid w:val="005558A7"/>
    <w:rsid w:val="00555DC5"/>
    <w:rsid w:val="005561B3"/>
    <w:rsid w:val="00557EED"/>
    <w:rsid w:val="00560830"/>
    <w:rsid w:val="00560EE6"/>
    <w:rsid w:val="00561002"/>
    <w:rsid w:val="00562A0C"/>
    <w:rsid w:val="00562C76"/>
    <w:rsid w:val="005630E4"/>
    <w:rsid w:val="00563554"/>
    <w:rsid w:val="005646EE"/>
    <w:rsid w:val="00565241"/>
    <w:rsid w:val="00565259"/>
    <w:rsid w:val="00566E89"/>
    <w:rsid w:val="0056724D"/>
    <w:rsid w:val="00570604"/>
    <w:rsid w:val="005713D2"/>
    <w:rsid w:val="005718ED"/>
    <w:rsid w:val="00573066"/>
    <w:rsid w:val="00573E69"/>
    <w:rsid w:val="00573E6E"/>
    <w:rsid w:val="00575D07"/>
    <w:rsid w:val="00577045"/>
    <w:rsid w:val="005805F8"/>
    <w:rsid w:val="00581BE5"/>
    <w:rsid w:val="00582005"/>
    <w:rsid w:val="00584B46"/>
    <w:rsid w:val="005854F0"/>
    <w:rsid w:val="005863E4"/>
    <w:rsid w:val="005909EE"/>
    <w:rsid w:val="005912E9"/>
    <w:rsid w:val="005965B0"/>
    <w:rsid w:val="005A06B4"/>
    <w:rsid w:val="005A0B27"/>
    <w:rsid w:val="005A1691"/>
    <w:rsid w:val="005A1AFE"/>
    <w:rsid w:val="005A2004"/>
    <w:rsid w:val="005A3507"/>
    <w:rsid w:val="005A3A49"/>
    <w:rsid w:val="005B0D0F"/>
    <w:rsid w:val="005B1BB8"/>
    <w:rsid w:val="005B2F0F"/>
    <w:rsid w:val="005B4768"/>
    <w:rsid w:val="005B5EA6"/>
    <w:rsid w:val="005B607C"/>
    <w:rsid w:val="005B6944"/>
    <w:rsid w:val="005B69E4"/>
    <w:rsid w:val="005B76C5"/>
    <w:rsid w:val="005C037B"/>
    <w:rsid w:val="005C264D"/>
    <w:rsid w:val="005C4B5C"/>
    <w:rsid w:val="005C533D"/>
    <w:rsid w:val="005C59BE"/>
    <w:rsid w:val="005C5E83"/>
    <w:rsid w:val="005C7773"/>
    <w:rsid w:val="005D119A"/>
    <w:rsid w:val="005D2C71"/>
    <w:rsid w:val="005D36B7"/>
    <w:rsid w:val="005D3EE7"/>
    <w:rsid w:val="005D4EB6"/>
    <w:rsid w:val="005D576D"/>
    <w:rsid w:val="005D5F5E"/>
    <w:rsid w:val="005D6B8A"/>
    <w:rsid w:val="005D71B5"/>
    <w:rsid w:val="005D7F21"/>
    <w:rsid w:val="005E09C6"/>
    <w:rsid w:val="005E1C0D"/>
    <w:rsid w:val="005E3C50"/>
    <w:rsid w:val="005E4299"/>
    <w:rsid w:val="005E50B0"/>
    <w:rsid w:val="005E5208"/>
    <w:rsid w:val="005E54D7"/>
    <w:rsid w:val="005E564C"/>
    <w:rsid w:val="005E61AA"/>
    <w:rsid w:val="005E65B6"/>
    <w:rsid w:val="005E6747"/>
    <w:rsid w:val="005E6BA5"/>
    <w:rsid w:val="005E76A3"/>
    <w:rsid w:val="005E797B"/>
    <w:rsid w:val="005E7BC0"/>
    <w:rsid w:val="005F0FF6"/>
    <w:rsid w:val="005F1667"/>
    <w:rsid w:val="005F1A71"/>
    <w:rsid w:val="005F26AF"/>
    <w:rsid w:val="005F2EBE"/>
    <w:rsid w:val="005F3E82"/>
    <w:rsid w:val="005F3F76"/>
    <w:rsid w:val="005F5E5F"/>
    <w:rsid w:val="005F6258"/>
    <w:rsid w:val="005F77C9"/>
    <w:rsid w:val="005F7AB7"/>
    <w:rsid w:val="005F7D03"/>
    <w:rsid w:val="006001BC"/>
    <w:rsid w:val="0060416D"/>
    <w:rsid w:val="00604207"/>
    <w:rsid w:val="0060446B"/>
    <w:rsid w:val="006054A8"/>
    <w:rsid w:val="0060575A"/>
    <w:rsid w:val="00606926"/>
    <w:rsid w:val="00607CBE"/>
    <w:rsid w:val="00610D96"/>
    <w:rsid w:val="0061279D"/>
    <w:rsid w:val="0061679F"/>
    <w:rsid w:val="006209CB"/>
    <w:rsid w:val="00621201"/>
    <w:rsid w:val="00625549"/>
    <w:rsid w:val="00625B55"/>
    <w:rsid w:val="00627FE4"/>
    <w:rsid w:val="00630500"/>
    <w:rsid w:val="006309E3"/>
    <w:rsid w:val="00633D27"/>
    <w:rsid w:val="006352CB"/>
    <w:rsid w:val="0064095C"/>
    <w:rsid w:val="00642CCA"/>
    <w:rsid w:val="00644249"/>
    <w:rsid w:val="00645216"/>
    <w:rsid w:val="0064687F"/>
    <w:rsid w:val="00646ACA"/>
    <w:rsid w:val="00650E18"/>
    <w:rsid w:val="0065276A"/>
    <w:rsid w:val="00656F19"/>
    <w:rsid w:val="00657FDB"/>
    <w:rsid w:val="00661017"/>
    <w:rsid w:val="00663728"/>
    <w:rsid w:val="00664918"/>
    <w:rsid w:val="006658FB"/>
    <w:rsid w:val="0066646D"/>
    <w:rsid w:val="00673411"/>
    <w:rsid w:val="00673B0E"/>
    <w:rsid w:val="006741C3"/>
    <w:rsid w:val="00674729"/>
    <w:rsid w:val="00676D83"/>
    <w:rsid w:val="006777A5"/>
    <w:rsid w:val="006800A9"/>
    <w:rsid w:val="00682712"/>
    <w:rsid w:val="0068279A"/>
    <w:rsid w:val="0068318B"/>
    <w:rsid w:val="00683BEC"/>
    <w:rsid w:val="006840E7"/>
    <w:rsid w:val="0068424C"/>
    <w:rsid w:val="00684DA1"/>
    <w:rsid w:val="00684E11"/>
    <w:rsid w:val="00684F99"/>
    <w:rsid w:val="00686BA0"/>
    <w:rsid w:val="00686E3A"/>
    <w:rsid w:val="00687F2F"/>
    <w:rsid w:val="0069173E"/>
    <w:rsid w:val="006928A6"/>
    <w:rsid w:val="006947FB"/>
    <w:rsid w:val="00696169"/>
    <w:rsid w:val="006964EC"/>
    <w:rsid w:val="006971D0"/>
    <w:rsid w:val="00697729"/>
    <w:rsid w:val="006A0153"/>
    <w:rsid w:val="006A0579"/>
    <w:rsid w:val="006A09B2"/>
    <w:rsid w:val="006A2FD1"/>
    <w:rsid w:val="006A5F6F"/>
    <w:rsid w:val="006A6C4B"/>
    <w:rsid w:val="006A6DFE"/>
    <w:rsid w:val="006A7502"/>
    <w:rsid w:val="006B0006"/>
    <w:rsid w:val="006B1C6C"/>
    <w:rsid w:val="006B276A"/>
    <w:rsid w:val="006B4A39"/>
    <w:rsid w:val="006B4E0D"/>
    <w:rsid w:val="006B6249"/>
    <w:rsid w:val="006B66D5"/>
    <w:rsid w:val="006B7850"/>
    <w:rsid w:val="006B7BE3"/>
    <w:rsid w:val="006C11EB"/>
    <w:rsid w:val="006C18FA"/>
    <w:rsid w:val="006C5516"/>
    <w:rsid w:val="006C70DF"/>
    <w:rsid w:val="006C7FF2"/>
    <w:rsid w:val="006D0380"/>
    <w:rsid w:val="006D0DD6"/>
    <w:rsid w:val="006D0FC5"/>
    <w:rsid w:val="006D25BA"/>
    <w:rsid w:val="006D3752"/>
    <w:rsid w:val="006D43E0"/>
    <w:rsid w:val="006D54F7"/>
    <w:rsid w:val="006D5E09"/>
    <w:rsid w:val="006D6AF1"/>
    <w:rsid w:val="006D6FE6"/>
    <w:rsid w:val="006D72D4"/>
    <w:rsid w:val="006E0665"/>
    <w:rsid w:val="006E3110"/>
    <w:rsid w:val="006E3770"/>
    <w:rsid w:val="006E3C42"/>
    <w:rsid w:val="006E58DD"/>
    <w:rsid w:val="006E5A4E"/>
    <w:rsid w:val="006E66B9"/>
    <w:rsid w:val="006E70AD"/>
    <w:rsid w:val="006F0FBD"/>
    <w:rsid w:val="006F1329"/>
    <w:rsid w:val="006F1E2C"/>
    <w:rsid w:val="006F28D1"/>
    <w:rsid w:val="006F63F0"/>
    <w:rsid w:val="006F6AC9"/>
    <w:rsid w:val="0070272B"/>
    <w:rsid w:val="00704004"/>
    <w:rsid w:val="00705140"/>
    <w:rsid w:val="00705386"/>
    <w:rsid w:val="00706057"/>
    <w:rsid w:val="007061AB"/>
    <w:rsid w:val="00707736"/>
    <w:rsid w:val="0071154F"/>
    <w:rsid w:val="0071206C"/>
    <w:rsid w:val="007129A2"/>
    <w:rsid w:val="00713BEF"/>
    <w:rsid w:val="00714F34"/>
    <w:rsid w:val="00716F85"/>
    <w:rsid w:val="007172FE"/>
    <w:rsid w:val="00717A52"/>
    <w:rsid w:val="00720403"/>
    <w:rsid w:val="00723BD1"/>
    <w:rsid w:val="00724A43"/>
    <w:rsid w:val="00724A94"/>
    <w:rsid w:val="00725704"/>
    <w:rsid w:val="00726D8E"/>
    <w:rsid w:val="007272A1"/>
    <w:rsid w:val="00730DDE"/>
    <w:rsid w:val="00731B20"/>
    <w:rsid w:val="00732C0C"/>
    <w:rsid w:val="007351D4"/>
    <w:rsid w:val="00735430"/>
    <w:rsid w:val="00736119"/>
    <w:rsid w:val="00736B27"/>
    <w:rsid w:val="00737C53"/>
    <w:rsid w:val="0074020E"/>
    <w:rsid w:val="00740D20"/>
    <w:rsid w:val="0074365F"/>
    <w:rsid w:val="00743F16"/>
    <w:rsid w:val="00744FF7"/>
    <w:rsid w:val="00745F54"/>
    <w:rsid w:val="007503B6"/>
    <w:rsid w:val="00750AAE"/>
    <w:rsid w:val="007511B2"/>
    <w:rsid w:val="00751200"/>
    <w:rsid w:val="00753115"/>
    <w:rsid w:val="00754712"/>
    <w:rsid w:val="007615B0"/>
    <w:rsid w:val="00761ADD"/>
    <w:rsid w:val="00762C62"/>
    <w:rsid w:val="00762F40"/>
    <w:rsid w:val="00763F04"/>
    <w:rsid w:val="00764148"/>
    <w:rsid w:val="00770ED0"/>
    <w:rsid w:val="0077149F"/>
    <w:rsid w:val="00771707"/>
    <w:rsid w:val="007742A3"/>
    <w:rsid w:val="00777399"/>
    <w:rsid w:val="007849CC"/>
    <w:rsid w:val="007872A7"/>
    <w:rsid w:val="00790440"/>
    <w:rsid w:val="007910A6"/>
    <w:rsid w:val="00791241"/>
    <w:rsid w:val="0079275D"/>
    <w:rsid w:val="00792E92"/>
    <w:rsid w:val="007940DB"/>
    <w:rsid w:val="0079465D"/>
    <w:rsid w:val="007948B5"/>
    <w:rsid w:val="007960B9"/>
    <w:rsid w:val="00797D41"/>
    <w:rsid w:val="007A1546"/>
    <w:rsid w:val="007A1901"/>
    <w:rsid w:val="007A1B1F"/>
    <w:rsid w:val="007A2569"/>
    <w:rsid w:val="007A2BEF"/>
    <w:rsid w:val="007A324F"/>
    <w:rsid w:val="007A3A61"/>
    <w:rsid w:val="007A3B4D"/>
    <w:rsid w:val="007A4389"/>
    <w:rsid w:val="007A4AC6"/>
    <w:rsid w:val="007B00E2"/>
    <w:rsid w:val="007B121D"/>
    <w:rsid w:val="007B3633"/>
    <w:rsid w:val="007B3F44"/>
    <w:rsid w:val="007B4514"/>
    <w:rsid w:val="007B5834"/>
    <w:rsid w:val="007B64F1"/>
    <w:rsid w:val="007B7832"/>
    <w:rsid w:val="007C07D1"/>
    <w:rsid w:val="007C2B9A"/>
    <w:rsid w:val="007C3812"/>
    <w:rsid w:val="007C5E2D"/>
    <w:rsid w:val="007C674D"/>
    <w:rsid w:val="007D130C"/>
    <w:rsid w:val="007D1E3C"/>
    <w:rsid w:val="007D5B9D"/>
    <w:rsid w:val="007D7D7E"/>
    <w:rsid w:val="007E01A7"/>
    <w:rsid w:val="007E0EBE"/>
    <w:rsid w:val="007E31CA"/>
    <w:rsid w:val="007E5A0F"/>
    <w:rsid w:val="007E5B2F"/>
    <w:rsid w:val="007F1284"/>
    <w:rsid w:val="007F28C3"/>
    <w:rsid w:val="007F31AE"/>
    <w:rsid w:val="007F3B2F"/>
    <w:rsid w:val="007F48D3"/>
    <w:rsid w:val="007F56CF"/>
    <w:rsid w:val="007F5B1B"/>
    <w:rsid w:val="007F6732"/>
    <w:rsid w:val="007F7201"/>
    <w:rsid w:val="007F75FD"/>
    <w:rsid w:val="0080070E"/>
    <w:rsid w:val="00800A20"/>
    <w:rsid w:val="0080362D"/>
    <w:rsid w:val="00803ACB"/>
    <w:rsid w:val="00804E0C"/>
    <w:rsid w:val="00805550"/>
    <w:rsid w:val="008075A8"/>
    <w:rsid w:val="008078E0"/>
    <w:rsid w:val="00810EC7"/>
    <w:rsid w:val="008120A5"/>
    <w:rsid w:val="0081293B"/>
    <w:rsid w:val="00813487"/>
    <w:rsid w:val="0081564D"/>
    <w:rsid w:val="0081711B"/>
    <w:rsid w:val="00817EC7"/>
    <w:rsid w:val="00820ACA"/>
    <w:rsid w:val="008216E4"/>
    <w:rsid w:val="00821B2C"/>
    <w:rsid w:val="00822B0C"/>
    <w:rsid w:val="00825519"/>
    <w:rsid w:val="00825B75"/>
    <w:rsid w:val="00825E3D"/>
    <w:rsid w:val="00826623"/>
    <w:rsid w:val="00826AD9"/>
    <w:rsid w:val="0082715A"/>
    <w:rsid w:val="008276CD"/>
    <w:rsid w:val="00827A07"/>
    <w:rsid w:val="00833121"/>
    <w:rsid w:val="0083538C"/>
    <w:rsid w:val="00836B57"/>
    <w:rsid w:val="00841B4F"/>
    <w:rsid w:val="008429FC"/>
    <w:rsid w:val="00842B43"/>
    <w:rsid w:val="00844638"/>
    <w:rsid w:val="00844A06"/>
    <w:rsid w:val="00844B47"/>
    <w:rsid w:val="00844F94"/>
    <w:rsid w:val="008462AA"/>
    <w:rsid w:val="0084735D"/>
    <w:rsid w:val="00850D91"/>
    <w:rsid w:val="00851440"/>
    <w:rsid w:val="00853D9C"/>
    <w:rsid w:val="0085497F"/>
    <w:rsid w:val="00856954"/>
    <w:rsid w:val="00857784"/>
    <w:rsid w:val="008578BC"/>
    <w:rsid w:val="00862611"/>
    <w:rsid w:val="00863EC3"/>
    <w:rsid w:val="008644EF"/>
    <w:rsid w:val="00864EF6"/>
    <w:rsid w:val="00865CFB"/>
    <w:rsid w:val="008714A2"/>
    <w:rsid w:val="008731ED"/>
    <w:rsid w:val="00873246"/>
    <w:rsid w:val="0087336B"/>
    <w:rsid w:val="00874470"/>
    <w:rsid w:val="00875373"/>
    <w:rsid w:val="00875DAD"/>
    <w:rsid w:val="00880B95"/>
    <w:rsid w:val="0088179C"/>
    <w:rsid w:val="00881DFA"/>
    <w:rsid w:val="00882097"/>
    <w:rsid w:val="00882510"/>
    <w:rsid w:val="008827F6"/>
    <w:rsid w:val="00883618"/>
    <w:rsid w:val="00883914"/>
    <w:rsid w:val="0088423E"/>
    <w:rsid w:val="008901AF"/>
    <w:rsid w:val="0089024F"/>
    <w:rsid w:val="008906CA"/>
    <w:rsid w:val="00892963"/>
    <w:rsid w:val="00893B07"/>
    <w:rsid w:val="00896073"/>
    <w:rsid w:val="008A082C"/>
    <w:rsid w:val="008A12E9"/>
    <w:rsid w:val="008A14ED"/>
    <w:rsid w:val="008A2275"/>
    <w:rsid w:val="008A4280"/>
    <w:rsid w:val="008A429E"/>
    <w:rsid w:val="008A4B10"/>
    <w:rsid w:val="008A6D85"/>
    <w:rsid w:val="008A7017"/>
    <w:rsid w:val="008B10BD"/>
    <w:rsid w:val="008B13F0"/>
    <w:rsid w:val="008B1A6E"/>
    <w:rsid w:val="008B1F17"/>
    <w:rsid w:val="008B2D5C"/>
    <w:rsid w:val="008B379C"/>
    <w:rsid w:val="008B42F2"/>
    <w:rsid w:val="008B45B9"/>
    <w:rsid w:val="008B45F6"/>
    <w:rsid w:val="008B67D4"/>
    <w:rsid w:val="008B6A10"/>
    <w:rsid w:val="008B6ED6"/>
    <w:rsid w:val="008B7EE9"/>
    <w:rsid w:val="008C0925"/>
    <w:rsid w:val="008C412D"/>
    <w:rsid w:val="008C4F6E"/>
    <w:rsid w:val="008C73E6"/>
    <w:rsid w:val="008D1909"/>
    <w:rsid w:val="008D74DE"/>
    <w:rsid w:val="008E0101"/>
    <w:rsid w:val="008E10B7"/>
    <w:rsid w:val="008E21B5"/>
    <w:rsid w:val="008E226A"/>
    <w:rsid w:val="008E5167"/>
    <w:rsid w:val="008E7B02"/>
    <w:rsid w:val="008F1DD3"/>
    <w:rsid w:val="008F3300"/>
    <w:rsid w:val="008F52C5"/>
    <w:rsid w:val="008F5D90"/>
    <w:rsid w:val="008F77F7"/>
    <w:rsid w:val="009005AA"/>
    <w:rsid w:val="00901023"/>
    <w:rsid w:val="00901B53"/>
    <w:rsid w:val="00902437"/>
    <w:rsid w:val="0091108B"/>
    <w:rsid w:val="0091184F"/>
    <w:rsid w:val="00911E17"/>
    <w:rsid w:val="0091317A"/>
    <w:rsid w:val="009162E1"/>
    <w:rsid w:val="00917963"/>
    <w:rsid w:val="00920044"/>
    <w:rsid w:val="00923968"/>
    <w:rsid w:val="009268A8"/>
    <w:rsid w:val="00926F41"/>
    <w:rsid w:val="00931734"/>
    <w:rsid w:val="009319B6"/>
    <w:rsid w:val="0093208A"/>
    <w:rsid w:val="0093299F"/>
    <w:rsid w:val="0093632C"/>
    <w:rsid w:val="009413F5"/>
    <w:rsid w:val="00942AE1"/>
    <w:rsid w:val="0094364C"/>
    <w:rsid w:val="00943906"/>
    <w:rsid w:val="009463DF"/>
    <w:rsid w:val="009471F3"/>
    <w:rsid w:val="00947CD8"/>
    <w:rsid w:val="009510B4"/>
    <w:rsid w:val="0095318C"/>
    <w:rsid w:val="00955607"/>
    <w:rsid w:val="00955BBB"/>
    <w:rsid w:val="0096018F"/>
    <w:rsid w:val="00960465"/>
    <w:rsid w:val="00960689"/>
    <w:rsid w:val="009612AF"/>
    <w:rsid w:val="0096151A"/>
    <w:rsid w:val="00961D0B"/>
    <w:rsid w:val="00965137"/>
    <w:rsid w:val="00967611"/>
    <w:rsid w:val="00970E7E"/>
    <w:rsid w:val="00971E9D"/>
    <w:rsid w:val="0097451D"/>
    <w:rsid w:val="00974712"/>
    <w:rsid w:val="009747FB"/>
    <w:rsid w:val="00975D93"/>
    <w:rsid w:val="009765FF"/>
    <w:rsid w:val="00977362"/>
    <w:rsid w:val="0098089F"/>
    <w:rsid w:val="00981F0C"/>
    <w:rsid w:val="0098398B"/>
    <w:rsid w:val="009866A4"/>
    <w:rsid w:val="00986F0A"/>
    <w:rsid w:val="00987405"/>
    <w:rsid w:val="00990341"/>
    <w:rsid w:val="009909AD"/>
    <w:rsid w:val="00992A45"/>
    <w:rsid w:val="00993151"/>
    <w:rsid w:val="009937E2"/>
    <w:rsid w:val="00993861"/>
    <w:rsid w:val="00993974"/>
    <w:rsid w:val="009939A6"/>
    <w:rsid w:val="009955BC"/>
    <w:rsid w:val="00996441"/>
    <w:rsid w:val="00997C83"/>
    <w:rsid w:val="00997E00"/>
    <w:rsid w:val="009A22A4"/>
    <w:rsid w:val="009A2E00"/>
    <w:rsid w:val="009A2E07"/>
    <w:rsid w:val="009A348A"/>
    <w:rsid w:val="009B0485"/>
    <w:rsid w:val="009B2DB0"/>
    <w:rsid w:val="009B3AD3"/>
    <w:rsid w:val="009B4E92"/>
    <w:rsid w:val="009B512F"/>
    <w:rsid w:val="009B76C0"/>
    <w:rsid w:val="009C2E04"/>
    <w:rsid w:val="009C4D9E"/>
    <w:rsid w:val="009C5802"/>
    <w:rsid w:val="009C581F"/>
    <w:rsid w:val="009C6B22"/>
    <w:rsid w:val="009D007F"/>
    <w:rsid w:val="009D07BE"/>
    <w:rsid w:val="009D0DE0"/>
    <w:rsid w:val="009D1535"/>
    <w:rsid w:val="009D1EAC"/>
    <w:rsid w:val="009D74AD"/>
    <w:rsid w:val="009D7A0A"/>
    <w:rsid w:val="009E15AE"/>
    <w:rsid w:val="009E216D"/>
    <w:rsid w:val="009E2F46"/>
    <w:rsid w:val="009E324F"/>
    <w:rsid w:val="009E329B"/>
    <w:rsid w:val="009E3D5C"/>
    <w:rsid w:val="009E44EE"/>
    <w:rsid w:val="009E5721"/>
    <w:rsid w:val="009E59F2"/>
    <w:rsid w:val="009E7A7E"/>
    <w:rsid w:val="009F10B1"/>
    <w:rsid w:val="009F347B"/>
    <w:rsid w:val="009F3A2D"/>
    <w:rsid w:val="009F4A14"/>
    <w:rsid w:val="009F567C"/>
    <w:rsid w:val="009F57D3"/>
    <w:rsid w:val="009F65D5"/>
    <w:rsid w:val="00A01277"/>
    <w:rsid w:val="00A02678"/>
    <w:rsid w:val="00A02738"/>
    <w:rsid w:val="00A0554E"/>
    <w:rsid w:val="00A05F3E"/>
    <w:rsid w:val="00A104B2"/>
    <w:rsid w:val="00A11C3B"/>
    <w:rsid w:val="00A13D10"/>
    <w:rsid w:val="00A147E3"/>
    <w:rsid w:val="00A14B76"/>
    <w:rsid w:val="00A14E0F"/>
    <w:rsid w:val="00A15FE1"/>
    <w:rsid w:val="00A17BE0"/>
    <w:rsid w:val="00A17D0A"/>
    <w:rsid w:val="00A21927"/>
    <w:rsid w:val="00A23EF2"/>
    <w:rsid w:val="00A24F37"/>
    <w:rsid w:val="00A251BA"/>
    <w:rsid w:val="00A26745"/>
    <w:rsid w:val="00A27686"/>
    <w:rsid w:val="00A31305"/>
    <w:rsid w:val="00A3217E"/>
    <w:rsid w:val="00A328DA"/>
    <w:rsid w:val="00A33081"/>
    <w:rsid w:val="00A3444E"/>
    <w:rsid w:val="00A34BF8"/>
    <w:rsid w:val="00A35FA2"/>
    <w:rsid w:val="00A36CA6"/>
    <w:rsid w:val="00A4069E"/>
    <w:rsid w:val="00A41BB8"/>
    <w:rsid w:val="00A44543"/>
    <w:rsid w:val="00A447F9"/>
    <w:rsid w:val="00A448B5"/>
    <w:rsid w:val="00A46503"/>
    <w:rsid w:val="00A47352"/>
    <w:rsid w:val="00A47D9A"/>
    <w:rsid w:val="00A51059"/>
    <w:rsid w:val="00A51241"/>
    <w:rsid w:val="00A51258"/>
    <w:rsid w:val="00A513D4"/>
    <w:rsid w:val="00A51904"/>
    <w:rsid w:val="00A522DC"/>
    <w:rsid w:val="00A52E13"/>
    <w:rsid w:val="00A54AF3"/>
    <w:rsid w:val="00A5537A"/>
    <w:rsid w:val="00A553A7"/>
    <w:rsid w:val="00A5562F"/>
    <w:rsid w:val="00A55A62"/>
    <w:rsid w:val="00A568BE"/>
    <w:rsid w:val="00A61805"/>
    <w:rsid w:val="00A6197E"/>
    <w:rsid w:val="00A619E8"/>
    <w:rsid w:val="00A6216C"/>
    <w:rsid w:val="00A62293"/>
    <w:rsid w:val="00A62455"/>
    <w:rsid w:val="00A63850"/>
    <w:rsid w:val="00A652A2"/>
    <w:rsid w:val="00A6586F"/>
    <w:rsid w:val="00A65904"/>
    <w:rsid w:val="00A66BB6"/>
    <w:rsid w:val="00A6716E"/>
    <w:rsid w:val="00A728CC"/>
    <w:rsid w:val="00A729AD"/>
    <w:rsid w:val="00A746F1"/>
    <w:rsid w:val="00A7627B"/>
    <w:rsid w:val="00A76B65"/>
    <w:rsid w:val="00A770E4"/>
    <w:rsid w:val="00A80AA9"/>
    <w:rsid w:val="00A80E1B"/>
    <w:rsid w:val="00A827E5"/>
    <w:rsid w:val="00A83321"/>
    <w:rsid w:val="00A834B7"/>
    <w:rsid w:val="00A83F05"/>
    <w:rsid w:val="00A87C49"/>
    <w:rsid w:val="00A9052D"/>
    <w:rsid w:val="00A90908"/>
    <w:rsid w:val="00A911FD"/>
    <w:rsid w:val="00A917CD"/>
    <w:rsid w:val="00A91ED0"/>
    <w:rsid w:val="00A92D7F"/>
    <w:rsid w:val="00A92F25"/>
    <w:rsid w:val="00A93B23"/>
    <w:rsid w:val="00A94B2D"/>
    <w:rsid w:val="00A9517F"/>
    <w:rsid w:val="00A951C5"/>
    <w:rsid w:val="00A95EDE"/>
    <w:rsid w:val="00A96183"/>
    <w:rsid w:val="00A965B1"/>
    <w:rsid w:val="00A9773E"/>
    <w:rsid w:val="00AA0912"/>
    <w:rsid w:val="00AA0AFA"/>
    <w:rsid w:val="00AA2323"/>
    <w:rsid w:val="00AA2A03"/>
    <w:rsid w:val="00AA2EB5"/>
    <w:rsid w:val="00AA316D"/>
    <w:rsid w:val="00AA42CD"/>
    <w:rsid w:val="00AA4E59"/>
    <w:rsid w:val="00AA4F0E"/>
    <w:rsid w:val="00AA7964"/>
    <w:rsid w:val="00AA7F1F"/>
    <w:rsid w:val="00AB0C80"/>
    <w:rsid w:val="00AB4B10"/>
    <w:rsid w:val="00AB7816"/>
    <w:rsid w:val="00AC0356"/>
    <w:rsid w:val="00AC08EB"/>
    <w:rsid w:val="00AC0F22"/>
    <w:rsid w:val="00AC5456"/>
    <w:rsid w:val="00AC57D5"/>
    <w:rsid w:val="00AC5C21"/>
    <w:rsid w:val="00AC66B7"/>
    <w:rsid w:val="00AC6C46"/>
    <w:rsid w:val="00AC70AA"/>
    <w:rsid w:val="00AD2582"/>
    <w:rsid w:val="00AD46BF"/>
    <w:rsid w:val="00AD5301"/>
    <w:rsid w:val="00AD67AF"/>
    <w:rsid w:val="00AD6C0E"/>
    <w:rsid w:val="00AE17A9"/>
    <w:rsid w:val="00AE31A5"/>
    <w:rsid w:val="00AE32B0"/>
    <w:rsid w:val="00AE3F7A"/>
    <w:rsid w:val="00AE6F75"/>
    <w:rsid w:val="00AE7A7C"/>
    <w:rsid w:val="00AE7E13"/>
    <w:rsid w:val="00AF656B"/>
    <w:rsid w:val="00AF686D"/>
    <w:rsid w:val="00B01026"/>
    <w:rsid w:val="00B03136"/>
    <w:rsid w:val="00B05AE8"/>
    <w:rsid w:val="00B06B78"/>
    <w:rsid w:val="00B07376"/>
    <w:rsid w:val="00B074C0"/>
    <w:rsid w:val="00B10901"/>
    <w:rsid w:val="00B10CD1"/>
    <w:rsid w:val="00B112DD"/>
    <w:rsid w:val="00B11B86"/>
    <w:rsid w:val="00B120B1"/>
    <w:rsid w:val="00B1483B"/>
    <w:rsid w:val="00B16285"/>
    <w:rsid w:val="00B1751F"/>
    <w:rsid w:val="00B21E42"/>
    <w:rsid w:val="00B24733"/>
    <w:rsid w:val="00B24EA4"/>
    <w:rsid w:val="00B24FCA"/>
    <w:rsid w:val="00B2501E"/>
    <w:rsid w:val="00B25D80"/>
    <w:rsid w:val="00B266D4"/>
    <w:rsid w:val="00B26937"/>
    <w:rsid w:val="00B276A2"/>
    <w:rsid w:val="00B32979"/>
    <w:rsid w:val="00B33AD4"/>
    <w:rsid w:val="00B34182"/>
    <w:rsid w:val="00B345BA"/>
    <w:rsid w:val="00B35A83"/>
    <w:rsid w:val="00B36671"/>
    <w:rsid w:val="00B36D8B"/>
    <w:rsid w:val="00B406EC"/>
    <w:rsid w:val="00B40E08"/>
    <w:rsid w:val="00B41171"/>
    <w:rsid w:val="00B41947"/>
    <w:rsid w:val="00B43672"/>
    <w:rsid w:val="00B44696"/>
    <w:rsid w:val="00B452CD"/>
    <w:rsid w:val="00B47453"/>
    <w:rsid w:val="00B47E54"/>
    <w:rsid w:val="00B520D1"/>
    <w:rsid w:val="00B52445"/>
    <w:rsid w:val="00B5296C"/>
    <w:rsid w:val="00B5373A"/>
    <w:rsid w:val="00B563EE"/>
    <w:rsid w:val="00B5645A"/>
    <w:rsid w:val="00B565DA"/>
    <w:rsid w:val="00B57944"/>
    <w:rsid w:val="00B61071"/>
    <w:rsid w:val="00B6149A"/>
    <w:rsid w:val="00B629F9"/>
    <w:rsid w:val="00B633E3"/>
    <w:rsid w:val="00B6377F"/>
    <w:rsid w:val="00B63E92"/>
    <w:rsid w:val="00B64324"/>
    <w:rsid w:val="00B65CD6"/>
    <w:rsid w:val="00B66D9B"/>
    <w:rsid w:val="00B70DF6"/>
    <w:rsid w:val="00B712A4"/>
    <w:rsid w:val="00B7189D"/>
    <w:rsid w:val="00B7197C"/>
    <w:rsid w:val="00B72390"/>
    <w:rsid w:val="00B72C83"/>
    <w:rsid w:val="00B762FD"/>
    <w:rsid w:val="00B76EC1"/>
    <w:rsid w:val="00B778FD"/>
    <w:rsid w:val="00B806A3"/>
    <w:rsid w:val="00B81A14"/>
    <w:rsid w:val="00B82575"/>
    <w:rsid w:val="00B83ABE"/>
    <w:rsid w:val="00B84092"/>
    <w:rsid w:val="00B8421B"/>
    <w:rsid w:val="00B84904"/>
    <w:rsid w:val="00B84F06"/>
    <w:rsid w:val="00B87B33"/>
    <w:rsid w:val="00B904B5"/>
    <w:rsid w:val="00B91F2B"/>
    <w:rsid w:val="00B9200E"/>
    <w:rsid w:val="00B924A1"/>
    <w:rsid w:val="00B92DE5"/>
    <w:rsid w:val="00B953C0"/>
    <w:rsid w:val="00B954F6"/>
    <w:rsid w:val="00B957C2"/>
    <w:rsid w:val="00BA02F3"/>
    <w:rsid w:val="00BA0759"/>
    <w:rsid w:val="00BA56C6"/>
    <w:rsid w:val="00BA5731"/>
    <w:rsid w:val="00BA653E"/>
    <w:rsid w:val="00BA6976"/>
    <w:rsid w:val="00BA6BA5"/>
    <w:rsid w:val="00BA7070"/>
    <w:rsid w:val="00BA73CC"/>
    <w:rsid w:val="00BA7900"/>
    <w:rsid w:val="00BA7A2B"/>
    <w:rsid w:val="00BA7A54"/>
    <w:rsid w:val="00BB1263"/>
    <w:rsid w:val="00BB17F4"/>
    <w:rsid w:val="00BB1AAC"/>
    <w:rsid w:val="00BB24DE"/>
    <w:rsid w:val="00BB312C"/>
    <w:rsid w:val="00BB3259"/>
    <w:rsid w:val="00BB456F"/>
    <w:rsid w:val="00BB5E47"/>
    <w:rsid w:val="00BB6642"/>
    <w:rsid w:val="00BB6F79"/>
    <w:rsid w:val="00BB74A7"/>
    <w:rsid w:val="00BB7894"/>
    <w:rsid w:val="00BC1DBE"/>
    <w:rsid w:val="00BC3BDF"/>
    <w:rsid w:val="00BC496A"/>
    <w:rsid w:val="00BC49CF"/>
    <w:rsid w:val="00BC66BB"/>
    <w:rsid w:val="00BC671F"/>
    <w:rsid w:val="00BC7267"/>
    <w:rsid w:val="00BD14EA"/>
    <w:rsid w:val="00BD1F82"/>
    <w:rsid w:val="00BD3C20"/>
    <w:rsid w:val="00BD51B0"/>
    <w:rsid w:val="00BD5788"/>
    <w:rsid w:val="00BD5812"/>
    <w:rsid w:val="00BD796D"/>
    <w:rsid w:val="00BD7DBF"/>
    <w:rsid w:val="00BD7F5F"/>
    <w:rsid w:val="00BE30E3"/>
    <w:rsid w:val="00BE4AE4"/>
    <w:rsid w:val="00BE50E1"/>
    <w:rsid w:val="00BE5800"/>
    <w:rsid w:val="00BE6FCB"/>
    <w:rsid w:val="00BE79FC"/>
    <w:rsid w:val="00BF01CA"/>
    <w:rsid w:val="00BF19FE"/>
    <w:rsid w:val="00BF4AB9"/>
    <w:rsid w:val="00BF5461"/>
    <w:rsid w:val="00BF7005"/>
    <w:rsid w:val="00BF750C"/>
    <w:rsid w:val="00BF75C4"/>
    <w:rsid w:val="00BF7654"/>
    <w:rsid w:val="00C00B25"/>
    <w:rsid w:val="00C01DAD"/>
    <w:rsid w:val="00C03028"/>
    <w:rsid w:val="00C03C26"/>
    <w:rsid w:val="00C048D3"/>
    <w:rsid w:val="00C04933"/>
    <w:rsid w:val="00C07243"/>
    <w:rsid w:val="00C0760C"/>
    <w:rsid w:val="00C10B2B"/>
    <w:rsid w:val="00C12580"/>
    <w:rsid w:val="00C15011"/>
    <w:rsid w:val="00C157E0"/>
    <w:rsid w:val="00C17541"/>
    <w:rsid w:val="00C179FF"/>
    <w:rsid w:val="00C2044C"/>
    <w:rsid w:val="00C21F9C"/>
    <w:rsid w:val="00C22F2E"/>
    <w:rsid w:val="00C237C9"/>
    <w:rsid w:val="00C27166"/>
    <w:rsid w:val="00C2776D"/>
    <w:rsid w:val="00C27F30"/>
    <w:rsid w:val="00C34E23"/>
    <w:rsid w:val="00C34FFC"/>
    <w:rsid w:val="00C3757E"/>
    <w:rsid w:val="00C37B44"/>
    <w:rsid w:val="00C40B20"/>
    <w:rsid w:val="00C41FBA"/>
    <w:rsid w:val="00C43F82"/>
    <w:rsid w:val="00C44488"/>
    <w:rsid w:val="00C4487C"/>
    <w:rsid w:val="00C448CE"/>
    <w:rsid w:val="00C470E8"/>
    <w:rsid w:val="00C47E19"/>
    <w:rsid w:val="00C50BD5"/>
    <w:rsid w:val="00C512E9"/>
    <w:rsid w:val="00C5233E"/>
    <w:rsid w:val="00C52B0B"/>
    <w:rsid w:val="00C5493F"/>
    <w:rsid w:val="00C54F8F"/>
    <w:rsid w:val="00C55855"/>
    <w:rsid w:val="00C57C3B"/>
    <w:rsid w:val="00C602F1"/>
    <w:rsid w:val="00C6032F"/>
    <w:rsid w:val="00C608F9"/>
    <w:rsid w:val="00C6127B"/>
    <w:rsid w:val="00C63ED4"/>
    <w:rsid w:val="00C6560C"/>
    <w:rsid w:val="00C65A5F"/>
    <w:rsid w:val="00C66799"/>
    <w:rsid w:val="00C707FB"/>
    <w:rsid w:val="00C70DA9"/>
    <w:rsid w:val="00C729C1"/>
    <w:rsid w:val="00C73307"/>
    <w:rsid w:val="00C73D96"/>
    <w:rsid w:val="00C77117"/>
    <w:rsid w:val="00C773A7"/>
    <w:rsid w:val="00C77699"/>
    <w:rsid w:val="00C77E1C"/>
    <w:rsid w:val="00C8221B"/>
    <w:rsid w:val="00C82A0A"/>
    <w:rsid w:val="00C8408E"/>
    <w:rsid w:val="00C8428C"/>
    <w:rsid w:val="00C854BC"/>
    <w:rsid w:val="00C85904"/>
    <w:rsid w:val="00C86AD5"/>
    <w:rsid w:val="00C86EEF"/>
    <w:rsid w:val="00C872EE"/>
    <w:rsid w:val="00C9098D"/>
    <w:rsid w:val="00C9260F"/>
    <w:rsid w:val="00C93A7D"/>
    <w:rsid w:val="00C94C98"/>
    <w:rsid w:val="00C95016"/>
    <w:rsid w:val="00C95348"/>
    <w:rsid w:val="00C95630"/>
    <w:rsid w:val="00C9667D"/>
    <w:rsid w:val="00CA0842"/>
    <w:rsid w:val="00CA2A0B"/>
    <w:rsid w:val="00CA2FC9"/>
    <w:rsid w:val="00CA5D24"/>
    <w:rsid w:val="00CA728E"/>
    <w:rsid w:val="00CB08A4"/>
    <w:rsid w:val="00CB344A"/>
    <w:rsid w:val="00CB6921"/>
    <w:rsid w:val="00CB7883"/>
    <w:rsid w:val="00CB7888"/>
    <w:rsid w:val="00CC1F53"/>
    <w:rsid w:val="00CC2F20"/>
    <w:rsid w:val="00CC4634"/>
    <w:rsid w:val="00CD1177"/>
    <w:rsid w:val="00CD1274"/>
    <w:rsid w:val="00CD15B5"/>
    <w:rsid w:val="00CD1938"/>
    <w:rsid w:val="00CD1E81"/>
    <w:rsid w:val="00CD234A"/>
    <w:rsid w:val="00CD35BB"/>
    <w:rsid w:val="00CD46DE"/>
    <w:rsid w:val="00CD50A6"/>
    <w:rsid w:val="00CD6FA1"/>
    <w:rsid w:val="00CE023A"/>
    <w:rsid w:val="00CE3BDD"/>
    <w:rsid w:val="00CE457D"/>
    <w:rsid w:val="00CE45B1"/>
    <w:rsid w:val="00CE54C4"/>
    <w:rsid w:val="00CE7C02"/>
    <w:rsid w:val="00CF06B6"/>
    <w:rsid w:val="00CF13C4"/>
    <w:rsid w:val="00CF3045"/>
    <w:rsid w:val="00CF46B4"/>
    <w:rsid w:val="00CF4838"/>
    <w:rsid w:val="00CF736E"/>
    <w:rsid w:val="00CF7516"/>
    <w:rsid w:val="00D0133A"/>
    <w:rsid w:val="00D0443E"/>
    <w:rsid w:val="00D046DA"/>
    <w:rsid w:val="00D10E55"/>
    <w:rsid w:val="00D12963"/>
    <w:rsid w:val="00D14A37"/>
    <w:rsid w:val="00D160EC"/>
    <w:rsid w:val="00D16312"/>
    <w:rsid w:val="00D167B7"/>
    <w:rsid w:val="00D200BF"/>
    <w:rsid w:val="00D201E2"/>
    <w:rsid w:val="00D2057B"/>
    <w:rsid w:val="00D2160C"/>
    <w:rsid w:val="00D23396"/>
    <w:rsid w:val="00D2369E"/>
    <w:rsid w:val="00D238FC"/>
    <w:rsid w:val="00D30B52"/>
    <w:rsid w:val="00D30DC9"/>
    <w:rsid w:val="00D315BB"/>
    <w:rsid w:val="00D331F6"/>
    <w:rsid w:val="00D358AE"/>
    <w:rsid w:val="00D3727E"/>
    <w:rsid w:val="00D41903"/>
    <w:rsid w:val="00D41B03"/>
    <w:rsid w:val="00D42095"/>
    <w:rsid w:val="00D46CAF"/>
    <w:rsid w:val="00D50AAA"/>
    <w:rsid w:val="00D51A0C"/>
    <w:rsid w:val="00D5234F"/>
    <w:rsid w:val="00D52FAD"/>
    <w:rsid w:val="00D567DC"/>
    <w:rsid w:val="00D6132C"/>
    <w:rsid w:val="00D62287"/>
    <w:rsid w:val="00D625F2"/>
    <w:rsid w:val="00D62F9A"/>
    <w:rsid w:val="00D63684"/>
    <w:rsid w:val="00D647A6"/>
    <w:rsid w:val="00D65603"/>
    <w:rsid w:val="00D6631A"/>
    <w:rsid w:val="00D7074B"/>
    <w:rsid w:val="00D709DD"/>
    <w:rsid w:val="00D714BF"/>
    <w:rsid w:val="00D724AF"/>
    <w:rsid w:val="00D732B9"/>
    <w:rsid w:val="00D73E0A"/>
    <w:rsid w:val="00D755CE"/>
    <w:rsid w:val="00D765FF"/>
    <w:rsid w:val="00D77B25"/>
    <w:rsid w:val="00D81F53"/>
    <w:rsid w:val="00D82D91"/>
    <w:rsid w:val="00D83B32"/>
    <w:rsid w:val="00D84EFE"/>
    <w:rsid w:val="00D85C7D"/>
    <w:rsid w:val="00D86609"/>
    <w:rsid w:val="00D869C8"/>
    <w:rsid w:val="00D86A49"/>
    <w:rsid w:val="00D86B0F"/>
    <w:rsid w:val="00D92E42"/>
    <w:rsid w:val="00D93DC3"/>
    <w:rsid w:val="00D942E0"/>
    <w:rsid w:val="00D95122"/>
    <w:rsid w:val="00D95536"/>
    <w:rsid w:val="00D95E8D"/>
    <w:rsid w:val="00DA0134"/>
    <w:rsid w:val="00DA5973"/>
    <w:rsid w:val="00DA7397"/>
    <w:rsid w:val="00DB2CAE"/>
    <w:rsid w:val="00DB3C7C"/>
    <w:rsid w:val="00DB6DCB"/>
    <w:rsid w:val="00DB7B1E"/>
    <w:rsid w:val="00DB7CC7"/>
    <w:rsid w:val="00DC22B0"/>
    <w:rsid w:val="00DC3446"/>
    <w:rsid w:val="00DC464C"/>
    <w:rsid w:val="00DC4B90"/>
    <w:rsid w:val="00DC5373"/>
    <w:rsid w:val="00DC6806"/>
    <w:rsid w:val="00DD20E3"/>
    <w:rsid w:val="00DD3230"/>
    <w:rsid w:val="00DD5674"/>
    <w:rsid w:val="00DD5CC2"/>
    <w:rsid w:val="00DD689D"/>
    <w:rsid w:val="00DD701F"/>
    <w:rsid w:val="00DE0559"/>
    <w:rsid w:val="00DE1CEF"/>
    <w:rsid w:val="00DE2772"/>
    <w:rsid w:val="00DE3D35"/>
    <w:rsid w:val="00DE69D7"/>
    <w:rsid w:val="00DE6DCA"/>
    <w:rsid w:val="00DE70D2"/>
    <w:rsid w:val="00DE7188"/>
    <w:rsid w:val="00DE7D9E"/>
    <w:rsid w:val="00DF2395"/>
    <w:rsid w:val="00DF35D3"/>
    <w:rsid w:val="00DF3B53"/>
    <w:rsid w:val="00DF6C3C"/>
    <w:rsid w:val="00DF6C50"/>
    <w:rsid w:val="00DF6EBE"/>
    <w:rsid w:val="00DF7014"/>
    <w:rsid w:val="00E0017E"/>
    <w:rsid w:val="00E0078E"/>
    <w:rsid w:val="00E02D6F"/>
    <w:rsid w:val="00E0406C"/>
    <w:rsid w:val="00E044AA"/>
    <w:rsid w:val="00E04700"/>
    <w:rsid w:val="00E05571"/>
    <w:rsid w:val="00E058D2"/>
    <w:rsid w:val="00E10651"/>
    <w:rsid w:val="00E113CF"/>
    <w:rsid w:val="00E12730"/>
    <w:rsid w:val="00E127DE"/>
    <w:rsid w:val="00E128F7"/>
    <w:rsid w:val="00E12A8F"/>
    <w:rsid w:val="00E13DB9"/>
    <w:rsid w:val="00E13E16"/>
    <w:rsid w:val="00E146B2"/>
    <w:rsid w:val="00E1479E"/>
    <w:rsid w:val="00E1486B"/>
    <w:rsid w:val="00E14E10"/>
    <w:rsid w:val="00E157C5"/>
    <w:rsid w:val="00E157F8"/>
    <w:rsid w:val="00E1710A"/>
    <w:rsid w:val="00E21239"/>
    <w:rsid w:val="00E227B1"/>
    <w:rsid w:val="00E2426D"/>
    <w:rsid w:val="00E24723"/>
    <w:rsid w:val="00E24A4F"/>
    <w:rsid w:val="00E26CE4"/>
    <w:rsid w:val="00E270C9"/>
    <w:rsid w:val="00E2734A"/>
    <w:rsid w:val="00E27A9E"/>
    <w:rsid w:val="00E27E58"/>
    <w:rsid w:val="00E30430"/>
    <w:rsid w:val="00E307BF"/>
    <w:rsid w:val="00E30F1E"/>
    <w:rsid w:val="00E32F53"/>
    <w:rsid w:val="00E334DF"/>
    <w:rsid w:val="00E341B6"/>
    <w:rsid w:val="00E3428A"/>
    <w:rsid w:val="00E355EB"/>
    <w:rsid w:val="00E357D1"/>
    <w:rsid w:val="00E3660C"/>
    <w:rsid w:val="00E369B8"/>
    <w:rsid w:val="00E40497"/>
    <w:rsid w:val="00E44FBD"/>
    <w:rsid w:val="00E461CF"/>
    <w:rsid w:val="00E46C76"/>
    <w:rsid w:val="00E50263"/>
    <w:rsid w:val="00E5359D"/>
    <w:rsid w:val="00E55CAB"/>
    <w:rsid w:val="00E56954"/>
    <w:rsid w:val="00E655B5"/>
    <w:rsid w:val="00E72C84"/>
    <w:rsid w:val="00E72E42"/>
    <w:rsid w:val="00E75800"/>
    <w:rsid w:val="00E76965"/>
    <w:rsid w:val="00E81479"/>
    <w:rsid w:val="00E81BBD"/>
    <w:rsid w:val="00E83AB1"/>
    <w:rsid w:val="00E83AF7"/>
    <w:rsid w:val="00E8685E"/>
    <w:rsid w:val="00E90456"/>
    <w:rsid w:val="00E90DBA"/>
    <w:rsid w:val="00E90FDF"/>
    <w:rsid w:val="00E91085"/>
    <w:rsid w:val="00E918CA"/>
    <w:rsid w:val="00E9193D"/>
    <w:rsid w:val="00E92974"/>
    <w:rsid w:val="00E962A9"/>
    <w:rsid w:val="00E974EF"/>
    <w:rsid w:val="00EA00D5"/>
    <w:rsid w:val="00EA071B"/>
    <w:rsid w:val="00EA1201"/>
    <w:rsid w:val="00EA1E00"/>
    <w:rsid w:val="00EA20B7"/>
    <w:rsid w:val="00EA300D"/>
    <w:rsid w:val="00EA4212"/>
    <w:rsid w:val="00EA57B7"/>
    <w:rsid w:val="00EA6CEA"/>
    <w:rsid w:val="00EA7091"/>
    <w:rsid w:val="00EA7311"/>
    <w:rsid w:val="00EA739A"/>
    <w:rsid w:val="00EB11DA"/>
    <w:rsid w:val="00EB1A3A"/>
    <w:rsid w:val="00EB33A7"/>
    <w:rsid w:val="00EB4B28"/>
    <w:rsid w:val="00EB57F3"/>
    <w:rsid w:val="00EB6710"/>
    <w:rsid w:val="00EB6854"/>
    <w:rsid w:val="00EC0249"/>
    <w:rsid w:val="00EC02D9"/>
    <w:rsid w:val="00EC10A8"/>
    <w:rsid w:val="00EC1321"/>
    <w:rsid w:val="00EC2806"/>
    <w:rsid w:val="00EC3847"/>
    <w:rsid w:val="00EC4FB1"/>
    <w:rsid w:val="00ED0DF1"/>
    <w:rsid w:val="00ED0F6A"/>
    <w:rsid w:val="00ED2E21"/>
    <w:rsid w:val="00ED4557"/>
    <w:rsid w:val="00ED45C3"/>
    <w:rsid w:val="00ED732E"/>
    <w:rsid w:val="00ED743B"/>
    <w:rsid w:val="00ED76E2"/>
    <w:rsid w:val="00ED7A6C"/>
    <w:rsid w:val="00EE0113"/>
    <w:rsid w:val="00EE277A"/>
    <w:rsid w:val="00EE325C"/>
    <w:rsid w:val="00EE4C05"/>
    <w:rsid w:val="00EE54D8"/>
    <w:rsid w:val="00EE78FA"/>
    <w:rsid w:val="00EF2647"/>
    <w:rsid w:val="00EF3D25"/>
    <w:rsid w:val="00EF78AC"/>
    <w:rsid w:val="00F00668"/>
    <w:rsid w:val="00F03652"/>
    <w:rsid w:val="00F0562E"/>
    <w:rsid w:val="00F05931"/>
    <w:rsid w:val="00F07C86"/>
    <w:rsid w:val="00F07D4E"/>
    <w:rsid w:val="00F12130"/>
    <w:rsid w:val="00F12FCD"/>
    <w:rsid w:val="00F13866"/>
    <w:rsid w:val="00F1433F"/>
    <w:rsid w:val="00F14B85"/>
    <w:rsid w:val="00F152FE"/>
    <w:rsid w:val="00F15B2F"/>
    <w:rsid w:val="00F16193"/>
    <w:rsid w:val="00F17A39"/>
    <w:rsid w:val="00F22F42"/>
    <w:rsid w:val="00F2334C"/>
    <w:rsid w:val="00F23AA5"/>
    <w:rsid w:val="00F26F37"/>
    <w:rsid w:val="00F303D8"/>
    <w:rsid w:val="00F33C1F"/>
    <w:rsid w:val="00F36EC7"/>
    <w:rsid w:val="00F37275"/>
    <w:rsid w:val="00F4019B"/>
    <w:rsid w:val="00F420AE"/>
    <w:rsid w:val="00F42383"/>
    <w:rsid w:val="00F43500"/>
    <w:rsid w:val="00F43B91"/>
    <w:rsid w:val="00F446B4"/>
    <w:rsid w:val="00F458F8"/>
    <w:rsid w:val="00F46F20"/>
    <w:rsid w:val="00F505B2"/>
    <w:rsid w:val="00F514DE"/>
    <w:rsid w:val="00F51854"/>
    <w:rsid w:val="00F53FDA"/>
    <w:rsid w:val="00F547ED"/>
    <w:rsid w:val="00F54AB4"/>
    <w:rsid w:val="00F60AEB"/>
    <w:rsid w:val="00F614FE"/>
    <w:rsid w:val="00F61FA6"/>
    <w:rsid w:val="00F62A93"/>
    <w:rsid w:val="00F62E63"/>
    <w:rsid w:val="00F636A5"/>
    <w:rsid w:val="00F63D09"/>
    <w:rsid w:val="00F65A73"/>
    <w:rsid w:val="00F6649C"/>
    <w:rsid w:val="00F672CE"/>
    <w:rsid w:val="00F675FC"/>
    <w:rsid w:val="00F70F2D"/>
    <w:rsid w:val="00F7180F"/>
    <w:rsid w:val="00F72F4D"/>
    <w:rsid w:val="00F743C7"/>
    <w:rsid w:val="00F74E2C"/>
    <w:rsid w:val="00F751AB"/>
    <w:rsid w:val="00F75493"/>
    <w:rsid w:val="00F8017D"/>
    <w:rsid w:val="00F80226"/>
    <w:rsid w:val="00F809BA"/>
    <w:rsid w:val="00F828E7"/>
    <w:rsid w:val="00F8360D"/>
    <w:rsid w:val="00F83735"/>
    <w:rsid w:val="00F85F61"/>
    <w:rsid w:val="00F86E97"/>
    <w:rsid w:val="00F90EFE"/>
    <w:rsid w:val="00F91A24"/>
    <w:rsid w:val="00F91B3D"/>
    <w:rsid w:val="00F927D3"/>
    <w:rsid w:val="00F96120"/>
    <w:rsid w:val="00F97AC4"/>
    <w:rsid w:val="00F97D1C"/>
    <w:rsid w:val="00FA1679"/>
    <w:rsid w:val="00FA2391"/>
    <w:rsid w:val="00FA23F8"/>
    <w:rsid w:val="00FA5313"/>
    <w:rsid w:val="00FA585B"/>
    <w:rsid w:val="00FA6ECA"/>
    <w:rsid w:val="00FA7A03"/>
    <w:rsid w:val="00FB03A2"/>
    <w:rsid w:val="00FB03FA"/>
    <w:rsid w:val="00FB1141"/>
    <w:rsid w:val="00FB1712"/>
    <w:rsid w:val="00FB4000"/>
    <w:rsid w:val="00FB4273"/>
    <w:rsid w:val="00FB4F03"/>
    <w:rsid w:val="00FC09F7"/>
    <w:rsid w:val="00FC0C73"/>
    <w:rsid w:val="00FC334C"/>
    <w:rsid w:val="00FC339B"/>
    <w:rsid w:val="00FC4ABE"/>
    <w:rsid w:val="00FC61FB"/>
    <w:rsid w:val="00FC646A"/>
    <w:rsid w:val="00FC7352"/>
    <w:rsid w:val="00FC7776"/>
    <w:rsid w:val="00FD06D5"/>
    <w:rsid w:val="00FD0D3C"/>
    <w:rsid w:val="00FD25DC"/>
    <w:rsid w:val="00FD3740"/>
    <w:rsid w:val="00FD6164"/>
    <w:rsid w:val="00FD7422"/>
    <w:rsid w:val="00FD77C5"/>
    <w:rsid w:val="00FE049E"/>
    <w:rsid w:val="00FE1696"/>
    <w:rsid w:val="00FE2621"/>
    <w:rsid w:val="00FE3221"/>
    <w:rsid w:val="00FE66BC"/>
    <w:rsid w:val="00FE6796"/>
    <w:rsid w:val="00FF0E0E"/>
    <w:rsid w:val="00FF10F7"/>
    <w:rsid w:val="00FF1134"/>
    <w:rsid w:val="00FF35D0"/>
    <w:rsid w:val="00FF6463"/>
    <w:rsid w:val="00FF6BB5"/>
    <w:rsid w:val="00FF724B"/>
    <w:rsid w:val="00FF77C5"/>
    <w:rsid w:val="00FF7B0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8C41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77E1C"/>
    <w:pPr>
      <w:tabs>
        <w:tab w:val="left" w:pos="0"/>
      </w:tabs>
      <w:spacing w:line="480" w:lineRule="auto"/>
    </w:pPr>
    <w:rPr>
      <w:rFonts w:ascii="Times" w:eastAsia="Times" w:hAnsi="Times" w:cs="Arial"/>
      <w:sz w:val="24"/>
      <w:szCs w:val="24"/>
      <w:lang w:val="en-GB"/>
    </w:rPr>
  </w:style>
  <w:style w:type="paragraph" w:styleId="berschrift1">
    <w:name w:val="heading 1"/>
    <w:basedOn w:val="Standard"/>
    <w:next w:val="Standard"/>
    <w:qFormat/>
    <w:rsid w:val="005A1691"/>
    <w:pPr>
      <w:keepNext/>
      <w:spacing w:after="240" w:line="360" w:lineRule="auto"/>
      <w:ind w:left="709" w:hanging="709"/>
      <w:outlineLvl w:val="0"/>
    </w:pPr>
    <w:rPr>
      <w:b/>
      <w:lang w:val="en-AU"/>
    </w:rPr>
  </w:style>
  <w:style w:type="paragraph" w:styleId="berschrift2">
    <w:name w:val="heading 2"/>
    <w:basedOn w:val="Standard"/>
    <w:next w:val="Standard"/>
    <w:qFormat/>
    <w:rsid w:val="005A1691"/>
    <w:pPr>
      <w:jc w:val="both"/>
      <w:outlineLvl w:val="1"/>
    </w:pPr>
    <w:rPr>
      <w:rFonts w:cs="Times New Roman"/>
      <w:b/>
      <w:i/>
      <w:iCs/>
      <w:color w:val="000000" w:themeColor="text1"/>
    </w:rPr>
  </w:style>
  <w:style w:type="paragraph" w:styleId="berschrift3">
    <w:name w:val="heading 3"/>
    <w:basedOn w:val="Standard"/>
    <w:next w:val="Standard"/>
    <w:qFormat/>
    <w:rsid w:val="00327006"/>
    <w:pPr>
      <w:keepNext/>
      <w:outlineLvl w:val="2"/>
    </w:pPr>
    <w:rPr>
      <w:b/>
    </w:rPr>
  </w:style>
  <w:style w:type="paragraph" w:styleId="berschrift4">
    <w:name w:val="heading 4"/>
    <w:basedOn w:val="Standard"/>
    <w:next w:val="Standard"/>
    <w:qFormat/>
    <w:rsid w:val="00327006"/>
    <w:pPr>
      <w:keepNext/>
      <w:outlineLvl w:val="3"/>
    </w:pPr>
    <w:rPr>
      <w:u w:val="single"/>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rsid w:val="00327006"/>
    <w:pPr>
      <w:jc w:val="center"/>
    </w:pPr>
    <w:rPr>
      <w:b/>
      <w:sz w:val="28"/>
      <w:lang w:val="en-AU"/>
    </w:rPr>
  </w:style>
  <w:style w:type="paragraph" w:styleId="Textkrper2">
    <w:name w:val="Body Text 2"/>
    <w:basedOn w:val="Standard"/>
    <w:semiHidden/>
    <w:rsid w:val="00327006"/>
    <w:pPr>
      <w:spacing w:after="120"/>
    </w:pPr>
  </w:style>
  <w:style w:type="paragraph" w:styleId="Textkrper3">
    <w:name w:val="Body Text 3"/>
    <w:basedOn w:val="Standard"/>
    <w:semiHidden/>
    <w:rsid w:val="00327006"/>
    <w:pPr>
      <w:spacing w:after="120"/>
    </w:pPr>
    <w:rPr>
      <w:sz w:val="16"/>
      <w:szCs w:val="16"/>
    </w:rPr>
  </w:style>
  <w:style w:type="paragraph" w:styleId="Textkrpereinzug">
    <w:name w:val="Body Text Indent"/>
    <w:basedOn w:val="Standard"/>
    <w:semiHidden/>
    <w:rsid w:val="00327006"/>
    <w:pPr>
      <w:spacing w:after="120"/>
      <w:ind w:left="360"/>
    </w:pPr>
  </w:style>
  <w:style w:type="paragraph" w:styleId="Textkrpereinzug2">
    <w:name w:val="Body Text Indent 2"/>
    <w:basedOn w:val="Standard"/>
    <w:semiHidden/>
    <w:rsid w:val="00327006"/>
    <w:pPr>
      <w:spacing w:after="120"/>
      <w:ind w:left="360"/>
    </w:pPr>
  </w:style>
  <w:style w:type="paragraph" w:styleId="NurText">
    <w:name w:val="Plain Text"/>
    <w:basedOn w:val="Standard"/>
    <w:semiHidden/>
    <w:rsid w:val="00327006"/>
    <w:rPr>
      <w:rFonts w:ascii="Courier New" w:eastAsia="Times New Roman" w:hAnsi="Courier New" w:cs="Geneva"/>
      <w:sz w:val="20"/>
      <w:lang w:val="en-US" w:eastAsia="en-US"/>
    </w:rPr>
  </w:style>
  <w:style w:type="character" w:styleId="Link">
    <w:name w:val="Hyperlink"/>
    <w:semiHidden/>
    <w:rsid w:val="00327006"/>
    <w:rPr>
      <w:color w:val="0000FF"/>
      <w:u w:val="single"/>
    </w:rPr>
  </w:style>
  <w:style w:type="paragraph" w:styleId="Sprechblasentext">
    <w:name w:val="Balloon Text"/>
    <w:basedOn w:val="Standard"/>
    <w:semiHidden/>
    <w:rsid w:val="00327006"/>
    <w:rPr>
      <w:rFonts w:ascii="Tahoma" w:hAnsi="Tahoma" w:cs="Times"/>
      <w:sz w:val="16"/>
      <w:szCs w:val="16"/>
    </w:rPr>
  </w:style>
  <w:style w:type="character" w:customStyle="1" w:styleId="AuthorsafiiliationChar">
    <w:name w:val="Author's afiiliation Char"/>
    <w:rsid w:val="00327006"/>
    <w:rPr>
      <w:i/>
      <w:noProof w:val="0"/>
      <w:sz w:val="24"/>
      <w:szCs w:val="24"/>
      <w:lang w:val="hr-HR" w:eastAsia="en-US" w:bidi="ar-SA"/>
    </w:rPr>
  </w:style>
  <w:style w:type="character" w:styleId="Zeilennummer">
    <w:name w:val="line number"/>
    <w:basedOn w:val="Absatzstandardschriftart"/>
    <w:semiHidden/>
    <w:rsid w:val="00327006"/>
  </w:style>
  <w:style w:type="paragraph" w:styleId="Fuzeile">
    <w:name w:val="footer"/>
    <w:basedOn w:val="Standard"/>
    <w:semiHidden/>
    <w:rsid w:val="00327006"/>
    <w:pPr>
      <w:tabs>
        <w:tab w:val="center" w:pos="4153"/>
        <w:tab w:val="right" w:pos="8306"/>
      </w:tabs>
    </w:pPr>
  </w:style>
  <w:style w:type="character" w:styleId="Seitenzahl">
    <w:name w:val="page number"/>
    <w:basedOn w:val="Absatzstandardschriftart"/>
    <w:semiHidden/>
    <w:rsid w:val="00327006"/>
  </w:style>
  <w:style w:type="character" w:styleId="Kommentarzeichen">
    <w:name w:val="annotation reference"/>
    <w:semiHidden/>
    <w:rsid w:val="00327006"/>
    <w:rPr>
      <w:sz w:val="18"/>
    </w:rPr>
  </w:style>
  <w:style w:type="paragraph" w:styleId="Kommentartext">
    <w:name w:val="annotation text"/>
    <w:basedOn w:val="Standard"/>
    <w:link w:val="KommentartextZeichen"/>
    <w:semiHidden/>
    <w:rsid w:val="00327006"/>
  </w:style>
  <w:style w:type="character" w:styleId="Herausstellen">
    <w:name w:val="Emphasis"/>
    <w:qFormat/>
    <w:rsid w:val="00327006"/>
    <w:rPr>
      <w:i/>
      <w:iCs/>
    </w:rPr>
  </w:style>
  <w:style w:type="character" w:customStyle="1" w:styleId="Heading5Char">
    <w:name w:val="Heading 5 Char"/>
    <w:locked/>
    <w:rsid w:val="00E75800"/>
    <w:rPr>
      <w:rFonts w:ascii="Arial" w:hAnsi="Arial"/>
      <w:b/>
      <w:bCs/>
      <w:iCs/>
      <w:sz w:val="22"/>
      <w:szCs w:val="26"/>
    </w:rPr>
  </w:style>
  <w:style w:type="paragraph" w:styleId="Kopfzeile">
    <w:name w:val="header"/>
    <w:basedOn w:val="Standard"/>
    <w:link w:val="KopfzeileZeichen"/>
    <w:uiPriority w:val="99"/>
    <w:unhideWhenUsed/>
    <w:rsid w:val="00A6586F"/>
    <w:pPr>
      <w:tabs>
        <w:tab w:val="clear" w:pos="0"/>
        <w:tab w:val="center" w:pos="4703"/>
        <w:tab w:val="right" w:pos="9406"/>
      </w:tabs>
    </w:pPr>
  </w:style>
  <w:style w:type="character" w:customStyle="1" w:styleId="KopfzeileZeichen">
    <w:name w:val="Kopfzeile Zeichen"/>
    <w:basedOn w:val="Absatzstandardschriftart"/>
    <w:link w:val="Kopfzeile"/>
    <w:uiPriority w:val="99"/>
    <w:rsid w:val="00A6586F"/>
    <w:rPr>
      <w:rFonts w:ascii="Times" w:eastAsia="Times" w:hAnsi="Times" w:cs="Arial"/>
      <w:sz w:val="24"/>
      <w:szCs w:val="24"/>
      <w:lang w:val="en-GB"/>
    </w:rPr>
  </w:style>
  <w:style w:type="paragraph" w:styleId="Kommentarthema">
    <w:name w:val="annotation subject"/>
    <w:basedOn w:val="Kommentartext"/>
    <w:next w:val="Kommentartext"/>
    <w:link w:val="KommentarthemaZeichen"/>
    <w:uiPriority w:val="99"/>
    <w:semiHidden/>
    <w:unhideWhenUsed/>
    <w:rsid w:val="005035F5"/>
    <w:rPr>
      <w:b/>
      <w:bCs/>
      <w:sz w:val="20"/>
      <w:szCs w:val="20"/>
    </w:rPr>
  </w:style>
  <w:style w:type="character" w:customStyle="1" w:styleId="KommentartextZeichen">
    <w:name w:val="Kommentartext Zeichen"/>
    <w:basedOn w:val="Absatzstandardschriftart"/>
    <w:link w:val="Kommentartext"/>
    <w:semiHidden/>
    <w:rsid w:val="005035F5"/>
    <w:rPr>
      <w:rFonts w:ascii="Times" w:eastAsia="Times" w:hAnsi="Times" w:cs="Arial"/>
      <w:sz w:val="24"/>
      <w:szCs w:val="24"/>
      <w:lang w:val="en-GB"/>
    </w:rPr>
  </w:style>
  <w:style w:type="character" w:customStyle="1" w:styleId="KommentarthemaZeichen">
    <w:name w:val="Kommentarthema Zeichen"/>
    <w:basedOn w:val="KommentartextZeichen"/>
    <w:link w:val="Kommentarthema"/>
    <w:uiPriority w:val="99"/>
    <w:semiHidden/>
    <w:rsid w:val="005035F5"/>
    <w:rPr>
      <w:rFonts w:ascii="Times" w:eastAsia="Times" w:hAnsi="Times" w:cs="Arial"/>
      <w:b/>
      <w:bCs/>
      <w:sz w:val="24"/>
      <w:szCs w:val="24"/>
      <w:lang w:val="en-GB"/>
    </w:rPr>
  </w:style>
  <w:style w:type="paragraph" w:styleId="Bearbeitung">
    <w:name w:val="Revision"/>
    <w:hidden/>
    <w:uiPriority w:val="71"/>
    <w:rsid w:val="00B120B1"/>
    <w:rPr>
      <w:rFonts w:ascii="Times" w:eastAsia="Times" w:hAnsi="Times" w:cs="Arial"/>
      <w:sz w:val="24"/>
      <w:szCs w:val="24"/>
      <w:lang w:val="en-GB"/>
    </w:rPr>
  </w:style>
  <w:style w:type="paragraph" w:styleId="StandardWeb">
    <w:name w:val="Normal (Web)"/>
    <w:basedOn w:val="Standard"/>
    <w:uiPriority w:val="99"/>
    <w:semiHidden/>
    <w:unhideWhenUsed/>
    <w:rsid w:val="00AA2A03"/>
    <w:pPr>
      <w:tabs>
        <w:tab w:val="clear" w:pos="0"/>
      </w:tabs>
      <w:spacing w:before="100" w:beforeAutospacing="1" w:after="100" w:afterAutospacing="1" w:line="240" w:lineRule="auto"/>
    </w:pPr>
    <w:rPr>
      <w:rFonts w:eastAsia="Times New Roman" w:cs="Times New Roman"/>
      <w:sz w:val="20"/>
      <w:szCs w:val="20"/>
      <w:lang w:val="de-DE"/>
    </w:rPr>
  </w:style>
  <w:style w:type="paragraph" w:customStyle="1" w:styleId="xmsonormal">
    <w:name w:val="x_msonormal"/>
    <w:basedOn w:val="Standard"/>
    <w:rsid w:val="009C581F"/>
    <w:pPr>
      <w:tabs>
        <w:tab w:val="clear" w:pos="0"/>
      </w:tabs>
      <w:spacing w:before="100" w:beforeAutospacing="1" w:after="100" w:afterAutospacing="1" w:line="240" w:lineRule="auto"/>
    </w:pPr>
    <w:rPr>
      <w:rFonts w:ascii="Times New Roman" w:eastAsia="Times New Roman" w:hAnsi="Times New Roman" w:cs="Times New Roman"/>
      <w:lang w:val="en-AU"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77E1C"/>
    <w:pPr>
      <w:tabs>
        <w:tab w:val="left" w:pos="0"/>
      </w:tabs>
      <w:spacing w:line="480" w:lineRule="auto"/>
    </w:pPr>
    <w:rPr>
      <w:rFonts w:ascii="Times" w:eastAsia="Times" w:hAnsi="Times" w:cs="Arial"/>
      <w:sz w:val="24"/>
      <w:szCs w:val="24"/>
      <w:lang w:val="en-GB"/>
    </w:rPr>
  </w:style>
  <w:style w:type="paragraph" w:styleId="berschrift1">
    <w:name w:val="heading 1"/>
    <w:basedOn w:val="Standard"/>
    <w:next w:val="Standard"/>
    <w:qFormat/>
    <w:rsid w:val="005A1691"/>
    <w:pPr>
      <w:keepNext/>
      <w:spacing w:after="240" w:line="360" w:lineRule="auto"/>
      <w:ind w:left="709" w:hanging="709"/>
      <w:outlineLvl w:val="0"/>
    </w:pPr>
    <w:rPr>
      <w:b/>
      <w:lang w:val="en-AU"/>
    </w:rPr>
  </w:style>
  <w:style w:type="paragraph" w:styleId="berschrift2">
    <w:name w:val="heading 2"/>
    <w:basedOn w:val="Standard"/>
    <w:next w:val="Standard"/>
    <w:qFormat/>
    <w:rsid w:val="005A1691"/>
    <w:pPr>
      <w:jc w:val="both"/>
      <w:outlineLvl w:val="1"/>
    </w:pPr>
    <w:rPr>
      <w:rFonts w:cs="Times New Roman"/>
      <w:b/>
      <w:i/>
      <w:iCs/>
      <w:color w:val="000000" w:themeColor="text1"/>
    </w:rPr>
  </w:style>
  <w:style w:type="paragraph" w:styleId="berschrift3">
    <w:name w:val="heading 3"/>
    <w:basedOn w:val="Standard"/>
    <w:next w:val="Standard"/>
    <w:qFormat/>
    <w:rsid w:val="00327006"/>
    <w:pPr>
      <w:keepNext/>
      <w:outlineLvl w:val="2"/>
    </w:pPr>
    <w:rPr>
      <w:b/>
    </w:rPr>
  </w:style>
  <w:style w:type="paragraph" w:styleId="berschrift4">
    <w:name w:val="heading 4"/>
    <w:basedOn w:val="Standard"/>
    <w:next w:val="Standard"/>
    <w:qFormat/>
    <w:rsid w:val="00327006"/>
    <w:pPr>
      <w:keepNext/>
      <w:outlineLvl w:val="3"/>
    </w:pPr>
    <w:rPr>
      <w:u w:val="single"/>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rsid w:val="00327006"/>
    <w:pPr>
      <w:jc w:val="center"/>
    </w:pPr>
    <w:rPr>
      <w:b/>
      <w:sz w:val="28"/>
      <w:lang w:val="en-AU"/>
    </w:rPr>
  </w:style>
  <w:style w:type="paragraph" w:styleId="Textkrper2">
    <w:name w:val="Body Text 2"/>
    <w:basedOn w:val="Standard"/>
    <w:semiHidden/>
    <w:rsid w:val="00327006"/>
    <w:pPr>
      <w:spacing w:after="120"/>
    </w:pPr>
  </w:style>
  <w:style w:type="paragraph" w:styleId="Textkrper3">
    <w:name w:val="Body Text 3"/>
    <w:basedOn w:val="Standard"/>
    <w:semiHidden/>
    <w:rsid w:val="00327006"/>
    <w:pPr>
      <w:spacing w:after="120"/>
    </w:pPr>
    <w:rPr>
      <w:sz w:val="16"/>
      <w:szCs w:val="16"/>
    </w:rPr>
  </w:style>
  <w:style w:type="paragraph" w:styleId="Textkrpereinzug">
    <w:name w:val="Body Text Indent"/>
    <w:basedOn w:val="Standard"/>
    <w:semiHidden/>
    <w:rsid w:val="00327006"/>
    <w:pPr>
      <w:spacing w:after="120"/>
      <w:ind w:left="360"/>
    </w:pPr>
  </w:style>
  <w:style w:type="paragraph" w:styleId="Textkrpereinzug2">
    <w:name w:val="Body Text Indent 2"/>
    <w:basedOn w:val="Standard"/>
    <w:semiHidden/>
    <w:rsid w:val="00327006"/>
    <w:pPr>
      <w:spacing w:after="120"/>
      <w:ind w:left="360"/>
    </w:pPr>
  </w:style>
  <w:style w:type="paragraph" w:styleId="NurText">
    <w:name w:val="Plain Text"/>
    <w:basedOn w:val="Standard"/>
    <w:semiHidden/>
    <w:rsid w:val="00327006"/>
    <w:rPr>
      <w:rFonts w:ascii="Courier New" w:eastAsia="Times New Roman" w:hAnsi="Courier New" w:cs="Geneva"/>
      <w:sz w:val="20"/>
      <w:lang w:val="en-US" w:eastAsia="en-US"/>
    </w:rPr>
  </w:style>
  <w:style w:type="character" w:styleId="Link">
    <w:name w:val="Hyperlink"/>
    <w:semiHidden/>
    <w:rsid w:val="00327006"/>
    <w:rPr>
      <w:color w:val="0000FF"/>
      <w:u w:val="single"/>
    </w:rPr>
  </w:style>
  <w:style w:type="paragraph" w:styleId="Sprechblasentext">
    <w:name w:val="Balloon Text"/>
    <w:basedOn w:val="Standard"/>
    <w:semiHidden/>
    <w:rsid w:val="00327006"/>
    <w:rPr>
      <w:rFonts w:ascii="Tahoma" w:hAnsi="Tahoma" w:cs="Times"/>
      <w:sz w:val="16"/>
      <w:szCs w:val="16"/>
    </w:rPr>
  </w:style>
  <w:style w:type="character" w:customStyle="1" w:styleId="AuthorsafiiliationChar">
    <w:name w:val="Author's afiiliation Char"/>
    <w:rsid w:val="00327006"/>
    <w:rPr>
      <w:i/>
      <w:noProof w:val="0"/>
      <w:sz w:val="24"/>
      <w:szCs w:val="24"/>
      <w:lang w:val="hr-HR" w:eastAsia="en-US" w:bidi="ar-SA"/>
    </w:rPr>
  </w:style>
  <w:style w:type="character" w:styleId="Zeilennummer">
    <w:name w:val="line number"/>
    <w:basedOn w:val="Absatzstandardschriftart"/>
    <w:semiHidden/>
    <w:rsid w:val="00327006"/>
  </w:style>
  <w:style w:type="paragraph" w:styleId="Fuzeile">
    <w:name w:val="footer"/>
    <w:basedOn w:val="Standard"/>
    <w:semiHidden/>
    <w:rsid w:val="00327006"/>
    <w:pPr>
      <w:tabs>
        <w:tab w:val="center" w:pos="4153"/>
        <w:tab w:val="right" w:pos="8306"/>
      </w:tabs>
    </w:pPr>
  </w:style>
  <w:style w:type="character" w:styleId="Seitenzahl">
    <w:name w:val="page number"/>
    <w:basedOn w:val="Absatzstandardschriftart"/>
    <w:semiHidden/>
    <w:rsid w:val="00327006"/>
  </w:style>
  <w:style w:type="character" w:styleId="Kommentarzeichen">
    <w:name w:val="annotation reference"/>
    <w:semiHidden/>
    <w:rsid w:val="00327006"/>
    <w:rPr>
      <w:sz w:val="18"/>
    </w:rPr>
  </w:style>
  <w:style w:type="paragraph" w:styleId="Kommentartext">
    <w:name w:val="annotation text"/>
    <w:basedOn w:val="Standard"/>
    <w:link w:val="KommentartextZeichen"/>
    <w:semiHidden/>
    <w:rsid w:val="00327006"/>
  </w:style>
  <w:style w:type="character" w:styleId="Herausstellen">
    <w:name w:val="Emphasis"/>
    <w:qFormat/>
    <w:rsid w:val="00327006"/>
    <w:rPr>
      <w:i/>
      <w:iCs/>
    </w:rPr>
  </w:style>
  <w:style w:type="character" w:customStyle="1" w:styleId="Heading5Char">
    <w:name w:val="Heading 5 Char"/>
    <w:locked/>
    <w:rsid w:val="00E75800"/>
    <w:rPr>
      <w:rFonts w:ascii="Arial" w:hAnsi="Arial"/>
      <w:b/>
      <w:bCs/>
      <w:iCs/>
      <w:sz w:val="22"/>
      <w:szCs w:val="26"/>
    </w:rPr>
  </w:style>
  <w:style w:type="paragraph" w:styleId="Kopfzeile">
    <w:name w:val="header"/>
    <w:basedOn w:val="Standard"/>
    <w:link w:val="KopfzeileZeichen"/>
    <w:uiPriority w:val="99"/>
    <w:unhideWhenUsed/>
    <w:rsid w:val="00A6586F"/>
    <w:pPr>
      <w:tabs>
        <w:tab w:val="clear" w:pos="0"/>
        <w:tab w:val="center" w:pos="4703"/>
        <w:tab w:val="right" w:pos="9406"/>
      </w:tabs>
    </w:pPr>
  </w:style>
  <w:style w:type="character" w:customStyle="1" w:styleId="KopfzeileZeichen">
    <w:name w:val="Kopfzeile Zeichen"/>
    <w:basedOn w:val="Absatzstandardschriftart"/>
    <w:link w:val="Kopfzeile"/>
    <w:uiPriority w:val="99"/>
    <w:rsid w:val="00A6586F"/>
    <w:rPr>
      <w:rFonts w:ascii="Times" w:eastAsia="Times" w:hAnsi="Times" w:cs="Arial"/>
      <w:sz w:val="24"/>
      <w:szCs w:val="24"/>
      <w:lang w:val="en-GB"/>
    </w:rPr>
  </w:style>
  <w:style w:type="paragraph" w:styleId="Kommentarthema">
    <w:name w:val="annotation subject"/>
    <w:basedOn w:val="Kommentartext"/>
    <w:next w:val="Kommentartext"/>
    <w:link w:val="KommentarthemaZeichen"/>
    <w:uiPriority w:val="99"/>
    <w:semiHidden/>
    <w:unhideWhenUsed/>
    <w:rsid w:val="005035F5"/>
    <w:rPr>
      <w:b/>
      <w:bCs/>
      <w:sz w:val="20"/>
      <w:szCs w:val="20"/>
    </w:rPr>
  </w:style>
  <w:style w:type="character" w:customStyle="1" w:styleId="KommentartextZeichen">
    <w:name w:val="Kommentartext Zeichen"/>
    <w:basedOn w:val="Absatzstandardschriftart"/>
    <w:link w:val="Kommentartext"/>
    <w:semiHidden/>
    <w:rsid w:val="005035F5"/>
    <w:rPr>
      <w:rFonts w:ascii="Times" w:eastAsia="Times" w:hAnsi="Times" w:cs="Arial"/>
      <w:sz w:val="24"/>
      <w:szCs w:val="24"/>
      <w:lang w:val="en-GB"/>
    </w:rPr>
  </w:style>
  <w:style w:type="character" w:customStyle="1" w:styleId="KommentarthemaZeichen">
    <w:name w:val="Kommentarthema Zeichen"/>
    <w:basedOn w:val="KommentartextZeichen"/>
    <w:link w:val="Kommentarthema"/>
    <w:uiPriority w:val="99"/>
    <w:semiHidden/>
    <w:rsid w:val="005035F5"/>
    <w:rPr>
      <w:rFonts w:ascii="Times" w:eastAsia="Times" w:hAnsi="Times" w:cs="Arial"/>
      <w:b/>
      <w:bCs/>
      <w:sz w:val="24"/>
      <w:szCs w:val="24"/>
      <w:lang w:val="en-GB"/>
    </w:rPr>
  </w:style>
  <w:style w:type="paragraph" w:styleId="Bearbeitung">
    <w:name w:val="Revision"/>
    <w:hidden/>
    <w:uiPriority w:val="71"/>
    <w:rsid w:val="00B120B1"/>
    <w:rPr>
      <w:rFonts w:ascii="Times" w:eastAsia="Times" w:hAnsi="Times" w:cs="Arial"/>
      <w:sz w:val="24"/>
      <w:szCs w:val="24"/>
      <w:lang w:val="en-GB"/>
    </w:rPr>
  </w:style>
  <w:style w:type="paragraph" w:styleId="StandardWeb">
    <w:name w:val="Normal (Web)"/>
    <w:basedOn w:val="Standard"/>
    <w:uiPriority w:val="99"/>
    <w:semiHidden/>
    <w:unhideWhenUsed/>
    <w:rsid w:val="00AA2A03"/>
    <w:pPr>
      <w:tabs>
        <w:tab w:val="clear" w:pos="0"/>
      </w:tabs>
      <w:spacing w:before="100" w:beforeAutospacing="1" w:after="100" w:afterAutospacing="1" w:line="240" w:lineRule="auto"/>
    </w:pPr>
    <w:rPr>
      <w:rFonts w:eastAsia="Times New Roman" w:cs="Times New Roman"/>
      <w:sz w:val="20"/>
      <w:szCs w:val="20"/>
      <w:lang w:val="de-DE"/>
    </w:rPr>
  </w:style>
  <w:style w:type="paragraph" w:customStyle="1" w:styleId="xmsonormal">
    <w:name w:val="x_msonormal"/>
    <w:basedOn w:val="Standard"/>
    <w:rsid w:val="009C581F"/>
    <w:pPr>
      <w:tabs>
        <w:tab w:val="clear" w:pos="0"/>
      </w:tabs>
      <w:spacing w:before="100" w:beforeAutospacing="1" w:after="100" w:afterAutospacing="1" w:line="240" w:lineRule="auto"/>
    </w:pPr>
    <w:rPr>
      <w:rFonts w:ascii="Times New Roman" w:eastAsia="Times New Roman" w:hAnsi="Times New Roman" w:cs="Times New Roman"/>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07216">
      <w:bodyDiv w:val="1"/>
      <w:marLeft w:val="0"/>
      <w:marRight w:val="0"/>
      <w:marTop w:val="0"/>
      <w:marBottom w:val="0"/>
      <w:divBdr>
        <w:top w:val="none" w:sz="0" w:space="0" w:color="auto"/>
        <w:left w:val="none" w:sz="0" w:space="0" w:color="auto"/>
        <w:bottom w:val="none" w:sz="0" w:space="0" w:color="auto"/>
        <w:right w:val="none" w:sz="0" w:space="0" w:color="auto"/>
      </w:divBdr>
    </w:div>
    <w:div w:id="224797245">
      <w:bodyDiv w:val="1"/>
      <w:marLeft w:val="0"/>
      <w:marRight w:val="0"/>
      <w:marTop w:val="0"/>
      <w:marBottom w:val="0"/>
      <w:divBdr>
        <w:top w:val="none" w:sz="0" w:space="0" w:color="auto"/>
        <w:left w:val="none" w:sz="0" w:space="0" w:color="auto"/>
        <w:bottom w:val="none" w:sz="0" w:space="0" w:color="auto"/>
        <w:right w:val="none" w:sz="0" w:space="0" w:color="auto"/>
      </w:divBdr>
    </w:div>
    <w:div w:id="493256637">
      <w:bodyDiv w:val="1"/>
      <w:marLeft w:val="0"/>
      <w:marRight w:val="0"/>
      <w:marTop w:val="0"/>
      <w:marBottom w:val="0"/>
      <w:divBdr>
        <w:top w:val="none" w:sz="0" w:space="0" w:color="auto"/>
        <w:left w:val="none" w:sz="0" w:space="0" w:color="auto"/>
        <w:bottom w:val="none" w:sz="0" w:space="0" w:color="auto"/>
        <w:right w:val="none" w:sz="0" w:space="0" w:color="auto"/>
      </w:divBdr>
    </w:div>
    <w:div w:id="497230223">
      <w:bodyDiv w:val="1"/>
      <w:marLeft w:val="0"/>
      <w:marRight w:val="0"/>
      <w:marTop w:val="0"/>
      <w:marBottom w:val="0"/>
      <w:divBdr>
        <w:top w:val="none" w:sz="0" w:space="0" w:color="auto"/>
        <w:left w:val="none" w:sz="0" w:space="0" w:color="auto"/>
        <w:bottom w:val="none" w:sz="0" w:space="0" w:color="auto"/>
        <w:right w:val="none" w:sz="0" w:space="0" w:color="auto"/>
      </w:divBdr>
    </w:div>
    <w:div w:id="504980995">
      <w:bodyDiv w:val="1"/>
      <w:marLeft w:val="0"/>
      <w:marRight w:val="0"/>
      <w:marTop w:val="0"/>
      <w:marBottom w:val="0"/>
      <w:divBdr>
        <w:top w:val="none" w:sz="0" w:space="0" w:color="auto"/>
        <w:left w:val="none" w:sz="0" w:space="0" w:color="auto"/>
        <w:bottom w:val="none" w:sz="0" w:space="0" w:color="auto"/>
        <w:right w:val="none" w:sz="0" w:space="0" w:color="auto"/>
      </w:divBdr>
    </w:div>
    <w:div w:id="521169036">
      <w:bodyDiv w:val="1"/>
      <w:marLeft w:val="0"/>
      <w:marRight w:val="0"/>
      <w:marTop w:val="0"/>
      <w:marBottom w:val="0"/>
      <w:divBdr>
        <w:top w:val="none" w:sz="0" w:space="0" w:color="auto"/>
        <w:left w:val="none" w:sz="0" w:space="0" w:color="auto"/>
        <w:bottom w:val="none" w:sz="0" w:space="0" w:color="auto"/>
        <w:right w:val="none" w:sz="0" w:space="0" w:color="auto"/>
      </w:divBdr>
    </w:div>
    <w:div w:id="532545608">
      <w:bodyDiv w:val="1"/>
      <w:marLeft w:val="0"/>
      <w:marRight w:val="0"/>
      <w:marTop w:val="0"/>
      <w:marBottom w:val="0"/>
      <w:divBdr>
        <w:top w:val="none" w:sz="0" w:space="0" w:color="auto"/>
        <w:left w:val="none" w:sz="0" w:space="0" w:color="auto"/>
        <w:bottom w:val="none" w:sz="0" w:space="0" w:color="auto"/>
        <w:right w:val="none" w:sz="0" w:space="0" w:color="auto"/>
      </w:divBdr>
    </w:div>
    <w:div w:id="686062430">
      <w:bodyDiv w:val="1"/>
      <w:marLeft w:val="0"/>
      <w:marRight w:val="0"/>
      <w:marTop w:val="0"/>
      <w:marBottom w:val="0"/>
      <w:divBdr>
        <w:top w:val="none" w:sz="0" w:space="0" w:color="auto"/>
        <w:left w:val="none" w:sz="0" w:space="0" w:color="auto"/>
        <w:bottom w:val="none" w:sz="0" w:space="0" w:color="auto"/>
        <w:right w:val="none" w:sz="0" w:space="0" w:color="auto"/>
      </w:divBdr>
      <w:divsChild>
        <w:div w:id="1654871177">
          <w:marLeft w:val="0"/>
          <w:marRight w:val="0"/>
          <w:marTop w:val="0"/>
          <w:marBottom w:val="0"/>
          <w:divBdr>
            <w:top w:val="none" w:sz="0" w:space="0" w:color="auto"/>
            <w:left w:val="none" w:sz="0" w:space="0" w:color="auto"/>
            <w:bottom w:val="none" w:sz="0" w:space="0" w:color="auto"/>
            <w:right w:val="none" w:sz="0" w:space="0" w:color="auto"/>
          </w:divBdr>
          <w:divsChild>
            <w:div w:id="1763187413">
              <w:marLeft w:val="0"/>
              <w:marRight w:val="0"/>
              <w:marTop w:val="0"/>
              <w:marBottom w:val="0"/>
              <w:divBdr>
                <w:top w:val="none" w:sz="0" w:space="0" w:color="auto"/>
                <w:left w:val="none" w:sz="0" w:space="0" w:color="auto"/>
                <w:bottom w:val="none" w:sz="0" w:space="0" w:color="auto"/>
                <w:right w:val="none" w:sz="0" w:space="0" w:color="auto"/>
              </w:divBdr>
              <w:divsChild>
                <w:div w:id="128327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876023">
      <w:bodyDiv w:val="1"/>
      <w:marLeft w:val="0"/>
      <w:marRight w:val="0"/>
      <w:marTop w:val="0"/>
      <w:marBottom w:val="0"/>
      <w:divBdr>
        <w:top w:val="none" w:sz="0" w:space="0" w:color="auto"/>
        <w:left w:val="none" w:sz="0" w:space="0" w:color="auto"/>
        <w:bottom w:val="none" w:sz="0" w:space="0" w:color="auto"/>
        <w:right w:val="none" w:sz="0" w:space="0" w:color="auto"/>
      </w:divBdr>
    </w:div>
    <w:div w:id="799301457">
      <w:bodyDiv w:val="1"/>
      <w:marLeft w:val="0"/>
      <w:marRight w:val="0"/>
      <w:marTop w:val="0"/>
      <w:marBottom w:val="0"/>
      <w:divBdr>
        <w:top w:val="none" w:sz="0" w:space="0" w:color="auto"/>
        <w:left w:val="none" w:sz="0" w:space="0" w:color="auto"/>
        <w:bottom w:val="none" w:sz="0" w:space="0" w:color="auto"/>
        <w:right w:val="none" w:sz="0" w:space="0" w:color="auto"/>
      </w:divBdr>
    </w:div>
    <w:div w:id="853543244">
      <w:bodyDiv w:val="1"/>
      <w:marLeft w:val="0"/>
      <w:marRight w:val="0"/>
      <w:marTop w:val="0"/>
      <w:marBottom w:val="0"/>
      <w:divBdr>
        <w:top w:val="none" w:sz="0" w:space="0" w:color="auto"/>
        <w:left w:val="none" w:sz="0" w:space="0" w:color="auto"/>
        <w:bottom w:val="none" w:sz="0" w:space="0" w:color="auto"/>
        <w:right w:val="none" w:sz="0" w:space="0" w:color="auto"/>
      </w:divBdr>
    </w:div>
    <w:div w:id="890848969">
      <w:bodyDiv w:val="1"/>
      <w:marLeft w:val="0"/>
      <w:marRight w:val="0"/>
      <w:marTop w:val="0"/>
      <w:marBottom w:val="0"/>
      <w:divBdr>
        <w:top w:val="none" w:sz="0" w:space="0" w:color="auto"/>
        <w:left w:val="none" w:sz="0" w:space="0" w:color="auto"/>
        <w:bottom w:val="none" w:sz="0" w:space="0" w:color="auto"/>
        <w:right w:val="none" w:sz="0" w:space="0" w:color="auto"/>
      </w:divBdr>
    </w:div>
    <w:div w:id="993067060">
      <w:bodyDiv w:val="1"/>
      <w:marLeft w:val="0"/>
      <w:marRight w:val="0"/>
      <w:marTop w:val="0"/>
      <w:marBottom w:val="0"/>
      <w:divBdr>
        <w:top w:val="none" w:sz="0" w:space="0" w:color="auto"/>
        <w:left w:val="none" w:sz="0" w:space="0" w:color="auto"/>
        <w:bottom w:val="none" w:sz="0" w:space="0" w:color="auto"/>
        <w:right w:val="none" w:sz="0" w:space="0" w:color="auto"/>
      </w:divBdr>
      <w:divsChild>
        <w:div w:id="1180698179">
          <w:marLeft w:val="0"/>
          <w:marRight w:val="0"/>
          <w:marTop w:val="0"/>
          <w:marBottom w:val="0"/>
          <w:divBdr>
            <w:top w:val="none" w:sz="0" w:space="0" w:color="auto"/>
            <w:left w:val="none" w:sz="0" w:space="0" w:color="auto"/>
            <w:bottom w:val="none" w:sz="0" w:space="0" w:color="auto"/>
            <w:right w:val="none" w:sz="0" w:space="0" w:color="auto"/>
          </w:divBdr>
          <w:divsChild>
            <w:div w:id="887300837">
              <w:marLeft w:val="0"/>
              <w:marRight w:val="0"/>
              <w:marTop w:val="0"/>
              <w:marBottom w:val="0"/>
              <w:divBdr>
                <w:top w:val="none" w:sz="0" w:space="0" w:color="auto"/>
                <w:left w:val="none" w:sz="0" w:space="0" w:color="auto"/>
                <w:bottom w:val="none" w:sz="0" w:space="0" w:color="auto"/>
                <w:right w:val="none" w:sz="0" w:space="0" w:color="auto"/>
              </w:divBdr>
              <w:divsChild>
                <w:div w:id="64955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677107">
      <w:bodyDiv w:val="1"/>
      <w:marLeft w:val="0"/>
      <w:marRight w:val="0"/>
      <w:marTop w:val="0"/>
      <w:marBottom w:val="0"/>
      <w:divBdr>
        <w:top w:val="none" w:sz="0" w:space="0" w:color="auto"/>
        <w:left w:val="none" w:sz="0" w:space="0" w:color="auto"/>
        <w:bottom w:val="none" w:sz="0" w:space="0" w:color="auto"/>
        <w:right w:val="none" w:sz="0" w:space="0" w:color="auto"/>
      </w:divBdr>
    </w:div>
    <w:div w:id="1316952295">
      <w:bodyDiv w:val="1"/>
      <w:marLeft w:val="0"/>
      <w:marRight w:val="0"/>
      <w:marTop w:val="0"/>
      <w:marBottom w:val="0"/>
      <w:divBdr>
        <w:top w:val="none" w:sz="0" w:space="0" w:color="auto"/>
        <w:left w:val="none" w:sz="0" w:space="0" w:color="auto"/>
        <w:bottom w:val="none" w:sz="0" w:space="0" w:color="auto"/>
        <w:right w:val="none" w:sz="0" w:space="0" w:color="auto"/>
      </w:divBdr>
    </w:div>
    <w:div w:id="1332101873">
      <w:bodyDiv w:val="1"/>
      <w:marLeft w:val="0"/>
      <w:marRight w:val="0"/>
      <w:marTop w:val="0"/>
      <w:marBottom w:val="0"/>
      <w:divBdr>
        <w:top w:val="none" w:sz="0" w:space="0" w:color="auto"/>
        <w:left w:val="none" w:sz="0" w:space="0" w:color="auto"/>
        <w:bottom w:val="none" w:sz="0" w:space="0" w:color="auto"/>
        <w:right w:val="none" w:sz="0" w:space="0" w:color="auto"/>
      </w:divBdr>
    </w:div>
    <w:div w:id="1341734562">
      <w:bodyDiv w:val="1"/>
      <w:marLeft w:val="0"/>
      <w:marRight w:val="0"/>
      <w:marTop w:val="0"/>
      <w:marBottom w:val="0"/>
      <w:divBdr>
        <w:top w:val="none" w:sz="0" w:space="0" w:color="auto"/>
        <w:left w:val="none" w:sz="0" w:space="0" w:color="auto"/>
        <w:bottom w:val="none" w:sz="0" w:space="0" w:color="auto"/>
        <w:right w:val="none" w:sz="0" w:space="0" w:color="auto"/>
      </w:divBdr>
    </w:div>
    <w:div w:id="1373533101">
      <w:bodyDiv w:val="1"/>
      <w:marLeft w:val="0"/>
      <w:marRight w:val="0"/>
      <w:marTop w:val="0"/>
      <w:marBottom w:val="0"/>
      <w:divBdr>
        <w:top w:val="none" w:sz="0" w:space="0" w:color="auto"/>
        <w:left w:val="none" w:sz="0" w:space="0" w:color="auto"/>
        <w:bottom w:val="none" w:sz="0" w:space="0" w:color="auto"/>
        <w:right w:val="none" w:sz="0" w:space="0" w:color="auto"/>
      </w:divBdr>
      <w:divsChild>
        <w:div w:id="846793290">
          <w:marLeft w:val="0"/>
          <w:marRight w:val="0"/>
          <w:marTop w:val="0"/>
          <w:marBottom w:val="0"/>
          <w:divBdr>
            <w:top w:val="none" w:sz="0" w:space="0" w:color="auto"/>
            <w:left w:val="none" w:sz="0" w:space="0" w:color="auto"/>
            <w:bottom w:val="none" w:sz="0" w:space="0" w:color="auto"/>
            <w:right w:val="none" w:sz="0" w:space="0" w:color="auto"/>
          </w:divBdr>
          <w:divsChild>
            <w:div w:id="484972924">
              <w:marLeft w:val="0"/>
              <w:marRight w:val="0"/>
              <w:marTop w:val="0"/>
              <w:marBottom w:val="0"/>
              <w:divBdr>
                <w:top w:val="none" w:sz="0" w:space="0" w:color="auto"/>
                <w:left w:val="none" w:sz="0" w:space="0" w:color="auto"/>
                <w:bottom w:val="none" w:sz="0" w:space="0" w:color="auto"/>
                <w:right w:val="none" w:sz="0" w:space="0" w:color="auto"/>
              </w:divBdr>
              <w:divsChild>
                <w:div w:id="170231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411726">
      <w:bodyDiv w:val="1"/>
      <w:marLeft w:val="0"/>
      <w:marRight w:val="0"/>
      <w:marTop w:val="0"/>
      <w:marBottom w:val="0"/>
      <w:divBdr>
        <w:top w:val="none" w:sz="0" w:space="0" w:color="auto"/>
        <w:left w:val="none" w:sz="0" w:space="0" w:color="auto"/>
        <w:bottom w:val="none" w:sz="0" w:space="0" w:color="auto"/>
        <w:right w:val="none" w:sz="0" w:space="0" w:color="auto"/>
      </w:divBdr>
    </w:div>
    <w:div w:id="1491173351">
      <w:bodyDiv w:val="1"/>
      <w:marLeft w:val="0"/>
      <w:marRight w:val="0"/>
      <w:marTop w:val="0"/>
      <w:marBottom w:val="0"/>
      <w:divBdr>
        <w:top w:val="none" w:sz="0" w:space="0" w:color="auto"/>
        <w:left w:val="none" w:sz="0" w:space="0" w:color="auto"/>
        <w:bottom w:val="none" w:sz="0" w:space="0" w:color="auto"/>
        <w:right w:val="none" w:sz="0" w:space="0" w:color="auto"/>
      </w:divBdr>
    </w:div>
    <w:div w:id="1494878609">
      <w:bodyDiv w:val="1"/>
      <w:marLeft w:val="0"/>
      <w:marRight w:val="0"/>
      <w:marTop w:val="0"/>
      <w:marBottom w:val="0"/>
      <w:divBdr>
        <w:top w:val="none" w:sz="0" w:space="0" w:color="auto"/>
        <w:left w:val="none" w:sz="0" w:space="0" w:color="auto"/>
        <w:bottom w:val="none" w:sz="0" w:space="0" w:color="auto"/>
        <w:right w:val="none" w:sz="0" w:space="0" w:color="auto"/>
      </w:divBdr>
    </w:div>
    <w:div w:id="1755123903">
      <w:bodyDiv w:val="1"/>
      <w:marLeft w:val="0"/>
      <w:marRight w:val="0"/>
      <w:marTop w:val="0"/>
      <w:marBottom w:val="0"/>
      <w:divBdr>
        <w:top w:val="none" w:sz="0" w:space="0" w:color="auto"/>
        <w:left w:val="none" w:sz="0" w:space="0" w:color="auto"/>
        <w:bottom w:val="none" w:sz="0" w:space="0" w:color="auto"/>
        <w:right w:val="none" w:sz="0" w:space="0" w:color="auto"/>
      </w:divBdr>
    </w:div>
    <w:div w:id="1788966336">
      <w:bodyDiv w:val="1"/>
      <w:marLeft w:val="0"/>
      <w:marRight w:val="0"/>
      <w:marTop w:val="0"/>
      <w:marBottom w:val="0"/>
      <w:divBdr>
        <w:top w:val="none" w:sz="0" w:space="0" w:color="auto"/>
        <w:left w:val="none" w:sz="0" w:space="0" w:color="auto"/>
        <w:bottom w:val="none" w:sz="0" w:space="0" w:color="auto"/>
        <w:right w:val="none" w:sz="0" w:space="0" w:color="auto"/>
      </w:divBdr>
    </w:div>
    <w:div w:id="1934895169">
      <w:bodyDiv w:val="1"/>
      <w:marLeft w:val="0"/>
      <w:marRight w:val="0"/>
      <w:marTop w:val="0"/>
      <w:marBottom w:val="0"/>
      <w:divBdr>
        <w:top w:val="none" w:sz="0" w:space="0" w:color="auto"/>
        <w:left w:val="none" w:sz="0" w:space="0" w:color="auto"/>
        <w:bottom w:val="none" w:sz="0" w:space="0" w:color="auto"/>
        <w:right w:val="none" w:sz="0" w:space="0" w:color="auto"/>
      </w:divBdr>
    </w:div>
    <w:div w:id="1960143492">
      <w:bodyDiv w:val="1"/>
      <w:marLeft w:val="0"/>
      <w:marRight w:val="0"/>
      <w:marTop w:val="0"/>
      <w:marBottom w:val="0"/>
      <w:divBdr>
        <w:top w:val="none" w:sz="0" w:space="0" w:color="auto"/>
        <w:left w:val="none" w:sz="0" w:space="0" w:color="auto"/>
        <w:bottom w:val="none" w:sz="0" w:space="0" w:color="auto"/>
        <w:right w:val="none" w:sz="0" w:space="0" w:color="auto"/>
      </w:divBdr>
    </w:div>
    <w:div w:id="1986204758">
      <w:bodyDiv w:val="1"/>
      <w:marLeft w:val="0"/>
      <w:marRight w:val="0"/>
      <w:marTop w:val="0"/>
      <w:marBottom w:val="0"/>
      <w:divBdr>
        <w:top w:val="none" w:sz="0" w:space="0" w:color="auto"/>
        <w:left w:val="none" w:sz="0" w:space="0" w:color="auto"/>
        <w:bottom w:val="none" w:sz="0" w:space="0" w:color="auto"/>
        <w:right w:val="none" w:sz="0" w:space="0" w:color="auto"/>
      </w:divBdr>
    </w:div>
    <w:div w:id="1988515407">
      <w:bodyDiv w:val="1"/>
      <w:marLeft w:val="0"/>
      <w:marRight w:val="0"/>
      <w:marTop w:val="0"/>
      <w:marBottom w:val="0"/>
      <w:divBdr>
        <w:top w:val="none" w:sz="0" w:space="0" w:color="auto"/>
        <w:left w:val="none" w:sz="0" w:space="0" w:color="auto"/>
        <w:bottom w:val="none" w:sz="0" w:space="0" w:color="auto"/>
        <w:right w:val="none" w:sz="0" w:space="0" w:color="auto"/>
      </w:divBdr>
    </w:div>
    <w:div w:id="20086352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8" Type="http://schemas.microsoft.com/office/2011/relationships/people" Target="peop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3408</Words>
  <Characters>21476</Characters>
  <Application>Microsoft Macintosh Word</Application>
  <DocSecurity>0</DocSecurity>
  <Lines>178</Lines>
  <Paragraphs>49</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MELTING AND ENRICHMENT PROCESSES IN THE CENTRAL SLAVE CRATON, (CANADA) PART I: PLUME VERSUS STACKING</vt:lpstr>
      <vt:lpstr>MELTING AND ENRICHMENT PROCESSES IN THE CENTRAL SLAVE CRATON, (CANADA) PART I: PLUME VERSUS STACKING</vt:lpstr>
      <vt:lpstr>MELTING AND ENRICHMENT PROCESSES IN THE CENTRAL SLAVE CRATON, (CANADA) PART I: PLUME VERSUS STACKING</vt:lpstr>
    </vt:vector>
  </TitlesOfParts>
  <Company>University of Maryland</Company>
  <LinksUpToDate>false</LinksUpToDate>
  <CharactersWithSpaces>24835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MELTING AND ENRICHMENT PROCESSES IN THE CENTRAL SLAVE CRATON, (CANADA) PART I: PLUME VERSUS STACKING</dc:title>
  <dc:creator>Geology</dc:creator>
  <cp:lastModifiedBy>Sonja Aulbach</cp:lastModifiedBy>
  <cp:revision>3</cp:revision>
  <cp:lastPrinted>2012-10-16T14:19:00Z</cp:lastPrinted>
  <dcterms:created xsi:type="dcterms:W3CDTF">2020-09-14T06:06:00Z</dcterms:created>
  <dcterms:modified xsi:type="dcterms:W3CDTF">2020-09-14T06:06:00Z</dcterms:modified>
</cp:coreProperties>
</file>