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48601" w14:textId="77777777" w:rsidR="00547539" w:rsidRDefault="00547539" w:rsidP="00547539">
      <w:pPr>
        <w:rPr>
          <w:rFonts w:cs="Arial"/>
          <w:b/>
          <w:bCs/>
        </w:rPr>
      </w:pPr>
      <w:r w:rsidRPr="003B1102">
        <w:rPr>
          <w:rFonts w:cs="Arial"/>
          <w:b/>
          <w:bCs/>
        </w:rPr>
        <w:t>Supplementary data</w:t>
      </w:r>
    </w:p>
    <w:p w14:paraId="2155A450" w14:textId="3C71B8ED" w:rsidR="00547539" w:rsidRPr="00901F86" w:rsidRDefault="00E26E41" w:rsidP="00547539">
      <w:r>
        <w:rPr>
          <w:rFonts w:cs="Arial"/>
          <w:b/>
          <w:bCs/>
        </w:rPr>
        <w:drawing>
          <wp:anchor distT="0" distB="0" distL="114300" distR="114300" simplePos="0" relativeHeight="251668480" behindDoc="0" locked="0" layoutInCell="1" allowOverlap="1" wp14:anchorId="71D02C0B" wp14:editId="1719D124">
            <wp:simplePos x="0" y="0"/>
            <wp:positionH relativeFrom="column">
              <wp:posOffset>-4098</wp:posOffset>
            </wp:positionH>
            <wp:positionV relativeFrom="paragraph">
              <wp:posOffset>-3726</wp:posOffset>
            </wp:positionV>
            <wp:extent cx="3636264" cy="5772913"/>
            <wp:effectExtent l="0" t="0" r="2540" b="0"/>
            <wp:wrapSquare wrapText="bothSides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64" cy="577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539" w:rsidRPr="5E6A0C53">
        <w:rPr>
          <w:rFonts w:cs="Arial"/>
          <w:b/>
          <w:bCs/>
        </w:rPr>
        <w:t xml:space="preserve">Figure S1. </w:t>
      </w:r>
      <w:r w:rsidR="00547539">
        <w:rPr>
          <w:rFonts w:cs="Arial"/>
          <w:b/>
          <w:bCs/>
        </w:rPr>
        <w:t xml:space="preserve">The </w:t>
      </w:r>
      <w:r w:rsidR="00547539">
        <w:rPr>
          <w:rFonts w:cs="Arial"/>
          <w:b/>
        </w:rPr>
        <w:t xml:space="preserve">ER </w:t>
      </w:r>
      <w:r w:rsidR="00547539" w:rsidRPr="00331A08">
        <w:rPr>
          <w:rFonts w:cs="Arial"/>
          <w:b/>
        </w:rPr>
        <w:t>stressors tunicamycin, brefeldin A</w:t>
      </w:r>
      <w:r w:rsidR="00547539">
        <w:rPr>
          <w:rFonts w:cs="Arial"/>
          <w:b/>
        </w:rPr>
        <w:t xml:space="preserve"> </w:t>
      </w:r>
      <w:r w:rsidR="00547539" w:rsidRPr="00331A08">
        <w:rPr>
          <w:rFonts w:cs="Arial"/>
          <w:b/>
        </w:rPr>
        <w:t xml:space="preserve">or thapsigargin </w:t>
      </w:r>
      <w:r w:rsidR="00547539">
        <w:rPr>
          <w:rFonts w:cs="Arial"/>
          <w:b/>
        </w:rPr>
        <w:t>abolish the hypoxia-mediated increase in HIF-1</w:t>
      </w:r>
      <w:r w:rsidR="00547539">
        <w:rPr>
          <w:rFonts w:ascii="Times New Roman" w:hAnsi="Times New Roman" w:cs="Times New Roman"/>
          <w:b/>
        </w:rPr>
        <w:t>α</w:t>
      </w:r>
      <w:r w:rsidR="00547539">
        <w:rPr>
          <w:rFonts w:cs="Arial"/>
          <w:b/>
        </w:rPr>
        <w:t xml:space="preserve"> levels</w:t>
      </w:r>
      <w:r w:rsidR="002E57DC">
        <w:rPr>
          <w:rFonts w:cs="Arial"/>
          <w:b/>
        </w:rPr>
        <w:t>, but does not affect p53 or c-Myc levels</w:t>
      </w:r>
    </w:p>
    <w:p w14:paraId="6D8D63A2" w14:textId="36A2A116" w:rsidR="00547539" w:rsidRDefault="00547539" w:rsidP="00547539">
      <w:pPr>
        <w:spacing w:line="360" w:lineRule="auto"/>
        <w:jc w:val="both"/>
        <w:rPr>
          <w:rFonts w:cs="Arial"/>
        </w:rPr>
      </w:pPr>
      <w:r w:rsidRPr="595C0BA6">
        <w:rPr>
          <w:rFonts w:cs="Arial"/>
          <w:b/>
          <w:bCs/>
        </w:rPr>
        <w:t>(A</w:t>
      </w:r>
      <w:r w:rsidR="002E57DC">
        <w:rPr>
          <w:rFonts w:cs="Arial"/>
          <w:b/>
          <w:bCs/>
        </w:rPr>
        <w:t>,C</w:t>
      </w:r>
      <w:r w:rsidRPr="595C0BA6">
        <w:rPr>
          <w:rFonts w:cs="Arial"/>
        </w:rPr>
        <w:t>) HepG2 cells were cultured under normoxia (16%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 xml:space="preserve">) for 24 h, then </w:t>
      </w:r>
      <w:r>
        <w:rPr>
          <w:rFonts w:cs="Arial"/>
        </w:rPr>
        <w:t>treat</w:t>
      </w:r>
      <w:r w:rsidRPr="595C0BA6">
        <w:rPr>
          <w:rFonts w:cs="Arial"/>
        </w:rPr>
        <w:t>ed with the ER stressors tunicamycin (Tu, 10 µg/ml), brefeldin A (Br.A, 10 µg/ml) or thapsigargin (Th, 2 µM) and further cultured either under normoxia or hypoxia (5%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>) for 4 h</w:t>
      </w:r>
      <w:r>
        <w:rPr>
          <w:rFonts w:cs="Arial"/>
        </w:rPr>
        <w:t xml:space="preserve"> and 24 h</w:t>
      </w:r>
      <w:r w:rsidRPr="595C0BA6">
        <w:rPr>
          <w:rFonts w:cs="Arial"/>
        </w:rPr>
        <w:t>. HIF-1</w:t>
      </w:r>
      <w:r w:rsidRPr="595C0BA6">
        <w:rPr>
          <w:rFonts w:ascii="Symbol" w:eastAsia="Symbol" w:hAnsi="Symbol" w:cs="Symbol"/>
          <w:lang w:val="fi-FI"/>
        </w:rPr>
        <w:t></w:t>
      </w:r>
      <w:r w:rsidR="005C6A9B" w:rsidRPr="00F5637C">
        <w:rPr>
          <w:rFonts w:eastAsia="Symbol" w:cstheme="minorHAnsi"/>
        </w:rPr>
        <w:t xml:space="preserve">, </w:t>
      </w:r>
      <w:r w:rsidR="005C6A9B">
        <w:rPr>
          <w:rFonts w:eastAsia="Symbol" w:cstheme="minorHAnsi"/>
        </w:rPr>
        <w:t>p53 and c-Myc</w:t>
      </w:r>
      <w:r w:rsidRPr="595C0BA6">
        <w:rPr>
          <w:rFonts w:cs="Arial"/>
        </w:rPr>
        <w:t xml:space="preserve"> protein levels measured by Western blot under normoxia (16%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>) were set to 1. *significan</w:t>
      </w:r>
      <w:r>
        <w:rPr>
          <w:rFonts w:cs="Arial"/>
        </w:rPr>
        <w:t>ce</w:t>
      </w:r>
      <w:r w:rsidRPr="595C0BA6">
        <w:rPr>
          <w:rFonts w:cs="Arial"/>
        </w:rPr>
        <w:t xml:space="preserve"> 16%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 xml:space="preserve"> vs 5%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>; **significan</w:t>
      </w:r>
      <w:r>
        <w:rPr>
          <w:rFonts w:cs="Arial"/>
        </w:rPr>
        <w:t>ce</w:t>
      </w:r>
      <w:r w:rsidRPr="595C0BA6">
        <w:rPr>
          <w:rFonts w:cs="Arial"/>
        </w:rPr>
        <w:t xml:space="preserve"> 16%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 xml:space="preserve"> vs 16%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 xml:space="preserve"> + Tu, Br.A, Th, </w:t>
      </w:r>
      <w:r w:rsidRPr="595C0BA6">
        <w:rPr>
          <w:rFonts w:cs="Arial"/>
          <w:sz w:val="24"/>
          <w:szCs w:val="24"/>
          <w:vertAlign w:val="superscript"/>
        </w:rPr>
        <w:t>#</w:t>
      </w:r>
      <w:r w:rsidRPr="00601EBC">
        <w:rPr>
          <w:rFonts w:cs="Arial"/>
        </w:rPr>
        <w:t xml:space="preserve"> </w:t>
      </w:r>
      <w:r w:rsidRPr="595C0BA6">
        <w:rPr>
          <w:rFonts w:cs="Arial"/>
        </w:rPr>
        <w:t>significan</w:t>
      </w:r>
      <w:r>
        <w:rPr>
          <w:rFonts w:cs="Arial"/>
        </w:rPr>
        <w:t>ce</w:t>
      </w:r>
      <w:r w:rsidRPr="595C0BA6">
        <w:rPr>
          <w:rFonts w:cs="Arial"/>
        </w:rPr>
        <w:t xml:space="preserve"> 5%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 xml:space="preserve"> vs 5%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 xml:space="preserve"> + Tu, Br.A, Th, </w:t>
      </w:r>
      <w:r>
        <w:t>p ≤ 0.05, n=3.</w:t>
      </w:r>
      <w:r w:rsidRPr="595C0BA6">
        <w:rPr>
          <w:rFonts w:cs="Arial"/>
        </w:rPr>
        <w:t xml:space="preserve"> </w:t>
      </w:r>
      <w:r w:rsidRPr="595C0BA6">
        <w:rPr>
          <w:rFonts w:cs="Arial"/>
          <w:b/>
          <w:bCs/>
        </w:rPr>
        <w:t>(B</w:t>
      </w:r>
      <w:r w:rsidR="002E57DC">
        <w:rPr>
          <w:rFonts w:cs="Arial"/>
          <w:b/>
          <w:bCs/>
        </w:rPr>
        <w:t>,D</w:t>
      </w:r>
      <w:r w:rsidRPr="595C0BA6">
        <w:rPr>
          <w:rFonts w:cs="Arial"/>
          <w:b/>
          <w:bCs/>
        </w:rPr>
        <w:t>)</w:t>
      </w:r>
      <w:r w:rsidRPr="595C0BA6">
        <w:rPr>
          <w:rFonts w:cs="Arial"/>
        </w:rPr>
        <w:t xml:space="preserve"> Representative Western blots</w:t>
      </w:r>
      <w:r>
        <w:rPr>
          <w:rFonts w:cs="Arial"/>
        </w:rPr>
        <w:t xml:space="preserve"> of</w:t>
      </w:r>
      <w:r w:rsidRPr="595C0BA6">
        <w:rPr>
          <w:rFonts w:cs="Arial"/>
        </w:rPr>
        <w:t xml:space="preserve"> total protein with antibodies against HIF-1</w:t>
      </w:r>
      <w:r w:rsidRPr="595C0BA6">
        <w:rPr>
          <w:rFonts w:ascii="Symbol" w:eastAsia="Symbol" w:hAnsi="Symbol" w:cs="Symbol"/>
          <w:lang w:val="fi-FI"/>
        </w:rPr>
        <w:t></w:t>
      </w:r>
      <w:r w:rsidR="002E57DC" w:rsidRPr="00F5637C">
        <w:rPr>
          <w:rFonts w:eastAsia="Symbol" w:cstheme="minorHAnsi"/>
        </w:rPr>
        <w:t xml:space="preserve">, </w:t>
      </w:r>
      <w:r w:rsidR="000C2C77">
        <w:rPr>
          <w:rFonts w:eastAsia="Symbol" w:cstheme="minorHAnsi"/>
        </w:rPr>
        <w:t>p53, c-Myc, β-actin</w:t>
      </w:r>
      <w:r w:rsidRPr="595C0BA6">
        <w:rPr>
          <w:rFonts w:cs="Arial"/>
        </w:rPr>
        <w:t xml:space="preserve"> and </w:t>
      </w:r>
      <w:r w:rsidRPr="595C0BA6">
        <w:rPr>
          <w:rFonts w:ascii="Symbol" w:eastAsia="Symbol" w:hAnsi="Symbol" w:cs="Symbol"/>
        </w:rPr>
        <w:t></w:t>
      </w:r>
      <w:r w:rsidRPr="595C0BA6">
        <w:rPr>
          <w:rFonts w:cs="Arial"/>
        </w:rPr>
        <w:t>-tubulin.</w:t>
      </w:r>
    </w:p>
    <w:p w14:paraId="4E64A06D" w14:textId="77777777" w:rsidR="00A36CFE" w:rsidRDefault="00A36CFE" w:rsidP="00547539">
      <w:pPr>
        <w:spacing w:line="360" w:lineRule="auto"/>
        <w:jc w:val="both"/>
        <w:rPr>
          <w:rFonts w:cs="Arial"/>
        </w:rPr>
      </w:pPr>
    </w:p>
    <w:p w14:paraId="64341E22" w14:textId="77777777" w:rsidR="00547539" w:rsidRDefault="00547539" w:rsidP="00547539">
      <w:pPr>
        <w:spacing w:line="360" w:lineRule="auto"/>
        <w:jc w:val="both"/>
        <w:rPr>
          <w:rFonts w:cs="Arial"/>
          <w:b/>
          <w:bCs/>
        </w:rPr>
      </w:pPr>
    </w:p>
    <w:p w14:paraId="3E74E7ED" w14:textId="77777777" w:rsidR="00547539" w:rsidRPr="00774420" w:rsidRDefault="00547539" w:rsidP="00547539">
      <w:pPr>
        <w:spacing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drawing>
          <wp:anchor distT="0" distB="0" distL="114300" distR="114300" simplePos="0" relativeHeight="251661312" behindDoc="0" locked="0" layoutInCell="1" allowOverlap="1" wp14:anchorId="3DEEBB9A" wp14:editId="0A9FC8C8">
            <wp:simplePos x="0" y="0"/>
            <wp:positionH relativeFrom="column">
              <wp:posOffset>-3398</wp:posOffset>
            </wp:positionH>
            <wp:positionV relativeFrom="paragraph">
              <wp:posOffset>-1871</wp:posOffset>
            </wp:positionV>
            <wp:extent cx="2529840" cy="2983992"/>
            <wp:effectExtent l="0" t="0" r="0" b="0"/>
            <wp:wrapSquare wrapText="bothSides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FC83E96">
        <w:rPr>
          <w:rFonts w:cs="Arial"/>
          <w:b/>
          <w:bCs/>
        </w:rPr>
        <w:t xml:space="preserve">Figure S2. Tunicamycin affects </w:t>
      </w:r>
      <w:r>
        <w:rPr>
          <w:rFonts w:cs="Arial"/>
          <w:b/>
          <w:bCs/>
        </w:rPr>
        <w:t>HIF</w:t>
      </w:r>
      <w:r w:rsidRPr="2FC83E96">
        <w:rPr>
          <w:rFonts w:cs="Arial"/>
          <w:b/>
          <w:bCs/>
        </w:rPr>
        <w:t>-dependent promoter activity as well as XBP-splicing</w:t>
      </w:r>
    </w:p>
    <w:p w14:paraId="25F24651" w14:textId="77777777" w:rsidR="00547539" w:rsidRDefault="00547539" w:rsidP="00547539">
      <w:pPr>
        <w:spacing w:line="360" w:lineRule="auto"/>
        <w:jc w:val="both"/>
      </w:pPr>
      <w:r w:rsidRPr="00774420">
        <w:rPr>
          <w:rFonts w:cs="Arial"/>
          <w:b/>
          <w:bCs/>
        </w:rPr>
        <w:t>(A)</w:t>
      </w:r>
      <w:r w:rsidRPr="595C0BA6">
        <w:rPr>
          <w:rFonts w:cs="Arial"/>
        </w:rPr>
        <w:t xml:space="preserve"> </w:t>
      </w:r>
      <w:r w:rsidRPr="00774420">
        <w:rPr>
          <w:rFonts w:cs="Arial"/>
        </w:rPr>
        <w:t>HepG2 cells were transfected with</w:t>
      </w:r>
      <w:r w:rsidRPr="595C0BA6">
        <w:rPr>
          <w:rFonts w:cs="Arial"/>
        </w:rPr>
        <w:t xml:space="preserve"> pGL3-HRE-Luc, pGL3-hPAI-796 or pERSE-Luc</w:t>
      </w:r>
      <w:r w:rsidRPr="00774420">
        <w:rPr>
          <w:rFonts w:cs="Arial"/>
        </w:rPr>
        <w:t xml:space="preserve"> expression vectors. After transfection, cells were cultured with fresh medium for the next 16 h under normoxia (16% O</w:t>
      </w:r>
      <w:r w:rsidRPr="00774420">
        <w:rPr>
          <w:rFonts w:cs="Arial"/>
          <w:vertAlign w:val="subscript"/>
        </w:rPr>
        <w:t>2</w:t>
      </w:r>
      <w:r w:rsidRPr="00774420">
        <w:rPr>
          <w:rFonts w:cs="Arial"/>
        </w:rPr>
        <w:t>), then stimulated with Tu (10 µg/ml) and further cultured either under normoxia or hypoxia (5% O</w:t>
      </w:r>
      <w:r w:rsidRPr="00774420">
        <w:rPr>
          <w:rFonts w:cs="Arial"/>
          <w:vertAlign w:val="subscript"/>
        </w:rPr>
        <w:t>2</w:t>
      </w:r>
      <w:r w:rsidRPr="00774420">
        <w:rPr>
          <w:rFonts w:cs="Arial"/>
        </w:rPr>
        <w:t>)</w:t>
      </w:r>
      <w:r w:rsidRPr="00774420">
        <w:t xml:space="preserve"> for 8 h. In each experiment the percentage of Luc activity was determined relative to the 16% O</w:t>
      </w:r>
      <w:r w:rsidRPr="00774420">
        <w:rPr>
          <w:rFonts w:cs="Arial"/>
          <w:vertAlign w:val="subscript"/>
        </w:rPr>
        <w:t xml:space="preserve">2 </w:t>
      </w:r>
      <w:r w:rsidRPr="00774420">
        <w:rPr>
          <w:rFonts w:cs="Arial"/>
        </w:rPr>
        <w:t>control which was set to 1. *significan</w:t>
      </w:r>
      <w:r>
        <w:rPr>
          <w:rFonts w:cs="Arial"/>
        </w:rPr>
        <w:t>ce</w:t>
      </w:r>
      <w:r w:rsidRPr="00774420">
        <w:rPr>
          <w:rFonts w:cs="Arial"/>
        </w:rPr>
        <w:t xml:space="preserve"> 16% O</w:t>
      </w:r>
      <w:r w:rsidRPr="00774420">
        <w:rPr>
          <w:rFonts w:cs="Arial"/>
          <w:vertAlign w:val="subscript"/>
        </w:rPr>
        <w:t>2</w:t>
      </w:r>
      <w:r w:rsidRPr="00774420">
        <w:rPr>
          <w:rFonts w:cs="Arial"/>
        </w:rPr>
        <w:t xml:space="preserve"> + Tu vs 5% O</w:t>
      </w:r>
      <w:r w:rsidRPr="00774420">
        <w:rPr>
          <w:rFonts w:cs="Arial"/>
          <w:vertAlign w:val="subscript"/>
        </w:rPr>
        <w:t>2</w:t>
      </w:r>
      <w:r w:rsidRPr="00774420">
        <w:rPr>
          <w:rFonts w:cs="Arial"/>
        </w:rPr>
        <w:t xml:space="preserve"> + Tu, **</w:t>
      </w:r>
      <w:r>
        <w:rPr>
          <w:rFonts w:cs="Arial"/>
        </w:rPr>
        <w:t>significance</w:t>
      </w:r>
      <w:r w:rsidRPr="00774420">
        <w:rPr>
          <w:rFonts w:cs="Arial"/>
        </w:rPr>
        <w:t xml:space="preserve"> 16% O</w:t>
      </w:r>
      <w:r w:rsidRPr="00774420">
        <w:rPr>
          <w:rFonts w:cs="Arial"/>
          <w:vertAlign w:val="subscript"/>
        </w:rPr>
        <w:t>2</w:t>
      </w:r>
      <w:r w:rsidRPr="00774420">
        <w:rPr>
          <w:rFonts w:cs="Arial"/>
        </w:rPr>
        <w:t xml:space="preserve"> vs 16% O</w:t>
      </w:r>
      <w:r w:rsidRPr="00774420">
        <w:rPr>
          <w:rFonts w:cs="Arial"/>
          <w:vertAlign w:val="subscript"/>
        </w:rPr>
        <w:t>2</w:t>
      </w:r>
      <w:r w:rsidRPr="00774420">
        <w:rPr>
          <w:rFonts w:cs="Arial"/>
        </w:rPr>
        <w:t xml:space="preserve"> + Tu, </w:t>
      </w:r>
      <w:r w:rsidRPr="00774420">
        <w:rPr>
          <w:rFonts w:cs="Arial"/>
          <w:sz w:val="24"/>
          <w:szCs w:val="24"/>
          <w:vertAlign w:val="superscript"/>
        </w:rPr>
        <w:t>#</w:t>
      </w:r>
      <w:r w:rsidRPr="00774420">
        <w:rPr>
          <w:rFonts w:cs="Arial"/>
        </w:rPr>
        <w:t>significan</w:t>
      </w:r>
      <w:r>
        <w:rPr>
          <w:rFonts w:cs="Arial"/>
        </w:rPr>
        <w:t>ce</w:t>
      </w:r>
      <w:r w:rsidRPr="00774420">
        <w:rPr>
          <w:rFonts w:cs="Arial"/>
        </w:rPr>
        <w:t xml:space="preserve"> 5% O</w:t>
      </w:r>
      <w:r w:rsidRPr="00774420">
        <w:rPr>
          <w:rFonts w:cs="Arial"/>
          <w:vertAlign w:val="subscript"/>
        </w:rPr>
        <w:t>2</w:t>
      </w:r>
      <w:r w:rsidRPr="00774420">
        <w:rPr>
          <w:rFonts w:cs="Arial"/>
        </w:rPr>
        <w:t xml:space="preserve"> vs 5% O</w:t>
      </w:r>
      <w:r w:rsidRPr="00774420">
        <w:rPr>
          <w:rFonts w:cs="Arial"/>
          <w:vertAlign w:val="subscript"/>
        </w:rPr>
        <w:t>2</w:t>
      </w:r>
      <w:r w:rsidRPr="00774420">
        <w:rPr>
          <w:rFonts w:cs="Arial"/>
        </w:rPr>
        <w:t xml:space="preserve"> + Tu, p ≤ 0.05</w:t>
      </w:r>
      <w:r>
        <w:rPr>
          <w:rFonts w:cs="Arial"/>
        </w:rPr>
        <w:t>, n=5</w:t>
      </w:r>
      <w:r w:rsidRPr="00774420">
        <w:rPr>
          <w:rFonts w:cs="Arial"/>
        </w:rPr>
        <w:t>.</w:t>
      </w:r>
      <w:r w:rsidRPr="595C0BA6">
        <w:rPr>
          <w:rFonts w:eastAsiaTheme="minorEastAsia"/>
        </w:rPr>
        <w:t xml:space="preserve"> </w:t>
      </w:r>
      <w:r w:rsidRPr="00774420">
        <w:rPr>
          <w:rFonts w:eastAsiaTheme="minorEastAsia"/>
          <w:b/>
          <w:bCs/>
        </w:rPr>
        <w:t>(B)</w:t>
      </w:r>
      <w:r w:rsidRPr="595C0BA6">
        <w:rPr>
          <w:rFonts w:eastAsiaTheme="minorEastAsia"/>
        </w:rPr>
        <w:t xml:space="preserve"> </w:t>
      </w:r>
      <w:r w:rsidRPr="595C0BA6">
        <w:rPr>
          <w:rFonts w:cs="Arial"/>
        </w:rPr>
        <w:t>HEK 293 cells were cultured under normoxia (16% O</w:t>
      </w:r>
      <w:r w:rsidRPr="595C0BA6">
        <w:rPr>
          <w:rFonts w:cs="Arial"/>
          <w:vertAlign w:val="subscript"/>
        </w:rPr>
        <w:t>2</w:t>
      </w:r>
      <w:r w:rsidRPr="595C0BA6">
        <w:rPr>
          <w:rFonts w:cs="Arial"/>
        </w:rPr>
        <w:t xml:space="preserve">) for 24 h, then </w:t>
      </w:r>
      <w:r>
        <w:rPr>
          <w:rFonts w:cs="Arial"/>
        </w:rPr>
        <w:t>trea</w:t>
      </w:r>
      <w:r w:rsidRPr="595C0BA6">
        <w:rPr>
          <w:rFonts w:cs="Arial"/>
        </w:rPr>
        <w:t>ted with Tu (10 µg/ml) and further cultured either under normoxia or hypoxia (5% O</w:t>
      </w:r>
      <w:r w:rsidRPr="00774420">
        <w:rPr>
          <w:rFonts w:cs="Arial"/>
          <w:vertAlign w:val="subscript"/>
        </w:rPr>
        <w:t>2</w:t>
      </w:r>
      <w:r w:rsidRPr="595C0BA6">
        <w:rPr>
          <w:rFonts w:cs="Arial"/>
        </w:rPr>
        <w:t xml:space="preserve"> or 3% O</w:t>
      </w:r>
      <w:r w:rsidRPr="00774420">
        <w:rPr>
          <w:rFonts w:cs="Arial"/>
          <w:vertAlign w:val="subscript"/>
        </w:rPr>
        <w:t>2</w:t>
      </w:r>
      <w:r w:rsidRPr="595C0BA6">
        <w:rPr>
          <w:rFonts w:cs="Arial"/>
        </w:rPr>
        <w:t xml:space="preserve">) for 2 h and </w:t>
      </w:r>
      <w:r>
        <w:t>4 h. Total RNA was extracted, and XBP1 mRNA was detected by RT-PCR. XBP1u was observed as a 442-bp band, and XBP1s was observed as a 416-bp band. β-actin served as a loading control. n=3</w:t>
      </w:r>
    </w:p>
    <w:p w14:paraId="5A805562" w14:textId="77777777" w:rsidR="00547539" w:rsidRPr="00B43A61" w:rsidRDefault="00547539" w:rsidP="00547539">
      <w:pPr>
        <w:spacing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drawing>
          <wp:anchor distT="0" distB="0" distL="114300" distR="114300" simplePos="0" relativeHeight="251662336" behindDoc="0" locked="0" layoutInCell="1" allowOverlap="1" wp14:anchorId="2EE65F39" wp14:editId="56DFDAE2">
            <wp:simplePos x="0" y="0"/>
            <wp:positionH relativeFrom="column">
              <wp:posOffset>-3398</wp:posOffset>
            </wp:positionH>
            <wp:positionV relativeFrom="paragraph">
              <wp:posOffset>-1871</wp:posOffset>
            </wp:positionV>
            <wp:extent cx="2584704" cy="3313176"/>
            <wp:effectExtent l="0" t="0" r="0" b="0"/>
            <wp:wrapSquare wrapText="bothSides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FC83E96">
        <w:rPr>
          <w:rFonts w:cs="Arial"/>
          <w:b/>
          <w:bCs/>
        </w:rPr>
        <w:t>Figure S</w:t>
      </w:r>
      <w:r>
        <w:rPr>
          <w:rFonts w:cs="Arial"/>
          <w:b/>
          <w:bCs/>
        </w:rPr>
        <w:t>3</w:t>
      </w:r>
      <w:r w:rsidRPr="2FC83E96">
        <w:rPr>
          <w:rFonts w:cs="Arial"/>
          <w:b/>
          <w:bCs/>
        </w:rPr>
        <w:t>. Tunicamycin activates GSK3β</w:t>
      </w:r>
    </w:p>
    <w:p w14:paraId="08588724" w14:textId="77777777" w:rsidR="00547539" w:rsidRDefault="00547539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  <w:r w:rsidRPr="2FC83E96">
        <w:rPr>
          <w:rFonts w:eastAsia="Times New Roman"/>
          <w:b/>
          <w:bCs/>
          <w:noProof w:val="0"/>
          <w:lang w:val="en-GB" w:eastAsia="de-DE"/>
        </w:rPr>
        <w:t>(A)</w:t>
      </w:r>
      <w:r w:rsidRPr="2FC83E96">
        <w:rPr>
          <w:rFonts w:eastAsia="Times New Roman"/>
          <w:noProof w:val="0"/>
          <w:lang w:val="en-GB" w:eastAsia="de-DE"/>
        </w:rPr>
        <w:t xml:space="preserve"> HepG2 cells were stimulated with Tu (10 µg/ml) and further cultured for 4 h under normoxic (16% O</w:t>
      </w:r>
      <w:r w:rsidRPr="2FC83E96">
        <w:rPr>
          <w:rFonts w:eastAsia="Times New Roman"/>
          <w:noProof w:val="0"/>
          <w:vertAlign w:val="subscript"/>
          <w:lang w:val="en-GB" w:eastAsia="de-DE"/>
        </w:rPr>
        <w:t>2</w:t>
      </w:r>
      <w:r w:rsidRPr="2FC83E96">
        <w:rPr>
          <w:rFonts w:eastAsia="Times New Roman"/>
          <w:noProof w:val="0"/>
          <w:lang w:val="en-GB" w:eastAsia="de-DE"/>
        </w:rPr>
        <w:t>) or hypoxic (5% O</w:t>
      </w:r>
      <w:r w:rsidRPr="2FC83E96">
        <w:rPr>
          <w:rFonts w:eastAsia="Times New Roman"/>
          <w:noProof w:val="0"/>
          <w:vertAlign w:val="subscript"/>
          <w:lang w:val="en-GB" w:eastAsia="de-DE"/>
        </w:rPr>
        <w:t>2</w:t>
      </w:r>
      <w:r w:rsidRPr="2FC83E96">
        <w:rPr>
          <w:rFonts w:eastAsia="Times New Roman"/>
          <w:noProof w:val="0"/>
          <w:lang w:val="en-GB" w:eastAsia="de-DE"/>
        </w:rPr>
        <w:t>) conditions. The pGSK3β (S9), pGSK3α/β (Tyr279/Tyr216), GSK3β and α-tubulin protein levels were measured by Western blot analysis. In each experiment the protein levels in control cells under 16% O</w:t>
      </w:r>
      <w:r w:rsidRPr="2FC83E96">
        <w:rPr>
          <w:rFonts w:eastAsia="Times New Roman"/>
          <w:noProof w:val="0"/>
          <w:vertAlign w:val="subscript"/>
          <w:lang w:val="en-GB" w:eastAsia="de-DE"/>
        </w:rPr>
        <w:t>2</w:t>
      </w:r>
      <w:r w:rsidRPr="2FC83E96">
        <w:rPr>
          <w:rFonts w:eastAsia="Times New Roman"/>
          <w:noProof w:val="0"/>
          <w:lang w:val="en-GB" w:eastAsia="de-DE"/>
        </w:rPr>
        <w:t xml:space="preserve"> were set to 1.</w:t>
      </w:r>
      <w:r w:rsidRPr="2FC83E96">
        <w:rPr>
          <w:rFonts w:cs="Arial"/>
        </w:rPr>
        <w:t xml:space="preserve"> *significance 16%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 vs 5%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Tu, **significance 16%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vs 16%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Tu, </w:t>
      </w:r>
      <w:r w:rsidRPr="2FC83E96">
        <w:rPr>
          <w:rFonts w:cs="Arial"/>
          <w:sz w:val="24"/>
          <w:szCs w:val="24"/>
          <w:vertAlign w:val="superscript"/>
        </w:rPr>
        <w:t>#</w:t>
      </w:r>
      <w:r w:rsidRPr="2FC83E96">
        <w:rPr>
          <w:rFonts w:cs="Arial"/>
        </w:rPr>
        <w:t>significance 5%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vs 5%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Tu, p ≤ 0.05</w:t>
      </w:r>
      <w:r>
        <w:rPr>
          <w:rFonts w:cs="Arial"/>
        </w:rPr>
        <w:t>, n=3</w:t>
      </w:r>
      <w:r w:rsidRPr="2FC83E96">
        <w:rPr>
          <w:rFonts w:cs="Arial"/>
        </w:rPr>
        <w:t>.</w:t>
      </w:r>
      <w:r w:rsidRPr="2FC83E96">
        <w:rPr>
          <w:rFonts w:eastAsiaTheme="minorEastAsia"/>
        </w:rPr>
        <w:t xml:space="preserve"> </w:t>
      </w:r>
      <w:r w:rsidRPr="2FC83E96">
        <w:rPr>
          <w:rFonts w:eastAsiaTheme="minorEastAsia"/>
          <w:b/>
          <w:bCs/>
        </w:rPr>
        <w:t>(B)</w:t>
      </w:r>
      <w:r w:rsidRPr="2FC83E96">
        <w:rPr>
          <w:rFonts w:eastAsiaTheme="minorEastAsia"/>
        </w:rPr>
        <w:t xml:space="preserve"> Representative Western blot analysis with antibodies against </w:t>
      </w:r>
      <w:r w:rsidRPr="2FC83E96">
        <w:rPr>
          <w:rFonts w:eastAsia="Times New Roman"/>
          <w:noProof w:val="0"/>
          <w:lang w:val="en-GB" w:eastAsia="de-DE"/>
        </w:rPr>
        <w:t>pGSK3β (S9), pGSK3α/β (Tyr279/Tyr216), GSK3β and α-tubulin.</w:t>
      </w:r>
    </w:p>
    <w:p w14:paraId="47453131" w14:textId="77777777" w:rsidR="00547539" w:rsidRDefault="00547539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</w:p>
    <w:p w14:paraId="447CF8B8" w14:textId="3E2D60C4" w:rsidR="00547539" w:rsidRPr="00B86856" w:rsidRDefault="00E96461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  <w:r>
        <w:rPr>
          <w:rFonts w:eastAsiaTheme="minorEastAsia"/>
          <w:b/>
          <w:bCs/>
          <w:lang w:val="en-GB" w:eastAsia="de-DE"/>
        </w:rPr>
        <w:lastRenderedPageBreak/>
        <w:drawing>
          <wp:anchor distT="0" distB="0" distL="114300" distR="114300" simplePos="0" relativeHeight="251666432" behindDoc="0" locked="0" layoutInCell="1" allowOverlap="1" wp14:anchorId="6DE62268" wp14:editId="5BB95413">
            <wp:simplePos x="0" y="0"/>
            <wp:positionH relativeFrom="column">
              <wp:posOffset>-4098</wp:posOffset>
            </wp:positionH>
            <wp:positionV relativeFrom="paragraph">
              <wp:posOffset>527</wp:posOffset>
            </wp:positionV>
            <wp:extent cx="3919728" cy="3230880"/>
            <wp:effectExtent l="0" t="0" r="5080" b="7620"/>
            <wp:wrapSquare wrapText="bothSides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539" w:rsidRPr="2FC83E96">
        <w:rPr>
          <w:rFonts w:eastAsiaTheme="minorEastAsia"/>
          <w:b/>
          <w:bCs/>
          <w:lang w:val="en-GB" w:eastAsia="de-DE"/>
        </w:rPr>
        <w:t>Figure S</w:t>
      </w:r>
      <w:r w:rsidR="00547539">
        <w:rPr>
          <w:rFonts w:eastAsiaTheme="minorEastAsia"/>
          <w:b/>
          <w:bCs/>
          <w:lang w:val="en-GB" w:eastAsia="de-DE"/>
        </w:rPr>
        <w:t>4</w:t>
      </w:r>
      <w:r w:rsidR="00547539" w:rsidRPr="2FC83E96">
        <w:rPr>
          <w:rFonts w:eastAsiaTheme="minorEastAsia"/>
          <w:b/>
          <w:bCs/>
          <w:lang w:val="en-GB" w:eastAsia="de-DE"/>
        </w:rPr>
        <w:t xml:space="preserve">. Loss of </w:t>
      </w:r>
      <w:r w:rsidR="00547539" w:rsidRPr="2FC83E96">
        <w:rPr>
          <w:rFonts w:ascii="Symbol" w:eastAsia="Symbol" w:hAnsi="Symbol" w:cs="Symbol"/>
          <w:b/>
          <w:bCs/>
          <w:lang w:val="en-GB" w:eastAsia="de-DE"/>
        </w:rPr>
        <w:t></w:t>
      </w:r>
      <w:r w:rsidR="00547539" w:rsidRPr="2FC83E96">
        <w:rPr>
          <w:rFonts w:eastAsiaTheme="minorEastAsia"/>
          <w:b/>
          <w:bCs/>
          <w:lang w:val="en-GB" w:eastAsia="de-DE"/>
        </w:rPr>
        <w:t>TrCP affects HIF</w:t>
      </w:r>
      <w:r w:rsidR="00547539" w:rsidRPr="2FC83E96">
        <w:rPr>
          <w:rFonts w:ascii="Symbol" w:eastAsia="Symbol" w:hAnsi="Symbol" w:cs="Symbol"/>
          <w:b/>
          <w:bCs/>
          <w:lang w:val="en-GB" w:eastAsia="de-DE"/>
        </w:rPr>
        <w:t></w:t>
      </w:r>
      <w:r w:rsidR="00547539" w:rsidRPr="2FC83E96">
        <w:rPr>
          <w:rFonts w:ascii="Symbol" w:eastAsia="Symbol" w:hAnsi="Symbol" w:cs="Symbol"/>
          <w:b/>
          <w:bCs/>
          <w:lang w:val="en-GB" w:eastAsia="de-DE"/>
        </w:rPr>
        <w:t></w:t>
      </w:r>
      <w:r w:rsidR="00547539" w:rsidRPr="2FC83E96">
        <w:rPr>
          <w:rFonts w:eastAsiaTheme="minorEastAsia"/>
          <w:b/>
          <w:bCs/>
          <w:lang w:val="en-GB" w:eastAsia="de-DE"/>
        </w:rPr>
        <w:t>protein levels</w:t>
      </w:r>
    </w:p>
    <w:p w14:paraId="602D94C8" w14:textId="4831A44C" w:rsidR="00547539" w:rsidRDefault="00547539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  <w:r w:rsidRPr="2FC83E96">
        <w:rPr>
          <w:rFonts w:eastAsiaTheme="minorEastAsia"/>
          <w:b/>
          <w:bCs/>
          <w:noProof w:val="0"/>
          <w:lang w:val="en-GB" w:eastAsia="de-DE"/>
        </w:rPr>
        <w:t>(A)</w:t>
      </w:r>
      <w:r w:rsidRPr="2FC83E96">
        <w:rPr>
          <w:rFonts w:eastAsiaTheme="minorEastAsia"/>
          <w:noProof w:val="0"/>
          <w:lang w:val="en-GB" w:eastAsia="de-DE"/>
        </w:rPr>
        <w:t xml:space="preserve"> HEK 293 cells were transfected with an IPTG-inducible </w:t>
      </w:r>
      <w:r w:rsidRPr="2FC83E96">
        <w:rPr>
          <w:rFonts w:ascii="Symbol" w:eastAsia="Symbol" w:hAnsi="Symbol" w:cs="Symbol"/>
          <w:noProof w:val="0"/>
          <w:lang w:val="en-GB" w:eastAsia="de-DE"/>
        </w:rPr>
        <w:t></w:t>
      </w:r>
      <w:r w:rsidRPr="2FC83E96">
        <w:rPr>
          <w:rFonts w:eastAsiaTheme="minorEastAsia"/>
          <w:noProof w:val="0"/>
          <w:lang w:val="en-GB" w:eastAsia="de-DE"/>
        </w:rPr>
        <w:t>TrCP shRNA expression vector for 48 h and selected with puromycin (2 µg/ml). After selection, cells were subjected to serial dilution and two different clones were stimulated with IPTG-containing media for 72 h and further cultured under normoxia or hypoxia (5% O</w:t>
      </w:r>
      <w:r w:rsidRPr="2FC83E96">
        <w:rPr>
          <w:rFonts w:eastAsiaTheme="minorEastAsia"/>
          <w:noProof w:val="0"/>
          <w:vertAlign w:val="subscript"/>
          <w:lang w:val="en-GB" w:eastAsia="de-DE"/>
        </w:rPr>
        <w:t>2</w:t>
      </w:r>
      <w:r w:rsidRPr="2FC83E96">
        <w:rPr>
          <w:rFonts w:eastAsiaTheme="minorEastAsia"/>
          <w:noProof w:val="0"/>
          <w:lang w:val="en-GB" w:eastAsia="de-DE"/>
        </w:rPr>
        <w:t>) for 4 h. The HIF-1</w:t>
      </w:r>
      <w:r w:rsidRPr="2FC83E96">
        <w:rPr>
          <w:rFonts w:ascii="Symbol" w:eastAsia="Symbol" w:hAnsi="Symbol" w:cs="Symbol"/>
          <w:noProof w:val="0"/>
          <w:lang w:val="en-GB" w:eastAsia="de-DE"/>
        </w:rPr>
        <w:t></w:t>
      </w:r>
      <w:r w:rsidRPr="2FC83E96">
        <w:rPr>
          <w:rFonts w:eastAsiaTheme="minorEastAsia"/>
          <w:noProof w:val="0"/>
          <w:lang w:val="en-GB" w:eastAsia="de-DE"/>
        </w:rPr>
        <w:t>, HIF-2</w:t>
      </w:r>
      <w:r w:rsidRPr="2FC83E96">
        <w:rPr>
          <w:rFonts w:ascii="Symbol" w:eastAsia="Symbol" w:hAnsi="Symbol" w:cs="Symbol"/>
          <w:noProof w:val="0"/>
          <w:lang w:val="en-GB" w:eastAsia="de-DE"/>
        </w:rPr>
        <w:t></w:t>
      </w:r>
      <w:r w:rsidRPr="2FC83E96">
        <w:rPr>
          <w:rFonts w:eastAsiaTheme="minorEastAsia"/>
          <w:noProof w:val="0"/>
          <w:lang w:val="en-GB" w:eastAsia="de-DE"/>
        </w:rPr>
        <w:t xml:space="preserve"> and </w:t>
      </w:r>
      <w:r w:rsidRPr="2FC83E96">
        <w:rPr>
          <w:rFonts w:ascii="Symbol" w:eastAsia="Symbol" w:hAnsi="Symbol" w:cs="Symbol"/>
          <w:noProof w:val="0"/>
          <w:lang w:val="en-GB" w:eastAsia="de-DE"/>
        </w:rPr>
        <w:t></w:t>
      </w:r>
      <w:r w:rsidRPr="2FC83E96">
        <w:rPr>
          <w:rFonts w:eastAsiaTheme="minorEastAsia"/>
          <w:noProof w:val="0"/>
          <w:lang w:val="en-GB" w:eastAsia="de-DE"/>
        </w:rPr>
        <w:t xml:space="preserve">-tubulin levels were measured by Western blot analysis. </w:t>
      </w:r>
      <w:r w:rsidRPr="2FC83E96">
        <w:rPr>
          <w:rFonts w:eastAsia="Times New Roman"/>
          <w:noProof w:val="0"/>
          <w:lang w:val="en-GB" w:eastAsia="de-DE"/>
        </w:rPr>
        <w:t>In each experiment the protein levels in control cells under 16% O</w:t>
      </w:r>
      <w:r w:rsidRPr="2FC83E96">
        <w:rPr>
          <w:rFonts w:eastAsia="Times New Roman"/>
          <w:noProof w:val="0"/>
          <w:vertAlign w:val="subscript"/>
          <w:lang w:val="en-GB" w:eastAsia="de-DE"/>
        </w:rPr>
        <w:t>2</w:t>
      </w:r>
      <w:r w:rsidRPr="2FC83E96">
        <w:rPr>
          <w:rFonts w:eastAsia="Times New Roman"/>
          <w:noProof w:val="0"/>
          <w:lang w:val="en-GB" w:eastAsia="de-DE"/>
        </w:rPr>
        <w:t xml:space="preserve"> were set to 1.</w:t>
      </w:r>
      <w:r w:rsidRPr="2FC83E96">
        <w:rPr>
          <w:rFonts w:cs="Arial"/>
        </w:rPr>
        <w:t xml:space="preserve"> *</w:t>
      </w:r>
      <w:r>
        <w:rPr>
          <w:rFonts w:cs="Arial"/>
        </w:rPr>
        <w:t>significance</w:t>
      </w:r>
      <w:r w:rsidRPr="2FC83E96">
        <w:rPr>
          <w:rFonts w:cs="Arial"/>
        </w:rPr>
        <w:t xml:space="preserve"> 16%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 vs 5%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Tu, **significance 16%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vs 16%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Tu, </w:t>
      </w:r>
      <w:r w:rsidRPr="2FC83E96">
        <w:rPr>
          <w:rFonts w:cs="Arial"/>
          <w:sz w:val="24"/>
          <w:szCs w:val="24"/>
          <w:vertAlign w:val="superscript"/>
        </w:rPr>
        <w:t>#</w:t>
      </w:r>
      <w:r w:rsidRPr="2FC83E96">
        <w:rPr>
          <w:rFonts w:cs="Arial"/>
        </w:rPr>
        <w:t>significance 5%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vs 5%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Tu, p ≤ 0.05</w:t>
      </w:r>
      <w:r>
        <w:rPr>
          <w:rFonts w:cs="Arial"/>
        </w:rPr>
        <w:t>, n=3</w:t>
      </w:r>
      <w:r w:rsidRPr="2FC83E96">
        <w:rPr>
          <w:rFonts w:cs="Arial"/>
        </w:rPr>
        <w:t>.</w:t>
      </w:r>
      <w:r w:rsidRPr="2FC83E96">
        <w:rPr>
          <w:rFonts w:eastAsiaTheme="minorEastAsia"/>
        </w:rPr>
        <w:t xml:space="preserve"> </w:t>
      </w:r>
      <w:r w:rsidRPr="2FC83E96">
        <w:rPr>
          <w:rFonts w:eastAsiaTheme="minorEastAsia"/>
          <w:b/>
          <w:bCs/>
        </w:rPr>
        <w:t>(B)</w:t>
      </w:r>
      <w:r w:rsidRPr="2FC83E96">
        <w:rPr>
          <w:rFonts w:eastAsiaTheme="minorEastAsia"/>
        </w:rPr>
        <w:t xml:space="preserve"> Representative Western blot analysis with antibodies against HIF-1</w:t>
      </w:r>
      <w:r w:rsidRPr="2FC83E96">
        <w:rPr>
          <w:rFonts w:ascii="Symbol" w:eastAsia="Symbol" w:hAnsi="Symbol" w:cs="Symbol"/>
        </w:rPr>
        <w:t></w:t>
      </w:r>
      <w:r w:rsidRPr="2FC83E96">
        <w:rPr>
          <w:rFonts w:eastAsiaTheme="minorEastAsia"/>
        </w:rPr>
        <w:t>, HIF-2</w:t>
      </w:r>
      <w:r w:rsidRPr="2FC83E96">
        <w:rPr>
          <w:rFonts w:ascii="Symbol" w:eastAsia="Symbol" w:hAnsi="Symbol" w:cs="Symbol"/>
        </w:rPr>
        <w:t></w:t>
      </w:r>
      <w:r w:rsidRPr="2FC83E96">
        <w:rPr>
          <w:rFonts w:eastAsia="Times New Roman"/>
          <w:noProof w:val="0"/>
          <w:lang w:val="en-GB" w:eastAsia="de-DE"/>
        </w:rPr>
        <w:t xml:space="preserve"> and α-tubulin.</w:t>
      </w:r>
    </w:p>
    <w:p w14:paraId="3378DE56" w14:textId="77777777" w:rsidR="00E96461" w:rsidRDefault="00E96461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</w:p>
    <w:p w14:paraId="4FB1B870" w14:textId="77777777" w:rsidR="00547539" w:rsidRPr="00B86856" w:rsidRDefault="00547539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  <w:r>
        <w:rPr>
          <w:rFonts w:eastAsia="Times New Roman"/>
          <w:lang w:val="en-GB" w:eastAsia="de-DE"/>
        </w:rPr>
        <w:drawing>
          <wp:anchor distT="0" distB="0" distL="114300" distR="114300" simplePos="0" relativeHeight="251659264" behindDoc="0" locked="0" layoutInCell="1" allowOverlap="1" wp14:anchorId="30752F11" wp14:editId="1A9B7EA3">
            <wp:simplePos x="0" y="0"/>
            <wp:positionH relativeFrom="column">
              <wp:posOffset>-3398</wp:posOffset>
            </wp:positionH>
            <wp:positionV relativeFrom="paragraph">
              <wp:posOffset>-1871</wp:posOffset>
            </wp:positionV>
            <wp:extent cx="1767840" cy="3075432"/>
            <wp:effectExtent l="0" t="0" r="0" b="0"/>
            <wp:wrapSquare wrapText="bothSides"/>
            <wp:docPr id="14" name="Picture 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07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FC83E96">
        <w:rPr>
          <w:rFonts w:cs="Arial"/>
          <w:b/>
          <w:bCs/>
        </w:rPr>
        <w:t>Figure S</w:t>
      </w:r>
      <w:r>
        <w:rPr>
          <w:rFonts w:cs="Arial"/>
          <w:b/>
          <w:bCs/>
        </w:rPr>
        <w:t>5</w:t>
      </w:r>
      <w:r w:rsidRPr="2FC83E96">
        <w:rPr>
          <w:rFonts w:cs="Arial"/>
          <w:b/>
          <w:bCs/>
        </w:rPr>
        <w:t xml:space="preserve">. Tunicamycin </w:t>
      </w:r>
      <w:r>
        <w:rPr>
          <w:rFonts w:cs="Arial"/>
          <w:b/>
          <w:bCs/>
        </w:rPr>
        <w:t>does not affect LC-3B protein levels</w:t>
      </w:r>
    </w:p>
    <w:p w14:paraId="6FFD7D39" w14:textId="77777777" w:rsidR="00547539" w:rsidRDefault="00547539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  <w:r w:rsidRPr="2FC83E96">
        <w:rPr>
          <w:rFonts w:eastAsia="Times New Roman"/>
          <w:b/>
          <w:bCs/>
          <w:noProof w:val="0"/>
          <w:lang w:val="en-GB" w:eastAsia="de-DE"/>
        </w:rPr>
        <w:t>(A)</w:t>
      </w:r>
      <w:r w:rsidRPr="2FC83E96">
        <w:rPr>
          <w:rFonts w:eastAsia="Times New Roman"/>
          <w:noProof w:val="0"/>
          <w:lang w:val="en-GB" w:eastAsia="de-DE"/>
        </w:rPr>
        <w:t xml:space="preserve"> HepG2 cells were stimulated with Tu (10 µg/ml) and further cultured for 4 h under normoxic (16% O</w:t>
      </w:r>
      <w:r w:rsidRPr="2FC83E96">
        <w:rPr>
          <w:rFonts w:eastAsia="Times New Roman"/>
          <w:noProof w:val="0"/>
          <w:vertAlign w:val="subscript"/>
          <w:lang w:val="en-GB" w:eastAsia="de-DE"/>
        </w:rPr>
        <w:t>2</w:t>
      </w:r>
      <w:r w:rsidRPr="2FC83E96">
        <w:rPr>
          <w:rFonts w:eastAsia="Times New Roman"/>
          <w:noProof w:val="0"/>
          <w:lang w:val="en-GB" w:eastAsia="de-DE"/>
        </w:rPr>
        <w:t>) or hypoxic (5% O</w:t>
      </w:r>
      <w:r w:rsidRPr="2FC83E96">
        <w:rPr>
          <w:rFonts w:eastAsia="Times New Roman"/>
          <w:noProof w:val="0"/>
          <w:vertAlign w:val="subscript"/>
          <w:lang w:val="en-GB" w:eastAsia="de-DE"/>
        </w:rPr>
        <w:t>2</w:t>
      </w:r>
      <w:r w:rsidRPr="2FC83E96">
        <w:rPr>
          <w:rFonts w:eastAsia="Times New Roman"/>
          <w:noProof w:val="0"/>
          <w:lang w:val="en-GB" w:eastAsia="de-DE"/>
        </w:rPr>
        <w:t xml:space="preserve">) conditions. The </w:t>
      </w:r>
      <w:r>
        <w:rPr>
          <w:rFonts w:eastAsia="Times New Roman"/>
          <w:noProof w:val="0"/>
          <w:lang w:val="en-GB" w:eastAsia="de-DE"/>
        </w:rPr>
        <w:t>LC-3B</w:t>
      </w:r>
      <w:r w:rsidRPr="2FC83E96">
        <w:rPr>
          <w:rFonts w:eastAsia="Times New Roman"/>
          <w:noProof w:val="0"/>
          <w:lang w:val="en-GB" w:eastAsia="de-DE"/>
        </w:rPr>
        <w:t xml:space="preserve"> and α-tubulin protein levels were measured by Western blot analysis. In each experiment the protein levels in control cells under 16% O</w:t>
      </w:r>
      <w:r w:rsidRPr="2FC83E96">
        <w:rPr>
          <w:rFonts w:eastAsia="Times New Roman"/>
          <w:noProof w:val="0"/>
          <w:vertAlign w:val="subscript"/>
          <w:lang w:val="en-GB" w:eastAsia="de-DE"/>
        </w:rPr>
        <w:t>2</w:t>
      </w:r>
      <w:r w:rsidRPr="2FC83E96">
        <w:rPr>
          <w:rFonts w:eastAsia="Times New Roman"/>
          <w:noProof w:val="0"/>
          <w:lang w:val="en-GB" w:eastAsia="de-DE"/>
        </w:rPr>
        <w:t xml:space="preserve"> were set to 1.</w:t>
      </w:r>
      <w:r w:rsidRPr="2FC83E96">
        <w:rPr>
          <w:rFonts w:cs="Arial"/>
        </w:rPr>
        <w:t xml:space="preserve"> *significance 16%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 vs 5%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Tu, **significance 16%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vs 16%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Tu, </w:t>
      </w:r>
      <w:r w:rsidRPr="2FC83E96">
        <w:rPr>
          <w:rFonts w:cs="Arial"/>
          <w:sz w:val="24"/>
          <w:szCs w:val="24"/>
          <w:vertAlign w:val="superscript"/>
        </w:rPr>
        <w:t>#</w:t>
      </w:r>
      <w:r w:rsidRPr="2FC83E96">
        <w:rPr>
          <w:rFonts w:cs="Arial"/>
        </w:rPr>
        <w:t>significance 5%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vs 5% O</w:t>
      </w:r>
      <w:r w:rsidRPr="2FC83E96">
        <w:rPr>
          <w:rFonts w:cs="Arial"/>
          <w:vertAlign w:val="subscript"/>
        </w:rPr>
        <w:t>2</w:t>
      </w:r>
      <w:r w:rsidRPr="2FC83E96">
        <w:rPr>
          <w:rFonts w:cs="Arial"/>
        </w:rPr>
        <w:t xml:space="preserve"> + Tu, p ≤ 0.05</w:t>
      </w:r>
      <w:r>
        <w:rPr>
          <w:rFonts w:cs="Arial"/>
        </w:rPr>
        <w:t>, n=3</w:t>
      </w:r>
      <w:r w:rsidRPr="2FC83E96">
        <w:rPr>
          <w:rFonts w:cs="Arial"/>
        </w:rPr>
        <w:t>.</w:t>
      </w:r>
      <w:r w:rsidRPr="2FC83E96">
        <w:rPr>
          <w:rFonts w:eastAsiaTheme="minorEastAsia"/>
        </w:rPr>
        <w:t xml:space="preserve"> </w:t>
      </w:r>
      <w:r w:rsidRPr="2FC83E96">
        <w:rPr>
          <w:rFonts w:eastAsiaTheme="minorEastAsia"/>
          <w:b/>
          <w:bCs/>
        </w:rPr>
        <w:t>(B)</w:t>
      </w:r>
      <w:r w:rsidRPr="2FC83E96">
        <w:rPr>
          <w:rFonts w:eastAsiaTheme="minorEastAsia"/>
        </w:rPr>
        <w:t xml:space="preserve"> Representative Western blot analysis with antibodies against </w:t>
      </w:r>
      <w:r>
        <w:rPr>
          <w:rFonts w:eastAsia="Times New Roman"/>
          <w:noProof w:val="0"/>
          <w:lang w:val="en-GB" w:eastAsia="de-DE"/>
        </w:rPr>
        <w:t xml:space="preserve">LC-3B </w:t>
      </w:r>
      <w:r w:rsidRPr="2FC83E96">
        <w:rPr>
          <w:rFonts w:eastAsia="Times New Roman"/>
          <w:noProof w:val="0"/>
          <w:lang w:val="en-GB" w:eastAsia="de-DE"/>
        </w:rPr>
        <w:t>and α-tubulin.</w:t>
      </w:r>
    </w:p>
    <w:p w14:paraId="6AB9DA0F" w14:textId="77777777" w:rsidR="00547539" w:rsidRDefault="00547539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</w:p>
    <w:p w14:paraId="76EF5015" w14:textId="77777777" w:rsidR="00547539" w:rsidRDefault="00547539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</w:p>
    <w:p w14:paraId="1E597922" w14:textId="77777777" w:rsidR="00547539" w:rsidRDefault="00547539" w:rsidP="00547539">
      <w:pPr>
        <w:spacing w:line="360" w:lineRule="auto"/>
        <w:jc w:val="both"/>
        <w:rPr>
          <w:rFonts w:eastAsia="Times New Roman"/>
          <w:lang w:val="en-GB" w:eastAsia="de-DE"/>
        </w:rPr>
      </w:pPr>
    </w:p>
    <w:p w14:paraId="6988C0D3" w14:textId="3CDDCCE4" w:rsidR="00547539" w:rsidRPr="000642BF" w:rsidRDefault="0039662C" w:rsidP="00547539">
      <w:pPr>
        <w:spacing w:line="360" w:lineRule="auto"/>
        <w:jc w:val="both"/>
        <w:rPr>
          <w:rFonts w:eastAsia="Times New Roman"/>
          <w:noProof w:val="0"/>
          <w:lang w:val="en-GB" w:eastAsia="de-DE"/>
        </w:rPr>
      </w:pPr>
      <w:r>
        <w:rPr>
          <w:rFonts w:eastAsia="Times New Roman"/>
          <w:b/>
          <w:bCs/>
          <w:lang w:val="en-GB" w:eastAsia="de-DE"/>
        </w:rPr>
        <w:lastRenderedPageBreak/>
        <w:drawing>
          <wp:anchor distT="0" distB="0" distL="114300" distR="114300" simplePos="0" relativeHeight="251667456" behindDoc="0" locked="0" layoutInCell="1" allowOverlap="1" wp14:anchorId="5D76FAEB" wp14:editId="49109922">
            <wp:simplePos x="0" y="0"/>
            <wp:positionH relativeFrom="column">
              <wp:posOffset>-4098</wp:posOffset>
            </wp:positionH>
            <wp:positionV relativeFrom="paragraph">
              <wp:posOffset>527</wp:posOffset>
            </wp:positionV>
            <wp:extent cx="2383536" cy="7385305"/>
            <wp:effectExtent l="0" t="0" r="0" b="6350"/>
            <wp:wrapSquare wrapText="bothSides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36" cy="738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539" w:rsidRPr="2FC83E96">
        <w:rPr>
          <w:rFonts w:eastAsia="Times New Roman"/>
          <w:b/>
          <w:bCs/>
          <w:noProof w:val="0"/>
          <w:lang w:val="en-GB" w:eastAsia="de-DE"/>
        </w:rPr>
        <w:t>Figure S</w:t>
      </w:r>
      <w:r w:rsidR="00547539">
        <w:rPr>
          <w:rFonts w:eastAsia="Times New Roman"/>
          <w:b/>
          <w:bCs/>
          <w:noProof w:val="0"/>
          <w:lang w:val="en-GB" w:eastAsia="de-DE"/>
        </w:rPr>
        <w:t>6</w:t>
      </w:r>
      <w:r w:rsidR="00547539" w:rsidRPr="2FC83E96">
        <w:rPr>
          <w:rFonts w:eastAsia="Times New Roman"/>
          <w:b/>
          <w:bCs/>
          <w:noProof w:val="0"/>
          <w:lang w:val="en-GB" w:eastAsia="de-DE"/>
        </w:rPr>
        <w:t>. Inhibition of HIF</w:t>
      </w:r>
      <w:r w:rsidR="00547539" w:rsidRPr="2FC83E96">
        <w:rPr>
          <w:rFonts w:ascii="Symbol" w:eastAsia="Symbol" w:hAnsi="Symbol" w:cs="Symbol"/>
          <w:b/>
          <w:bCs/>
          <w:noProof w:val="0"/>
          <w:lang w:val="en-GB" w:eastAsia="de-DE"/>
        </w:rPr>
        <w:t></w:t>
      </w:r>
      <w:r w:rsidR="00547539" w:rsidRPr="2FC83E96">
        <w:rPr>
          <w:rFonts w:eastAsia="Times New Roman"/>
          <w:b/>
          <w:bCs/>
          <w:noProof w:val="0"/>
          <w:lang w:val="en-GB" w:eastAsia="de-DE"/>
        </w:rPr>
        <w:t xml:space="preserve"> subunits affect proliferation and migration of </w:t>
      </w:r>
      <w:r w:rsidR="00547539" w:rsidRPr="2FC83E96">
        <w:rPr>
          <w:rFonts w:eastAsia="Times New Roman"/>
          <w:b/>
          <w:bCs/>
          <w:i/>
          <w:iCs/>
          <w:noProof w:val="0"/>
          <w:lang w:val="en-GB" w:eastAsia="de-DE"/>
        </w:rPr>
        <w:t>GSK3</w:t>
      </w:r>
      <w:r w:rsidR="00547539" w:rsidRPr="2FC83E96">
        <w:rPr>
          <w:rFonts w:ascii="Symbol" w:eastAsia="Symbol" w:hAnsi="Symbol" w:cs="Symbol"/>
          <w:b/>
          <w:bCs/>
          <w:i/>
          <w:iCs/>
          <w:noProof w:val="0"/>
          <w:lang w:val="en-GB" w:eastAsia="de-DE"/>
        </w:rPr>
        <w:t></w:t>
      </w:r>
      <w:r w:rsidR="005C6A9B">
        <w:rPr>
          <w:rFonts w:ascii="Symbol" w:eastAsia="Symbol" w:hAnsi="Symbol" w:cs="Symbol"/>
          <w:b/>
          <w:bCs/>
          <w:i/>
          <w:iCs/>
          <w:noProof w:val="0"/>
          <w:lang w:val="en-GB" w:eastAsia="de-DE"/>
        </w:rPr>
        <w:t xml:space="preserve"> </w:t>
      </w:r>
      <w:r w:rsidR="00547539" w:rsidRPr="2FC83E96">
        <w:rPr>
          <w:rFonts w:eastAsia="Times New Roman"/>
          <w:b/>
          <w:bCs/>
          <w:i/>
          <w:iCs/>
          <w:noProof w:val="0"/>
          <w:vertAlign w:val="superscript"/>
          <w:lang w:val="en-GB" w:eastAsia="de-DE"/>
        </w:rPr>
        <w:t>-/-</w:t>
      </w:r>
      <w:r w:rsidR="00547539" w:rsidRPr="2FC83E96">
        <w:rPr>
          <w:rFonts w:eastAsia="Times New Roman"/>
          <w:b/>
          <w:bCs/>
          <w:i/>
          <w:iCs/>
          <w:noProof w:val="0"/>
          <w:lang w:val="en-GB" w:eastAsia="de-DE"/>
        </w:rPr>
        <w:t xml:space="preserve"> </w:t>
      </w:r>
      <w:r w:rsidR="00547539" w:rsidRPr="2FC83E96">
        <w:rPr>
          <w:rFonts w:eastAsia="Times New Roman"/>
          <w:b/>
          <w:bCs/>
          <w:noProof w:val="0"/>
          <w:lang w:val="en-GB" w:eastAsia="de-DE"/>
        </w:rPr>
        <w:t>cells</w:t>
      </w:r>
    </w:p>
    <w:p w14:paraId="3E5A56B0" w14:textId="012E3F48" w:rsidR="00547539" w:rsidRDefault="00547539" w:rsidP="00547539">
      <w:pPr>
        <w:spacing w:line="360" w:lineRule="auto"/>
        <w:jc w:val="both"/>
        <w:rPr>
          <w:rFonts w:cs="Arial"/>
          <w:lang w:val="en-GB" w:eastAsia="de-DE"/>
        </w:rPr>
      </w:pPr>
      <w:r w:rsidRPr="2FC83E96">
        <w:rPr>
          <w:rFonts w:cs="Arial"/>
          <w:b/>
          <w:bCs/>
        </w:rPr>
        <w:t>(A)</w:t>
      </w:r>
      <w:r w:rsidRPr="2FC83E96">
        <w:rPr>
          <w:rFonts w:cs="Arial"/>
        </w:rPr>
        <w:t xml:space="preserve"> Real-time proliferation rate of </w:t>
      </w:r>
      <w:r w:rsidRPr="2FC83E96">
        <w:rPr>
          <w:rFonts w:cs="Arial"/>
          <w:i/>
          <w:iCs/>
        </w:rPr>
        <w:t>GSK3</w:t>
      </w:r>
      <w:r>
        <w:rPr>
          <w:rFonts w:ascii="Symbol" w:eastAsia="Symbol" w:hAnsi="Symbol" w:cs="Symbol"/>
          <w:i/>
          <w:iCs/>
        </w:rPr>
        <w:t></w:t>
      </w:r>
      <w:r w:rsidR="005C6A9B">
        <w:rPr>
          <w:rFonts w:ascii="Symbol" w:eastAsia="Symbol" w:hAnsi="Symbol" w:cs="Symbol"/>
          <w:i/>
          <w:iCs/>
        </w:rPr>
        <w:t xml:space="preserve"> </w:t>
      </w:r>
      <w:r w:rsidRPr="2FC83E96">
        <w:rPr>
          <w:rFonts w:cs="Arial"/>
          <w:vertAlign w:val="superscript"/>
        </w:rPr>
        <w:t>-/-</w:t>
      </w:r>
      <w:r w:rsidRPr="2FC83E96">
        <w:rPr>
          <w:rFonts w:cs="Arial"/>
        </w:rPr>
        <w:t xml:space="preserve"> MEFs upon Tu, YC-1 or PT-2385 treatment, *significance </w:t>
      </w:r>
      <w:r w:rsidRPr="2FC83E96">
        <w:rPr>
          <w:rFonts w:cs="Arial"/>
          <w:i/>
          <w:iCs/>
        </w:rPr>
        <w:t>GSK3</w:t>
      </w:r>
      <w:r>
        <w:rPr>
          <w:rFonts w:ascii="Symbol" w:eastAsia="Symbol" w:hAnsi="Symbol" w:cs="Symbol"/>
          <w:i/>
          <w:iCs/>
        </w:rPr>
        <w:t></w:t>
      </w:r>
      <w:r w:rsidR="005C6A9B">
        <w:rPr>
          <w:rFonts w:ascii="Symbol" w:eastAsia="Symbol" w:hAnsi="Symbol" w:cs="Symbol"/>
          <w:i/>
          <w:iCs/>
        </w:rPr>
        <w:t xml:space="preserve"> </w:t>
      </w:r>
      <w:r w:rsidRPr="2FC83E96">
        <w:rPr>
          <w:rFonts w:cs="Arial"/>
          <w:vertAlign w:val="superscript"/>
        </w:rPr>
        <w:t>-/-</w:t>
      </w:r>
      <w:r w:rsidRPr="2FC83E96">
        <w:rPr>
          <w:rFonts w:cs="Arial"/>
        </w:rPr>
        <w:t xml:space="preserve"> vs </w:t>
      </w:r>
      <w:r w:rsidRPr="2FC83E96">
        <w:rPr>
          <w:rFonts w:cs="Arial"/>
          <w:i/>
          <w:iCs/>
        </w:rPr>
        <w:t>GSK3</w:t>
      </w:r>
      <w:r>
        <w:rPr>
          <w:rFonts w:ascii="Symbol" w:eastAsia="Symbol" w:hAnsi="Symbol" w:cs="Symbol"/>
          <w:i/>
          <w:iCs/>
        </w:rPr>
        <w:t></w:t>
      </w:r>
      <w:r w:rsidR="005C6A9B">
        <w:rPr>
          <w:rFonts w:ascii="Symbol" w:eastAsia="Symbol" w:hAnsi="Symbol" w:cs="Symbol"/>
          <w:i/>
          <w:iCs/>
        </w:rPr>
        <w:t xml:space="preserve"> </w:t>
      </w:r>
      <w:r w:rsidRPr="2FC83E96">
        <w:rPr>
          <w:rFonts w:cs="Arial"/>
          <w:vertAlign w:val="superscript"/>
        </w:rPr>
        <w:t>-/-</w:t>
      </w:r>
      <w:r w:rsidRPr="2FC83E96">
        <w:rPr>
          <w:rFonts w:cs="Arial"/>
        </w:rPr>
        <w:t xml:space="preserve"> + YC-1,**significance </w:t>
      </w:r>
      <w:r w:rsidRPr="2FC83E96">
        <w:rPr>
          <w:rFonts w:cs="Arial"/>
          <w:i/>
          <w:iCs/>
        </w:rPr>
        <w:t>GSK3</w:t>
      </w:r>
      <w:r>
        <w:rPr>
          <w:rFonts w:ascii="Symbol" w:eastAsia="Symbol" w:hAnsi="Symbol" w:cs="Symbol"/>
          <w:i/>
          <w:iCs/>
        </w:rPr>
        <w:t></w:t>
      </w:r>
      <w:r w:rsidR="005C6A9B">
        <w:rPr>
          <w:rFonts w:ascii="Symbol" w:eastAsia="Symbol" w:hAnsi="Symbol" w:cs="Symbol"/>
          <w:i/>
          <w:iCs/>
        </w:rPr>
        <w:t xml:space="preserve"> </w:t>
      </w:r>
      <w:r w:rsidRPr="2FC83E96">
        <w:rPr>
          <w:rFonts w:cs="Arial"/>
          <w:vertAlign w:val="superscript"/>
        </w:rPr>
        <w:t>-/-</w:t>
      </w:r>
      <w:r w:rsidRPr="2FC83E96">
        <w:rPr>
          <w:rFonts w:cs="Arial"/>
          <w:i/>
          <w:iCs/>
          <w:vertAlign w:val="superscript"/>
        </w:rPr>
        <w:t>-</w:t>
      </w:r>
      <w:r w:rsidRPr="2FC83E96">
        <w:rPr>
          <w:rFonts w:cs="Arial"/>
          <w:i/>
          <w:iCs/>
        </w:rPr>
        <w:t xml:space="preserve"> </w:t>
      </w:r>
      <w:r w:rsidRPr="2FC83E96">
        <w:rPr>
          <w:rFonts w:cs="Arial"/>
        </w:rPr>
        <w:t xml:space="preserve">vs </w:t>
      </w:r>
      <w:r w:rsidRPr="2FC83E96">
        <w:rPr>
          <w:rFonts w:cs="Arial"/>
          <w:i/>
          <w:iCs/>
        </w:rPr>
        <w:t>GSK3</w:t>
      </w:r>
      <w:r>
        <w:rPr>
          <w:rFonts w:ascii="Symbol" w:eastAsia="Symbol" w:hAnsi="Symbol" w:cs="Symbol"/>
          <w:i/>
          <w:iCs/>
        </w:rPr>
        <w:t></w:t>
      </w:r>
      <w:r w:rsidR="005C6A9B">
        <w:rPr>
          <w:rFonts w:ascii="Symbol" w:eastAsia="Symbol" w:hAnsi="Symbol" w:cs="Symbol"/>
          <w:i/>
          <w:iCs/>
        </w:rPr>
        <w:t xml:space="preserve"> </w:t>
      </w:r>
      <w:r w:rsidRPr="2FC83E96">
        <w:rPr>
          <w:rFonts w:cs="Arial"/>
          <w:vertAlign w:val="superscript"/>
        </w:rPr>
        <w:t>-/-</w:t>
      </w:r>
      <w:r w:rsidRPr="2FC83E96">
        <w:rPr>
          <w:rFonts w:cs="Arial"/>
        </w:rPr>
        <w:t xml:space="preserve"> </w:t>
      </w:r>
      <w:r w:rsidRPr="2FC83E96">
        <w:rPr>
          <w:rFonts w:cs="Arial"/>
          <w:i/>
          <w:iCs/>
        </w:rPr>
        <w:t xml:space="preserve"> </w:t>
      </w:r>
      <w:r w:rsidRPr="2FC83E96">
        <w:rPr>
          <w:rFonts w:cs="Arial"/>
        </w:rPr>
        <w:t>+ PT-2385 p ≤ 0.05</w:t>
      </w:r>
      <w:r>
        <w:rPr>
          <w:rFonts w:cs="Arial"/>
        </w:rPr>
        <w:t>, n=4</w:t>
      </w:r>
      <w:r w:rsidRPr="2FC83E96">
        <w:rPr>
          <w:rFonts w:cs="Arial"/>
        </w:rPr>
        <w:t xml:space="preserve">. </w:t>
      </w:r>
      <w:r w:rsidRPr="2FC83E96">
        <w:rPr>
          <w:rFonts w:cs="Arial"/>
          <w:b/>
          <w:bCs/>
        </w:rPr>
        <w:t xml:space="preserve">(B,C) </w:t>
      </w:r>
      <w:r w:rsidRPr="2FC83E96">
        <w:rPr>
          <w:rFonts w:cs="Arial"/>
        </w:rPr>
        <w:t xml:space="preserve">Real-time wound closure of </w:t>
      </w:r>
      <w:r w:rsidRPr="2FC83E96">
        <w:rPr>
          <w:rFonts w:cs="Arial"/>
          <w:i/>
          <w:iCs/>
        </w:rPr>
        <w:t>GSK3</w:t>
      </w:r>
      <w:r>
        <w:rPr>
          <w:rFonts w:ascii="Symbol" w:eastAsia="Symbol" w:hAnsi="Symbol" w:cs="Symbol"/>
          <w:i/>
          <w:iCs/>
        </w:rPr>
        <w:t></w:t>
      </w:r>
      <w:r w:rsidR="005C6A9B">
        <w:rPr>
          <w:rFonts w:ascii="Symbol" w:eastAsia="Symbol" w:hAnsi="Symbol" w:cs="Symbol"/>
          <w:i/>
          <w:iCs/>
        </w:rPr>
        <w:t xml:space="preserve"> </w:t>
      </w:r>
      <w:r w:rsidRPr="2FC83E96">
        <w:rPr>
          <w:rFonts w:cs="Arial"/>
          <w:vertAlign w:val="superscript"/>
        </w:rPr>
        <w:t>-/-</w:t>
      </w:r>
      <w:r w:rsidRPr="2FC83E96">
        <w:rPr>
          <w:rFonts w:cs="Arial"/>
        </w:rPr>
        <w:t xml:space="preserve"> cells upon Tu, YC-1 or PT-2385 treatment, *significance</w:t>
      </w:r>
      <w:r w:rsidRPr="2FC83E96">
        <w:rPr>
          <w:rFonts w:cs="Arial"/>
          <w:i/>
          <w:iCs/>
        </w:rPr>
        <w:t xml:space="preserve"> GSK3</w:t>
      </w:r>
      <w:r>
        <w:rPr>
          <w:rFonts w:ascii="Symbol" w:eastAsia="Symbol" w:hAnsi="Symbol" w:cs="Symbol"/>
          <w:i/>
          <w:iCs/>
        </w:rPr>
        <w:t></w:t>
      </w:r>
      <w:r w:rsidR="005C6A9B">
        <w:rPr>
          <w:rFonts w:ascii="Symbol" w:eastAsia="Symbol" w:hAnsi="Symbol" w:cs="Symbol"/>
          <w:i/>
          <w:iCs/>
        </w:rPr>
        <w:t xml:space="preserve"> </w:t>
      </w:r>
      <w:r w:rsidRPr="2FC83E96">
        <w:rPr>
          <w:rFonts w:cs="Arial"/>
          <w:vertAlign w:val="superscript"/>
        </w:rPr>
        <w:t>-/-</w:t>
      </w:r>
      <w:r w:rsidRPr="2FC83E96">
        <w:rPr>
          <w:rFonts w:cs="Arial"/>
        </w:rPr>
        <w:t xml:space="preserve"> vs Tu, **significance </w:t>
      </w:r>
      <w:r w:rsidRPr="2FC83E96">
        <w:rPr>
          <w:rFonts w:cs="Arial"/>
          <w:i/>
          <w:iCs/>
        </w:rPr>
        <w:t>GSK3</w:t>
      </w:r>
      <w:r>
        <w:rPr>
          <w:rFonts w:ascii="Symbol" w:eastAsia="Symbol" w:hAnsi="Symbol" w:cs="Symbol"/>
          <w:i/>
          <w:iCs/>
        </w:rPr>
        <w:t></w:t>
      </w:r>
      <w:r w:rsidR="005C6A9B">
        <w:rPr>
          <w:rFonts w:ascii="Symbol" w:eastAsia="Symbol" w:hAnsi="Symbol" w:cs="Symbol"/>
          <w:i/>
          <w:iCs/>
        </w:rPr>
        <w:t xml:space="preserve"> </w:t>
      </w:r>
      <w:r w:rsidRPr="2FC83E96">
        <w:rPr>
          <w:rFonts w:cs="Arial"/>
          <w:vertAlign w:val="superscript"/>
        </w:rPr>
        <w:t>-/-</w:t>
      </w:r>
      <w:r w:rsidRPr="2FC83E96">
        <w:rPr>
          <w:rFonts w:cs="Arial"/>
        </w:rPr>
        <w:t xml:space="preserve"> vs YC-1 or PT-2385, p ≤ 0.05</w:t>
      </w:r>
      <w:r>
        <w:rPr>
          <w:rFonts w:cs="Arial"/>
        </w:rPr>
        <w:t>, n=3</w:t>
      </w:r>
      <w:r w:rsidRPr="2FC83E96">
        <w:rPr>
          <w:rFonts w:cs="Arial"/>
        </w:rPr>
        <w:t xml:space="preserve">. </w:t>
      </w:r>
      <w:r w:rsidRPr="2FC83E96">
        <w:rPr>
          <w:rFonts w:cs="Arial"/>
          <w:b/>
          <w:bCs/>
        </w:rPr>
        <w:t xml:space="preserve">(D) </w:t>
      </w:r>
      <w:r w:rsidRPr="2FC83E96">
        <w:rPr>
          <w:rFonts w:cs="Arial"/>
        </w:rPr>
        <w:t>Representative images of wound closure.</w:t>
      </w:r>
    </w:p>
    <w:p w14:paraId="2ABC7754" w14:textId="77777777" w:rsidR="00547539" w:rsidRDefault="00547539" w:rsidP="00547539">
      <w:pPr>
        <w:spacing w:line="240" w:lineRule="auto"/>
      </w:pPr>
    </w:p>
    <w:p w14:paraId="1B3A9FBE" w14:textId="77777777" w:rsidR="00547539" w:rsidRDefault="00547539" w:rsidP="00547539">
      <w:pPr>
        <w:spacing w:line="240" w:lineRule="auto"/>
      </w:pPr>
    </w:p>
    <w:p w14:paraId="330F07C7" w14:textId="77777777" w:rsidR="00547539" w:rsidRDefault="00547539" w:rsidP="00547539">
      <w:pPr>
        <w:spacing w:line="240" w:lineRule="auto"/>
      </w:pPr>
    </w:p>
    <w:p w14:paraId="62AA2945" w14:textId="77777777" w:rsidR="00547539" w:rsidRDefault="00547539" w:rsidP="00547539">
      <w:pPr>
        <w:spacing w:line="240" w:lineRule="auto"/>
      </w:pPr>
    </w:p>
    <w:p w14:paraId="34FE1CF3" w14:textId="77777777" w:rsidR="00547539" w:rsidRDefault="00547539" w:rsidP="00547539">
      <w:pPr>
        <w:spacing w:line="240" w:lineRule="auto"/>
      </w:pPr>
    </w:p>
    <w:p w14:paraId="13A96ACD" w14:textId="77777777" w:rsidR="00547539" w:rsidRDefault="00547539" w:rsidP="00547539">
      <w:pPr>
        <w:spacing w:line="240" w:lineRule="auto"/>
      </w:pPr>
    </w:p>
    <w:p w14:paraId="6572E9C0" w14:textId="77777777" w:rsidR="00547539" w:rsidRDefault="00547539" w:rsidP="00547539">
      <w:pPr>
        <w:spacing w:line="240" w:lineRule="auto"/>
      </w:pPr>
    </w:p>
    <w:p w14:paraId="047E5C32" w14:textId="77777777" w:rsidR="00547539" w:rsidRDefault="00547539" w:rsidP="00547539">
      <w:pPr>
        <w:spacing w:line="240" w:lineRule="auto"/>
      </w:pPr>
    </w:p>
    <w:p w14:paraId="7EA39DC9" w14:textId="77777777" w:rsidR="00547539" w:rsidRDefault="00547539" w:rsidP="00547539">
      <w:pPr>
        <w:spacing w:line="240" w:lineRule="auto"/>
      </w:pPr>
    </w:p>
    <w:p w14:paraId="65E92DFD" w14:textId="77777777" w:rsidR="00547539" w:rsidRDefault="00547539" w:rsidP="00547539">
      <w:pPr>
        <w:spacing w:line="240" w:lineRule="auto"/>
      </w:pPr>
    </w:p>
    <w:p w14:paraId="3D963A6C" w14:textId="77777777" w:rsidR="00547539" w:rsidRDefault="00547539" w:rsidP="00547539">
      <w:pPr>
        <w:spacing w:line="240" w:lineRule="auto"/>
      </w:pPr>
    </w:p>
    <w:p w14:paraId="474C1035" w14:textId="77777777" w:rsidR="00547539" w:rsidRDefault="00547539" w:rsidP="00547539">
      <w:pPr>
        <w:spacing w:line="240" w:lineRule="auto"/>
      </w:pPr>
    </w:p>
    <w:p w14:paraId="4C16AC53" w14:textId="77777777" w:rsidR="00547539" w:rsidRDefault="00547539" w:rsidP="00547539">
      <w:pPr>
        <w:spacing w:line="240" w:lineRule="auto"/>
      </w:pPr>
    </w:p>
    <w:p w14:paraId="1CDDDBA6" w14:textId="77777777" w:rsidR="00547539" w:rsidRDefault="00547539" w:rsidP="00547539">
      <w:pPr>
        <w:spacing w:line="240" w:lineRule="auto"/>
      </w:pPr>
    </w:p>
    <w:p w14:paraId="06402D93" w14:textId="77777777" w:rsidR="00547539" w:rsidRDefault="00547539" w:rsidP="00547539">
      <w:pPr>
        <w:spacing w:line="240" w:lineRule="auto"/>
      </w:pPr>
    </w:p>
    <w:p w14:paraId="672111B4" w14:textId="77777777" w:rsidR="00547539" w:rsidRDefault="00547539" w:rsidP="00547539">
      <w:pPr>
        <w:spacing w:line="240" w:lineRule="auto"/>
      </w:pPr>
    </w:p>
    <w:p w14:paraId="7AB11428" w14:textId="77777777" w:rsidR="00547539" w:rsidRDefault="00547539" w:rsidP="00547539">
      <w:pPr>
        <w:spacing w:line="240" w:lineRule="auto"/>
      </w:pPr>
    </w:p>
    <w:p w14:paraId="765F46B4" w14:textId="77777777" w:rsidR="00547539" w:rsidRDefault="00547539" w:rsidP="00547539">
      <w:pPr>
        <w:spacing w:line="240" w:lineRule="auto"/>
      </w:pPr>
    </w:p>
    <w:p w14:paraId="11EFE3E4" w14:textId="77777777" w:rsidR="00547539" w:rsidRDefault="00547539" w:rsidP="00547539">
      <w:pPr>
        <w:spacing w:line="240" w:lineRule="auto"/>
      </w:pPr>
    </w:p>
    <w:p w14:paraId="3B066EA1" w14:textId="77777777" w:rsidR="00547539" w:rsidRDefault="00547539" w:rsidP="00547539">
      <w:pPr>
        <w:spacing w:line="240" w:lineRule="auto"/>
      </w:pPr>
    </w:p>
    <w:p w14:paraId="5956A672" w14:textId="6196280E" w:rsidR="006D6909" w:rsidRDefault="006D6909"/>
    <w:sectPr w:rsidR="006D6909">
      <w:pgSz w:w="12240" w:h="15840"/>
      <w:pgMar w:top="1417" w:right="1134" w:bottom="141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539"/>
    <w:rsid w:val="000C2C77"/>
    <w:rsid w:val="001270B6"/>
    <w:rsid w:val="002E57DC"/>
    <w:rsid w:val="0039662C"/>
    <w:rsid w:val="00547539"/>
    <w:rsid w:val="005B57AE"/>
    <w:rsid w:val="005C6A9B"/>
    <w:rsid w:val="006D6909"/>
    <w:rsid w:val="00A36CFE"/>
    <w:rsid w:val="00E22A6F"/>
    <w:rsid w:val="00E26E41"/>
    <w:rsid w:val="00E96461"/>
    <w:rsid w:val="00F5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F1BD5"/>
  <w15:chartTrackingRefBased/>
  <w15:docId w15:val="{BE77F6F8-8A50-4EA2-86B6-4ED2AADF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539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Kietzmann</dc:creator>
  <cp:keywords/>
  <dc:description/>
  <cp:lastModifiedBy>Thomas Kietzmann</cp:lastModifiedBy>
  <cp:revision>11</cp:revision>
  <dcterms:created xsi:type="dcterms:W3CDTF">2021-12-14T08:25:00Z</dcterms:created>
  <dcterms:modified xsi:type="dcterms:W3CDTF">2022-01-14T07:28:00Z</dcterms:modified>
</cp:coreProperties>
</file>