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5CBC1" w14:textId="77777777" w:rsidR="00AB3BAC" w:rsidRDefault="00AB3BAC" w:rsidP="00AB3BAC">
      <w:pPr>
        <w:keepNext/>
        <w:spacing w:line="360" w:lineRule="auto"/>
        <w:jc w:val="both"/>
        <w:rPr>
          <w:rFonts w:ascii="Times New Roman" w:hAnsi="Times New Roman" w:cs="Times New Roman"/>
          <w:b/>
          <w:bCs/>
          <w:lang w:val="en-GB"/>
        </w:rPr>
      </w:pPr>
      <w:r>
        <w:rPr>
          <w:rFonts w:ascii="Times New Roman" w:hAnsi="Times New Roman" w:cs="Times New Roman"/>
          <w:b/>
          <w:bCs/>
          <w:noProof/>
          <w:lang w:val="en-GB" w:eastAsia="en-GB"/>
        </w:rPr>
        <w:drawing>
          <wp:inline distT="0" distB="0" distL="0" distR="0" wp14:anchorId="08A3FE8A" wp14:editId="16689AA6">
            <wp:extent cx="8892000" cy="3020400"/>
            <wp:effectExtent l="0" t="0" r="4445"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2000" cy="3020400"/>
                    </a:xfrm>
                    <a:prstGeom prst="rect">
                      <a:avLst/>
                    </a:prstGeom>
                    <a:noFill/>
                  </pic:spPr>
                </pic:pic>
              </a:graphicData>
            </a:graphic>
          </wp:inline>
        </w:drawing>
      </w:r>
    </w:p>
    <w:p w14:paraId="24765F0A" w14:textId="77777777" w:rsidR="00AB3BAC" w:rsidRPr="009E5815" w:rsidRDefault="00AB3BAC" w:rsidP="00AB3BAC">
      <w:pPr>
        <w:keepNext/>
        <w:spacing w:line="360" w:lineRule="auto"/>
        <w:jc w:val="both"/>
        <w:rPr>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1.</w:t>
      </w:r>
      <w:r w:rsidRPr="009E5815">
        <w:rPr>
          <w:rFonts w:ascii="Times New Roman" w:hAnsi="Times New Roman" w:cs="Times New Roman"/>
          <w:lang w:val="en-GB"/>
        </w:rPr>
        <w:t xml:space="preserve"> </w:t>
      </w:r>
      <w:r w:rsidRPr="009E5815">
        <w:rPr>
          <w:rFonts w:ascii="Times New Roman" w:hAnsi="Times New Roman" w:cs="Times New Roman"/>
          <w:b/>
          <w:bCs/>
          <w:lang w:val="en-GB"/>
        </w:rPr>
        <w:t xml:space="preserve">Biodiversity patterns of selected crustacean taxa in the </w:t>
      </w:r>
      <w:r>
        <w:rPr>
          <w:rFonts w:ascii="Times New Roman" w:hAnsi="Times New Roman" w:cs="Times New Roman"/>
          <w:b/>
          <w:bCs/>
          <w:lang w:val="en-GB"/>
        </w:rPr>
        <w:t>NWP</w:t>
      </w:r>
      <w:r w:rsidRPr="009E5815">
        <w:rPr>
          <w:rFonts w:ascii="Times New Roman" w:hAnsi="Times New Roman" w:cs="Times New Roman"/>
          <w:b/>
          <w:bCs/>
          <w:lang w:val="en-GB"/>
        </w:rPr>
        <w:t>.</w:t>
      </w:r>
      <w:r w:rsidRPr="009E5815">
        <w:rPr>
          <w:rFonts w:ascii="Times New Roman" w:hAnsi="Times New Roman" w:cs="Times New Roman"/>
          <w:lang w:val="en-GB"/>
        </w:rPr>
        <w:t xml:space="preserve"> Sampling effort (abundance, left), species richness (middle) and expected species richness (ES50, right) of </w:t>
      </w:r>
      <w:proofErr w:type="spellStart"/>
      <w:r w:rsidRPr="009E5815">
        <w:rPr>
          <w:rFonts w:ascii="Times New Roman" w:hAnsi="Times New Roman" w:cs="Times New Roman"/>
          <w:sz w:val="24"/>
          <w:szCs w:val="24"/>
          <w:lang w:val="en-GB"/>
        </w:rPr>
        <w:t>Thecostraca</w:t>
      </w:r>
      <w:proofErr w:type="spellEnd"/>
      <w:r w:rsidRPr="009E5815">
        <w:rPr>
          <w:rFonts w:ascii="Times New Roman" w:hAnsi="Times New Roman" w:cs="Times New Roman"/>
          <w:sz w:val="24"/>
          <w:szCs w:val="24"/>
          <w:lang w:val="en-GB"/>
        </w:rPr>
        <w:t xml:space="preserve">, </w:t>
      </w:r>
      <w:proofErr w:type="spellStart"/>
      <w:r w:rsidRPr="009E5815">
        <w:rPr>
          <w:rFonts w:ascii="Times New Roman" w:hAnsi="Times New Roman" w:cs="Times New Roman"/>
          <w:sz w:val="24"/>
          <w:szCs w:val="24"/>
          <w:lang w:val="en-GB"/>
        </w:rPr>
        <w:t>Ostracoda</w:t>
      </w:r>
      <w:proofErr w:type="spellEnd"/>
      <w:r w:rsidRPr="009E5815">
        <w:rPr>
          <w:rFonts w:ascii="Times New Roman" w:hAnsi="Times New Roman" w:cs="Times New Roman"/>
          <w:sz w:val="24"/>
          <w:szCs w:val="24"/>
          <w:lang w:val="en-GB"/>
        </w:rPr>
        <w:t xml:space="preserve">, </w:t>
      </w:r>
      <w:proofErr w:type="spellStart"/>
      <w:r w:rsidRPr="009E5815">
        <w:rPr>
          <w:rFonts w:ascii="Times New Roman" w:hAnsi="Times New Roman" w:cs="Times New Roman"/>
          <w:sz w:val="24"/>
          <w:szCs w:val="24"/>
          <w:lang w:val="en-GB"/>
        </w:rPr>
        <w:t>Copepoda</w:t>
      </w:r>
      <w:proofErr w:type="spellEnd"/>
      <w:r w:rsidRPr="009E5815">
        <w:rPr>
          <w:rFonts w:ascii="Times New Roman" w:hAnsi="Times New Roman" w:cs="Times New Roman"/>
          <w:sz w:val="24"/>
          <w:szCs w:val="24"/>
          <w:lang w:val="en-GB"/>
        </w:rPr>
        <w:t xml:space="preserve"> and Malacostraca excl. </w:t>
      </w:r>
      <w:proofErr w:type="spellStart"/>
      <w:r w:rsidRPr="009E5815">
        <w:rPr>
          <w:rFonts w:ascii="Times New Roman" w:hAnsi="Times New Roman" w:cs="Times New Roman"/>
          <w:sz w:val="24"/>
          <w:szCs w:val="24"/>
          <w:lang w:val="en-GB"/>
        </w:rPr>
        <w:t>Syncarida</w:t>
      </w:r>
      <w:proofErr w:type="spellEnd"/>
      <w:r w:rsidRPr="009E5815">
        <w:rPr>
          <w:rFonts w:ascii="Times New Roman" w:hAnsi="Times New Roman" w:cs="Times New Roman"/>
          <w:lang w:val="en-GB"/>
        </w:rPr>
        <w:t xml:space="preserve"> per hexagonal cells (ca. 700,000 km</w:t>
      </w:r>
      <w:r w:rsidRPr="009E5815">
        <w:rPr>
          <w:rFonts w:ascii="Times New Roman" w:hAnsi="Times New Roman" w:cs="Times New Roman"/>
          <w:vertAlign w:val="superscript"/>
          <w:lang w:val="en-GB"/>
        </w:rPr>
        <w:t>2</w:t>
      </w:r>
      <w:r w:rsidRPr="009E5815">
        <w:rPr>
          <w:rFonts w:ascii="Times New Roman" w:hAnsi="Times New Roman" w:cs="Times New Roman"/>
          <w:lang w:val="en-GB"/>
        </w:rPr>
        <w:t xml:space="preserve"> per cell).</w:t>
      </w:r>
    </w:p>
    <w:p w14:paraId="6C28D7C0" w14:textId="77777777" w:rsidR="00AB3BAC" w:rsidRPr="009E5815" w:rsidRDefault="00AB3BAC" w:rsidP="00AB3BAC">
      <w:pPr>
        <w:keepNext/>
        <w:spacing w:line="360" w:lineRule="auto"/>
        <w:jc w:val="both"/>
        <w:rPr>
          <w:lang w:val="en-GB"/>
        </w:rPr>
      </w:pPr>
      <w:r>
        <w:rPr>
          <w:noProof/>
          <w:lang w:val="en-GB" w:eastAsia="en-GB"/>
        </w:rPr>
        <w:drawing>
          <wp:inline distT="0" distB="0" distL="0" distR="0" wp14:anchorId="460193B8" wp14:editId="458CC346">
            <wp:extent cx="8892000" cy="3020400"/>
            <wp:effectExtent l="0" t="0" r="4445" b="889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2000" cy="3020400"/>
                    </a:xfrm>
                    <a:prstGeom prst="rect">
                      <a:avLst/>
                    </a:prstGeom>
                    <a:noFill/>
                  </pic:spPr>
                </pic:pic>
              </a:graphicData>
            </a:graphic>
          </wp:inline>
        </w:drawing>
      </w:r>
    </w:p>
    <w:p w14:paraId="75E9C7C6" w14:textId="77777777" w:rsidR="00AB3BAC" w:rsidRDefault="00AB3BAC" w:rsidP="00AB3BAC">
      <w:pPr>
        <w:keepNext/>
        <w:spacing w:line="360" w:lineRule="auto"/>
        <w:jc w:val="both"/>
        <w:rPr>
          <w:rFonts w:ascii="Times New Roman" w:hAnsi="Times New Roman" w:cs="Times New Roman"/>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2.</w:t>
      </w:r>
      <w:r w:rsidRPr="009E5815">
        <w:rPr>
          <w:rFonts w:ascii="Times New Roman" w:hAnsi="Times New Roman" w:cs="Times New Roman"/>
          <w:lang w:val="en-GB"/>
        </w:rPr>
        <w:t xml:space="preserve"> </w:t>
      </w:r>
      <w:r w:rsidRPr="009E5815">
        <w:rPr>
          <w:rFonts w:ascii="Times New Roman" w:hAnsi="Times New Roman" w:cs="Times New Roman"/>
          <w:b/>
          <w:bCs/>
          <w:lang w:val="en-GB"/>
        </w:rPr>
        <w:t xml:space="preserve">Biodiversity patterns of shallow (&lt; 500 m) benthic crustaceans in the </w:t>
      </w:r>
      <w:r>
        <w:rPr>
          <w:rFonts w:ascii="Times New Roman" w:hAnsi="Times New Roman" w:cs="Times New Roman"/>
          <w:b/>
          <w:bCs/>
          <w:lang w:val="en-GB"/>
        </w:rPr>
        <w:t>NWP</w:t>
      </w:r>
      <w:r w:rsidRPr="009E5815">
        <w:rPr>
          <w:rFonts w:ascii="Times New Roman" w:hAnsi="Times New Roman" w:cs="Times New Roman"/>
          <w:b/>
          <w:bCs/>
          <w:lang w:val="en-GB"/>
        </w:rPr>
        <w:t>.</w:t>
      </w:r>
      <w:r w:rsidRPr="009E5815">
        <w:rPr>
          <w:rFonts w:ascii="Times New Roman" w:hAnsi="Times New Roman" w:cs="Times New Roman"/>
          <w:lang w:val="en-GB"/>
        </w:rPr>
        <w:t xml:space="preserve"> Sampling effort (abundance, left), species richness (middle) and expected species richness (ES50, right) of </w:t>
      </w:r>
      <w:r w:rsidRPr="009E5815">
        <w:rPr>
          <w:rFonts w:ascii="Times New Roman" w:hAnsi="Times New Roman" w:cs="Times New Roman"/>
          <w:sz w:val="24"/>
          <w:szCs w:val="24"/>
          <w:lang w:val="en-GB"/>
        </w:rPr>
        <w:t>shallow water benthic crustaceans</w:t>
      </w:r>
      <w:r w:rsidRPr="009E5815">
        <w:rPr>
          <w:rFonts w:ascii="Times New Roman" w:hAnsi="Times New Roman" w:cs="Times New Roman"/>
          <w:lang w:val="en-GB"/>
        </w:rPr>
        <w:t xml:space="preserve"> per hexagonal cells (ca. 700,000 km</w:t>
      </w:r>
      <w:r w:rsidRPr="009E5815">
        <w:rPr>
          <w:rFonts w:ascii="Times New Roman" w:hAnsi="Times New Roman" w:cs="Times New Roman"/>
          <w:vertAlign w:val="superscript"/>
          <w:lang w:val="en-GB"/>
        </w:rPr>
        <w:t>2</w:t>
      </w:r>
      <w:r w:rsidRPr="009E5815">
        <w:rPr>
          <w:rFonts w:ascii="Times New Roman" w:hAnsi="Times New Roman" w:cs="Times New Roman"/>
          <w:lang w:val="en-GB"/>
        </w:rPr>
        <w:t xml:space="preserve"> per cell).</w:t>
      </w:r>
      <w:r>
        <w:rPr>
          <w:rFonts w:ascii="Times New Roman" w:hAnsi="Times New Roman" w:cs="Times New Roman"/>
          <w:lang w:val="en-GB"/>
        </w:rPr>
        <w:t xml:space="preserve"> </w:t>
      </w:r>
      <w:r w:rsidRPr="005226D7">
        <w:rPr>
          <w:rFonts w:ascii="Times New Roman" w:hAnsi="Times New Roman" w:cs="Times New Roman"/>
          <w:lang w:val="en-GB"/>
        </w:rPr>
        <w:t xml:space="preserve">Lower counts of </w:t>
      </w:r>
      <w:r w:rsidRPr="005226D7">
        <w:rPr>
          <w:rFonts w:ascii="Times New Roman" w:hAnsi="Times New Roman" w:cs="Times New Roman"/>
          <w:lang w:val="en-GB"/>
        </w:rPr>
        <w:lastRenderedPageBreak/>
        <w:t>colo</w:t>
      </w:r>
      <w:r>
        <w:rPr>
          <w:rFonts w:ascii="Times New Roman" w:hAnsi="Times New Roman" w:cs="Times New Roman"/>
          <w:lang w:val="en-GB"/>
        </w:rPr>
        <w:t>u</w:t>
      </w:r>
      <w:r w:rsidRPr="005226D7">
        <w:rPr>
          <w:rFonts w:ascii="Times New Roman" w:hAnsi="Times New Roman" w:cs="Times New Roman"/>
          <w:lang w:val="en-GB"/>
        </w:rPr>
        <w:t xml:space="preserve">red grid cells in species </w:t>
      </w:r>
      <w:r>
        <w:rPr>
          <w:rFonts w:ascii="Times New Roman" w:hAnsi="Times New Roman" w:cs="Times New Roman"/>
          <w:lang w:val="en-GB"/>
        </w:rPr>
        <w:t>r</w:t>
      </w:r>
      <w:r w:rsidRPr="005226D7">
        <w:rPr>
          <w:rFonts w:ascii="Times New Roman" w:hAnsi="Times New Roman" w:cs="Times New Roman"/>
          <w:lang w:val="en-GB"/>
        </w:rPr>
        <w:t xml:space="preserve">ichness and expected </w:t>
      </w:r>
      <w:r>
        <w:rPr>
          <w:rFonts w:ascii="Times New Roman" w:hAnsi="Times New Roman" w:cs="Times New Roman"/>
          <w:lang w:val="en-GB"/>
        </w:rPr>
        <w:t>s</w:t>
      </w:r>
      <w:r w:rsidRPr="005226D7">
        <w:rPr>
          <w:rFonts w:ascii="Times New Roman" w:hAnsi="Times New Roman" w:cs="Times New Roman"/>
          <w:lang w:val="en-GB"/>
        </w:rPr>
        <w:t xml:space="preserve">pecies </w:t>
      </w:r>
      <w:r>
        <w:rPr>
          <w:rFonts w:ascii="Times New Roman" w:hAnsi="Times New Roman" w:cs="Times New Roman"/>
          <w:lang w:val="en-GB"/>
        </w:rPr>
        <w:t>r</w:t>
      </w:r>
      <w:r w:rsidRPr="005226D7">
        <w:rPr>
          <w:rFonts w:ascii="Times New Roman" w:hAnsi="Times New Roman" w:cs="Times New Roman"/>
          <w:lang w:val="en-GB"/>
        </w:rPr>
        <w:t>ichness than in sampling effort are caused by distribution records that lack taxonomic identification to species level.</w:t>
      </w:r>
      <w:r w:rsidRPr="007540D5">
        <w:rPr>
          <w:rFonts w:ascii="Times New Roman" w:hAnsi="Times New Roman" w:cs="Times New Roman"/>
          <w:lang w:val="en-GB"/>
        </w:rPr>
        <w:t xml:space="preserve"> </w:t>
      </w:r>
    </w:p>
    <w:p w14:paraId="24A1EDD8" w14:textId="77777777" w:rsidR="00AB3BAC" w:rsidRDefault="00AB3BAC" w:rsidP="00AB3BAC">
      <w:pPr>
        <w:rPr>
          <w:rFonts w:ascii="Times New Roman" w:hAnsi="Times New Roman" w:cs="Times New Roman"/>
          <w:lang w:val="en-GB"/>
        </w:rPr>
      </w:pPr>
      <w:r>
        <w:rPr>
          <w:rFonts w:ascii="Times New Roman" w:hAnsi="Times New Roman" w:cs="Times New Roman"/>
          <w:lang w:val="en-GB"/>
        </w:rPr>
        <w:br w:type="page"/>
      </w:r>
    </w:p>
    <w:p w14:paraId="732E3522" w14:textId="77777777" w:rsidR="00AB3BAC" w:rsidRPr="009E5815" w:rsidRDefault="00AB3BAC" w:rsidP="00AB3BAC">
      <w:pPr>
        <w:keepNext/>
        <w:spacing w:line="360" w:lineRule="auto"/>
        <w:jc w:val="both"/>
        <w:rPr>
          <w:lang w:val="en-GB"/>
        </w:rPr>
      </w:pPr>
      <w:r>
        <w:rPr>
          <w:noProof/>
          <w:lang w:val="en-GB" w:eastAsia="en-GB"/>
        </w:rPr>
        <w:lastRenderedPageBreak/>
        <w:drawing>
          <wp:inline distT="0" distB="0" distL="0" distR="0" wp14:anchorId="442C2E92" wp14:editId="6E035E38">
            <wp:extent cx="8892000" cy="3020400"/>
            <wp:effectExtent l="0" t="0" r="4445"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2000" cy="3020400"/>
                    </a:xfrm>
                    <a:prstGeom prst="rect">
                      <a:avLst/>
                    </a:prstGeom>
                    <a:noFill/>
                  </pic:spPr>
                </pic:pic>
              </a:graphicData>
            </a:graphic>
          </wp:inline>
        </w:drawing>
      </w:r>
    </w:p>
    <w:p w14:paraId="4EB945FF" w14:textId="77777777" w:rsidR="00AB3BAC" w:rsidRPr="009E5815" w:rsidRDefault="00AB3BAC" w:rsidP="00AB3BAC">
      <w:pPr>
        <w:keepNext/>
        <w:spacing w:line="360" w:lineRule="auto"/>
        <w:jc w:val="both"/>
        <w:rPr>
          <w:rFonts w:ascii="Times New Roman" w:hAnsi="Times New Roman" w:cs="Times New Roman"/>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3.</w:t>
      </w:r>
      <w:r w:rsidRPr="009E5815">
        <w:rPr>
          <w:rFonts w:ascii="Times New Roman" w:hAnsi="Times New Roman" w:cs="Times New Roman"/>
          <w:lang w:val="en-GB"/>
        </w:rPr>
        <w:t xml:space="preserve"> </w:t>
      </w:r>
      <w:r w:rsidRPr="009E5815">
        <w:rPr>
          <w:rFonts w:ascii="Times New Roman" w:hAnsi="Times New Roman" w:cs="Times New Roman"/>
          <w:b/>
          <w:bCs/>
          <w:lang w:val="en-GB"/>
        </w:rPr>
        <w:t xml:space="preserve">Biodiversity patterns of deep-sea (&gt; 500 m) benthic crustaceans in the </w:t>
      </w:r>
      <w:commentRangeStart w:id="0"/>
      <w:commentRangeStart w:id="1"/>
      <w:r>
        <w:rPr>
          <w:rFonts w:ascii="Times New Roman" w:hAnsi="Times New Roman" w:cs="Times New Roman"/>
          <w:b/>
          <w:bCs/>
          <w:lang w:val="en-GB"/>
        </w:rPr>
        <w:t>NWP</w:t>
      </w:r>
      <w:commentRangeEnd w:id="0"/>
      <w:r>
        <w:rPr>
          <w:rStyle w:val="CommentReference"/>
          <w:rFonts w:eastAsiaTheme="minorEastAsia"/>
        </w:rPr>
        <w:commentReference w:id="0"/>
      </w:r>
      <w:commentRangeEnd w:id="1"/>
      <w:r>
        <w:rPr>
          <w:rStyle w:val="CommentReference"/>
          <w:rFonts w:eastAsiaTheme="minorEastAsia"/>
        </w:rPr>
        <w:commentReference w:id="1"/>
      </w:r>
      <w:r w:rsidRPr="009E5815">
        <w:rPr>
          <w:rFonts w:ascii="Times New Roman" w:hAnsi="Times New Roman" w:cs="Times New Roman"/>
          <w:b/>
          <w:bCs/>
          <w:lang w:val="en-GB"/>
        </w:rPr>
        <w:t>.</w:t>
      </w:r>
      <w:r w:rsidRPr="009E5815">
        <w:rPr>
          <w:rFonts w:ascii="Times New Roman" w:hAnsi="Times New Roman" w:cs="Times New Roman"/>
          <w:lang w:val="en-GB"/>
        </w:rPr>
        <w:t xml:space="preserve"> Sampling effort (abundance, left), species richness (middle) and expected species richness (ES50, right) of </w:t>
      </w:r>
      <w:r w:rsidRPr="009E5815">
        <w:rPr>
          <w:rFonts w:ascii="Times New Roman" w:hAnsi="Times New Roman" w:cs="Times New Roman"/>
          <w:sz w:val="24"/>
          <w:szCs w:val="24"/>
          <w:lang w:val="en-GB"/>
        </w:rPr>
        <w:t>deep-sea benthic crustaceans</w:t>
      </w:r>
      <w:r w:rsidRPr="009E5815">
        <w:rPr>
          <w:rFonts w:ascii="Times New Roman" w:hAnsi="Times New Roman" w:cs="Times New Roman"/>
          <w:lang w:val="en-GB"/>
        </w:rPr>
        <w:t xml:space="preserve"> per hexagonal cells (ca. 700,000 km</w:t>
      </w:r>
      <w:r w:rsidRPr="009E5815">
        <w:rPr>
          <w:rFonts w:ascii="Times New Roman" w:hAnsi="Times New Roman" w:cs="Times New Roman"/>
          <w:vertAlign w:val="superscript"/>
          <w:lang w:val="en-GB"/>
        </w:rPr>
        <w:t>2</w:t>
      </w:r>
      <w:r w:rsidRPr="009E5815">
        <w:rPr>
          <w:rFonts w:ascii="Times New Roman" w:hAnsi="Times New Roman" w:cs="Times New Roman"/>
          <w:lang w:val="en-GB"/>
        </w:rPr>
        <w:t xml:space="preserve"> per cell).</w:t>
      </w:r>
      <w:r>
        <w:rPr>
          <w:rFonts w:ascii="Times New Roman" w:hAnsi="Times New Roman" w:cs="Times New Roman"/>
          <w:lang w:val="en-GB"/>
        </w:rPr>
        <w:t xml:space="preserve"> </w:t>
      </w:r>
      <w:r w:rsidRPr="00116F02">
        <w:rPr>
          <w:rFonts w:ascii="Times New Roman" w:hAnsi="Times New Roman" w:cs="Times New Roman"/>
          <w:lang w:val="en-GB"/>
        </w:rPr>
        <w:t>Lower counts of colo</w:t>
      </w:r>
      <w:r>
        <w:rPr>
          <w:rFonts w:ascii="Times New Roman" w:hAnsi="Times New Roman" w:cs="Times New Roman"/>
          <w:lang w:val="en-GB"/>
        </w:rPr>
        <w:t>u</w:t>
      </w:r>
      <w:r w:rsidRPr="00116F02">
        <w:rPr>
          <w:rFonts w:ascii="Times New Roman" w:hAnsi="Times New Roman" w:cs="Times New Roman"/>
          <w:lang w:val="en-GB"/>
        </w:rPr>
        <w:t xml:space="preserve">red grid cells in species </w:t>
      </w:r>
      <w:r>
        <w:rPr>
          <w:rFonts w:ascii="Times New Roman" w:hAnsi="Times New Roman" w:cs="Times New Roman"/>
          <w:lang w:val="en-GB"/>
        </w:rPr>
        <w:t>r</w:t>
      </w:r>
      <w:r w:rsidRPr="00116F02">
        <w:rPr>
          <w:rFonts w:ascii="Times New Roman" w:hAnsi="Times New Roman" w:cs="Times New Roman"/>
          <w:lang w:val="en-GB"/>
        </w:rPr>
        <w:t xml:space="preserve">ichness and expected </w:t>
      </w:r>
      <w:r>
        <w:rPr>
          <w:rFonts w:ascii="Times New Roman" w:hAnsi="Times New Roman" w:cs="Times New Roman"/>
          <w:lang w:val="en-GB"/>
        </w:rPr>
        <w:t>s</w:t>
      </w:r>
      <w:r w:rsidRPr="00116F02">
        <w:rPr>
          <w:rFonts w:ascii="Times New Roman" w:hAnsi="Times New Roman" w:cs="Times New Roman"/>
          <w:lang w:val="en-GB"/>
        </w:rPr>
        <w:t xml:space="preserve">pecies </w:t>
      </w:r>
      <w:r>
        <w:rPr>
          <w:rFonts w:ascii="Times New Roman" w:hAnsi="Times New Roman" w:cs="Times New Roman"/>
          <w:lang w:val="en-GB"/>
        </w:rPr>
        <w:t>r</w:t>
      </w:r>
      <w:r w:rsidRPr="00116F02">
        <w:rPr>
          <w:rFonts w:ascii="Times New Roman" w:hAnsi="Times New Roman" w:cs="Times New Roman"/>
          <w:lang w:val="en-GB"/>
        </w:rPr>
        <w:t>ichness than in sampling effort are caused by distribution records that lack taxonomic identification to species level.</w:t>
      </w:r>
      <w:r w:rsidRPr="007540D5">
        <w:rPr>
          <w:rFonts w:ascii="Times New Roman" w:hAnsi="Times New Roman" w:cs="Times New Roman"/>
          <w:lang w:val="en-GB"/>
        </w:rPr>
        <w:t xml:space="preserve"> </w:t>
      </w:r>
    </w:p>
    <w:p w14:paraId="34BF302A" w14:textId="77777777" w:rsidR="00AB3BAC" w:rsidRPr="009E5815" w:rsidRDefault="00AB3BAC" w:rsidP="00AB3BAC">
      <w:pPr>
        <w:rPr>
          <w:rFonts w:ascii="Times New Roman" w:hAnsi="Times New Roman" w:cs="Times New Roman"/>
          <w:b/>
          <w:bCs/>
          <w:lang w:val="en-GB"/>
        </w:rPr>
      </w:pPr>
      <w:r w:rsidRPr="009E5815">
        <w:rPr>
          <w:rFonts w:ascii="Times New Roman" w:hAnsi="Times New Roman" w:cs="Times New Roman"/>
          <w:b/>
          <w:bCs/>
          <w:lang w:val="en-GB"/>
        </w:rPr>
        <w:br w:type="page"/>
      </w:r>
    </w:p>
    <w:p w14:paraId="25A77DA5" w14:textId="77777777" w:rsidR="00AB3BAC" w:rsidRPr="009E5815" w:rsidRDefault="00AB3BAC" w:rsidP="00AB3BAC">
      <w:pPr>
        <w:keepNext/>
        <w:spacing w:line="360" w:lineRule="auto"/>
        <w:jc w:val="both"/>
        <w:rPr>
          <w:rFonts w:ascii="Times New Roman" w:hAnsi="Times New Roman" w:cs="Times New Roman"/>
          <w:b/>
          <w:bCs/>
          <w:lang w:val="en-GB"/>
        </w:rPr>
      </w:pPr>
      <w:r>
        <w:rPr>
          <w:rFonts w:ascii="Times New Roman" w:hAnsi="Times New Roman" w:cs="Times New Roman"/>
          <w:b/>
          <w:bCs/>
          <w:noProof/>
          <w:lang w:val="en-GB" w:eastAsia="en-GB"/>
        </w:rPr>
        <w:lastRenderedPageBreak/>
        <w:drawing>
          <wp:inline distT="0" distB="0" distL="0" distR="0" wp14:anchorId="1242799E" wp14:editId="1B404BD6">
            <wp:extent cx="8892000" cy="4197600"/>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000" cy="4197600"/>
                    </a:xfrm>
                    <a:prstGeom prst="rect">
                      <a:avLst/>
                    </a:prstGeom>
                    <a:noFill/>
                  </pic:spPr>
                </pic:pic>
              </a:graphicData>
            </a:graphic>
          </wp:inline>
        </w:drawing>
      </w:r>
    </w:p>
    <w:p w14:paraId="258BFA3C" w14:textId="77777777" w:rsidR="00AB3BAC" w:rsidRPr="009E5815" w:rsidRDefault="00AB3BAC" w:rsidP="00AB3BAC">
      <w:pPr>
        <w:keepNext/>
        <w:spacing w:line="360" w:lineRule="auto"/>
        <w:jc w:val="both"/>
        <w:rPr>
          <w:rFonts w:ascii="Times New Roman" w:hAnsi="Times New Roman" w:cs="Times New Roman"/>
          <w:b/>
          <w:bCs/>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 xml:space="preserve">4. Rarefaction curves of benthic and pelagic crustacean taxa across a latitudinal gradient. </w:t>
      </w:r>
      <w:r w:rsidRPr="009E5815">
        <w:rPr>
          <w:rFonts w:ascii="Times New Roman" w:hAnsi="Times New Roman" w:cs="Times New Roman"/>
          <w:lang w:val="en-GB"/>
        </w:rPr>
        <w:t>Rarefaction curves were calculated for benthic (A) and pelagic crustacean taxa (B) across a latitudinal gradient (5° latitudinal bands).</w:t>
      </w:r>
    </w:p>
    <w:p w14:paraId="060B9ABB" w14:textId="77777777" w:rsidR="00AB3BAC" w:rsidRPr="009E5815" w:rsidRDefault="00AB3BAC" w:rsidP="00AB3BAC">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inline distT="0" distB="0" distL="0" distR="0" wp14:anchorId="0CAA1561" wp14:editId="7402EC66">
            <wp:extent cx="8892000" cy="4129200"/>
            <wp:effectExtent l="0" t="0" r="4445"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000" cy="4129200"/>
                    </a:xfrm>
                    <a:prstGeom prst="rect">
                      <a:avLst/>
                    </a:prstGeom>
                    <a:noFill/>
                  </pic:spPr>
                </pic:pic>
              </a:graphicData>
            </a:graphic>
          </wp:inline>
        </w:drawing>
      </w:r>
    </w:p>
    <w:p w14:paraId="063B9DA0" w14:textId="77777777" w:rsidR="00AB3BAC" w:rsidRPr="009E5815" w:rsidRDefault="00AB3BAC" w:rsidP="00AB3BAC">
      <w:pPr>
        <w:spacing w:line="360" w:lineRule="auto"/>
        <w:jc w:val="both"/>
        <w:rPr>
          <w:rFonts w:ascii="Times New Roman" w:hAnsi="Times New Roman" w:cs="Times New Roman"/>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 xml:space="preserve">5. Distribution of expected species richness (ES50, A) and rarefaction curve (B) for selected crustacean taxa across a latitudinal gradient. </w:t>
      </w:r>
      <w:r w:rsidRPr="009E5815">
        <w:rPr>
          <w:rFonts w:ascii="Times New Roman" w:hAnsi="Times New Roman" w:cs="Times New Roman"/>
          <w:lang w:val="en-GB"/>
        </w:rPr>
        <w:t xml:space="preserve">ES 15 and rarefaction curves were calculated for </w:t>
      </w:r>
      <w:proofErr w:type="spellStart"/>
      <w:r w:rsidRPr="009E5815">
        <w:rPr>
          <w:rFonts w:ascii="Times New Roman" w:hAnsi="Times New Roman" w:cs="Times New Roman"/>
          <w:lang w:val="en-GB"/>
        </w:rPr>
        <w:t>Thecostraca</w:t>
      </w:r>
      <w:proofErr w:type="spellEnd"/>
      <w:r w:rsidRPr="009E5815">
        <w:rPr>
          <w:rFonts w:ascii="Times New Roman" w:hAnsi="Times New Roman" w:cs="Times New Roman"/>
          <w:lang w:val="en-GB"/>
        </w:rPr>
        <w:t xml:space="preserve">, </w:t>
      </w:r>
      <w:proofErr w:type="spellStart"/>
      <w:r w:rsidRPr="009E5815">
        <w:rPr>
          <w:rFonts w:ascii="Times New Roman" w:hAnsi="Times New Roman" w:cs="Times New Roman"/>
          <w:lang w:val="en-GB"/>
        </w:rPr>
        <w:t>Ostracoda</w:t>
      </w:r>
      <w:proofErr w:type="spellEnd"/>
      <w:r w:rsidRPr="009E5815">
        <w:rPr>
          <w:rFonts w:ascii="Times New Roman" w:hAnsi="Times New Roman" w:cs="Times New Roman"/>
          <w:lang w:val="en-GB"/>
        </w:rPr>
        <w:t xml:space="preserve">, </w:t>
      </w:r>
      <w:proofErr w:type="spellStart"/>
      <w:r w:rsidRPr="009E5815">
        <w:rPr>
          <w:rFonts w:ascii="Times New Roman" w:hAnsi="Times New Roman" w:cs="Times New Roman"/>
          <w:lang w:val="en-GB"/>
        </w:rPr>
        <w:t>Copepoda</w:t>
      </w:r>
      <w:proofErr w:type="spellEnd"/>
      <w:r w:rsidRPr="009E5815">
        <w:rPr>
          <w:rFonts w:ascii="Times New Roman" w:hAnsi="Times New Roman" w:cs="Times New Roman"/>
          <w:lang w:val="en-GB"/>
        </w:rPr>
        <w:t xml:space="preserve"> and Malacostraca excl. </w:t>
      </w:r>
      <w:proofErr w:type="spellStart"/>
      <w:r w:rsidRPr="009E5815">
        <w:rPr>
          <w:rFonts w:ascii="Times New Roman" w:hAnsi="Times New Roman" w:cs="Times New Roman"/>
          <w:lang w:val="en-GB"/>
        </w:rPr>
        <w:t>Syncarida</w:t>
      </w:r>
      <w:proofErr w:type="spellEnd"/>
      <w:r w:rsidRPr="009E5815">
        <w:rPr>
          <w:rFonts w:ascii="Times New Roman" w:hAnsi="Times New Roman" w:cs="Times New Roman"/>
          <w:lang w:val="en-GB"/>
        </w:rPr>
        <w:t xml:space="preserve"> across a latitudinal gradient (5° latitudinal bands).</w:t>
      </w:r>
    </w:p>
    <w:p w14:paraId="381AC49D" w14:textId="77777777" w:rsidR="00AB3BAC" w:rsidRPr="009E5815" w:rsidRDefault="00AB3BAC" w:rsidP="00AB3BAC">
      <w:pPr>
        <w:keepNext/>
        <w:spacing w:line="360" w:lineRule="auto"/>
        <w:jc w:val="both"/>
        <w:rPr>
          <w:lang w:val="en-GB"/>
        </w:rPr>
      </w:pPr>
      <w:r>
        <w:rPr>
          <w:noProof/>
          <w:lang w:val="en-GB" w:eastAsia="en-GB"/>
        </w:rPr>
        <w:lastRenderedPageBreak/>
        <w:drawing>
          <wp:inline distT="0" distB="0" distL="0" distR="0" wp14:anchorId="2F33EDCE" wp14:editId="7636CF46">
            <wp:extent cx="8892000" cy="3384000"/>
            <wp:effectExtent l="0" t="0" r="4445"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000" cy="3384000"/>
                    </a:xfrm>
                    <a:prstGeom prst="rect">
                      <a:avLst/>
                    </a:prstGeom>
                    <a:noFill/>
                  </pic:spPr>
                </pic:pic>
              </a:graphicData>
            </a:graphic>
          </wp:inline>
        </w:drawing>
      </w:r>
    </w:p>
    <w:p w14:paraId="75F58B6E" w14:textId="77777777" w:rsidR="00AB3BAC" w:rsidRPr="009E5815" w:rsidRDefault="00AB3BAC" w:rsidP="00AB3BAC">
      <w:pPr>
        <w:keepNext/>
        <w:spacing w:line="360" w:lineRule="auto"/>
        <w:jc w:val="both"/>
        <w:rPr>
          <w:rFonts w:ascii="Times New Roman" w:hAnsi="Times New Roman" w:cs="Times New Roman"/>
          <w:b/>
          <w:bCs/>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6. Distribution of expected species richness (ES50) for benthic shallow water (A) and deep-sea (B) crustaceans across a latitudinal gradient (5° latitudinal bands).</w:t>
      </w:r>
    </w:p>
    <w:p w14:paraId="67F2F757" w14:textId="77777777" w:rsidR="00AB3BAC" w:rsidRPr="009E5815" w:rsidRDefault="00AB3BAC" w:rsidP="00AB3BAC">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anchor distT="0" distB="0" distL="114300" distR="114300" simplePos="0" relativeHeight="251660288" behindDoc="0" locked="0" layoutInCell="1" allowOverlap="1" wp14:anchorId="2FBAAFA9" wp14:editId="27F1AA5B">
            <wp:simplePos x="0" y="0"/>
            <wp:positionH relativeFrom="margin">
              <wp:align>center</wp:align>
            </wp:positionH>
            <wp:positionV relativeFrom="margin">
              <wp:align>top</wp:align>
            </wp:positionV>
            <wp:extent cx="5144135" cy="4679950"/>
            <wp:effectExtent l="0" t="0" r="0" b="635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4135" cy="4679950"/>
                    </a:xfrm>
                    <a:prstGeom prst="rect">
                      <a:avLst/>
                    </a:prstGeom>
                    <a:noFill/>
                  </pic:spPr>
                </pic:pic>
              </a:graphicData>
            </a:graphic>
          </wp:anchor>
        </w:drawing>
      </w:r>
    </w:p>
    <w:p w14:paraId="6F07B286" w14:textId="77777777" w:rsidR="00AB3BAC" w:rsidRPr="009E5815" w:rsidRDefault="00AB3BAC" w:rsidP="00AB3BAC">
      <w:pPr>
        <w:keepNext/>
        <w:spacing w:line="360" w:lineRule="auto"/>
        <w:jc w:val="both"/>
        <w:rPr>
          <w:rFonts w:ascii="Times New Roman" w:hAnsi="Times New Roman" w:cs="Times New Roman"/>
          <w:b/>
          <w:bCs/>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 xml:space="preserve">7. Rarefaction curves of benthic crustacean taxa across a bathymetric gradient. </w:t>
      </w:r>
      <w:r w:rsidRPr="009E5815">
        <w:rPr>
          <w:rFonts w:ascii="Times New Roman" w:hAnsi="Times New Roman" w:cs="Times New Roman"/>
          <w:lang w:val="en-GB"/>
        </w:rPr>
        <w:t>Rarefaction curves were calculated for benthic crustacean taxa across a bathymetric gradient (500 m depth intervals).</w:t>
      </w:r>
    </w:p>
    <w:p w14:paraId="1558AA6E" w14:textId="77777777" w:rsidR="00AB3BAC" w:rsidRPr="009E5815" w:rsidRDefault="00AB3BAC" w:rsidP="00AB3BAC">
      <w:pPr>
        <w:rPr>
          <w:lang w:val="en-GB"/>
        </w:rPr>
      </w:pPr>
    </w:p>
    <w:p w14:paraId="058EF93C" w14:textId="77777777" w:rsidR="00AB3BAC" w:rsidRPr="009E5815" w:rsidRDefault="00AB3BAC" w:rsidP="00AB3BAC">
      <w:pPr>
        <w:spacing w:line="360" w:lineRule="auto"/>
        <w:jc w:val="both"/>
        <w:rPr>
          <w:rFonts w:ascii="Times New Roman" w:hAnsi="Times New Roman" w:cs="Times New Roman"/>
          <w:sz w:val="24"/>
          <w:szCs w:val="24"/>
          <w:lang w:val="en-GB"/>
        </w:rPr>
      </w:pPr>
    </w:p>
    <w:p w14:paraId="58FC19E9" w14:textId="77777777" w:rsidR="00AB3BAC" w:rsidRPr="009E5815" w:rsidRDefault="00AB3BAC" w:rsidP="00AB3BAC">
      <w:pPr>
        <w:keepNext/>
        <w:rPr>
          <w:lang w:val="en-GB"/>
        </w:rPr>
      </w:pPr>
      <w:r>
        <w:rPr>
          <w:noProof/>
          <w:lang w:val="en-GB" w:eastAsia="en-GB"/>
        </w:rPr>
        <w:lastRenderedPageBreak/>
        <w:drawing>
          <wp:inline distT="0" distB="0" distL="0" distR="0" wp14:anchorId="7D21353A" wp14:editId="7E03FFE8">
            <wp:extent cx="8892000" cy="44460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000" cy="4446000"/>
                    </a:xfrm>
                    <a:prstGeom prst="rect">
                      <a:avLst/>
                    </a:prstGeom>
                    <a:noFill/>
                  </pic:spPr>
                </pic:pic>
              </a:graphicData>
            </a:graphic>
          </wp:inline>
        </w:drawing>
      </w:r>
    </w:p>
    <w:p w14:paraId="5A7AD270" w14:textId="77777777" w:rsidR="00AB3BAC" w:rsidRPr="009E5815" w:rsidRDefault="00AB3BAC" w:rsidP="00AB3BAC">
      <w:pPr>
        <w:pStyle w:val="Caption"/>
        <w:spacing w:line="360" w:lineRule="auto"/>
        <w:rPr>
          <w:rFonts w:ascii="Times New Roman" w:hAnsi="Times New Roman" w:cs="Times New Roman"/>
          <w:sz w:val="24"/>
          <w:szCs w:val="24"/>
          <w:lang w:val="en-GB"/>
        </w:rPr>
      </w:pPr>
      <w:r w:rsidRPr="009E5815">
        <w:rPr>
          <w:rFonts w:ascii="Times New Roman" w:hAnsi="Times New Roman" w:cs="Times New Roman"/>
          <w:sz w:val="22"/>
          <w:szCs w:val="22"/>
          <w:lang w:val="en-GB"/>
        </w:rPr>
        <w:t xml:space="preserve">Figure </w:t>
      </w:r>
      <w:r>
        <w:rPr>
          <w:rFonts w:ascii="Times New Roman" w:hAnsi="Times New Roman" w:cs="Times New Roman"/>
          <w:sz w:val="22"/>
          <w:szCs w:val="22"/>
          <w:lang w:val="en-GB"/>
        </w:rPr>
        <w:t>A</w:t>
      </w:r>
      <w:r w:rsidRPr="009E5815">
        <w:rPr>
          <w:rFonts w:ascii="Times New Roman" w:hAnsi="Times New Roman" w:cs="Times New Roman"/>
          <w:sz w:val="22"/>
          <w:szCs w:val="22"/>
          <w:lang w:val="en-GB"/>
        </w:rPr>
        <w:t xml:space="preserve">8. </w:t>
      </w:r>
      <w:r>
        <w:rPr>
          <w:rFonts w:ascii="Times New Roman" w:hAnsi="Times New Roman" w:cs="Times New Roman"/>
          <w:sz w:val="22"/>
          <w:szCs w:val="22"/>
          <w:lang w:val="en-GB"/>
        </w:rPr>
        <w:t>Abundance</w:t>
      </w:r>
      <w:r w:rsidRPr="009E5815">
        <w:rPr>
          <w:rFonts w:ascii="Times New Roman" w:hAnsi="Times New Roman" w:cs="Times New Roman"/>
          <w:sz w:val="22"/>
          <w:szCs w:val="22"/>
          <w:lang w:val="en-GB"/>
        </w:rPr>
        <w:t xml:space="preserve"> of </w:t>
      </w:r>
      <w:proofErr w:type="spellStart"/>
      <w:r w:rsidRPr="009E5815">
        <w:rPr>
          <w:rFonts w:ascii="Times New Roman" w:hAnsi="Times New Roman" w:cs="Times New Roman"/>
          <w:sz w:val="22"/>
          <w:szCs w:val="22"/>
          <w:lang w:val="en-GB"/>
        </w:rPr>
        <w:t>malacostracan</w:t>
      </w:r>
      <w:proofErr w:type="spellEnd"/>
      <w:r w:rsidRPr="009E5815">
        <w:rPr>
          <w:rFonts w:ascii="Times New Roman" w:hAnsi="Times New Roman" w:cs="Times New Roman"/>
          <w:sz w:val="22"/>
          <w:szCs w:val="22"/>
          <w:lang w:val="en-GB"/>
        </w:rPr>
        <w:t xml:space="preserve"> orders in the </w:t>
      </w:r>
      <w:r>
        <w:rPr>
          <w:rFonts w:ascii="Times New Roman" w:hAnsi="Times New Roman" w:cs="Times New Roman"/>
          <w:sz w:val="22"/>
          <w:szCs w:val="22"/>
          <w:lang w:val="en-GB"/>
        </w:rPr>
        <w:t>NWP</w:t>
      </w:r>
      <w:r w:rsidRPr="009E5815">
        <w:rPr>
          <w:rFonts w:ascii="Times New Roman" w:hAnsi="Times New Roman" w:cs="Times New Roman"/>
          <w:sz w:val="22"/>
          <w:szCs w:val="22"/>
          <w:lang w:val="en-GB"/>
        </w:rPr>
        <w:t xml:space="preserve"> across a latitudinal gradient. </w:t>
      </w:r>
      <w:r w:rsidRPr="009E5815">
        <w:rPr>
          <w:rFonts w:ascii="Times New Roman" w:hAnsi="Times New Roman" w:cs="Times New Roman"/>
          <w:b w:val="0"/>
          <w:bCs w:val="0"/>
          <w:sz w:val="22"/>
          <w:szCs w:val="22"/>
          <w:lang w:val="en-GB"/>
        </w:rPr>
        <w:t xml:space="preserve">For readability each of these violin plots possesses the same maximum width, which in turn means no informative conclusions regarding comparisons of </w:t>
      </w:r>
      <w:r>
        <w:rPr>
          <w:rFonts w:ascii="Times New Roman" w:hAnsi="Times New Roman" w:cs="Times New Roman"/>
          <w:b w:val="0"/>
          <w:bCs w:val="0"/>
          <w:sz w:val="22"/>
          <w:szCs w:val="22"/>
          <w:lang w:val="en-GB"/>
        </w:rPr>
        <w:t>abundance</w:t>
      </w:r>
      <w:r w:rsidRPr="009E5815">
        <w:rPr>
          <w:rFonts w:ascii="Times New Roman" w:hAnsi="Times New Roman" w:cs="Times New Roman"/>
          <w:b w:val="0"/>
          <w:bCs w:val="0"/>
          <w:sz w:val="22"/>
          <w:szCs w:val="22"/>
          <w:lang w:val="en-GB"/>
        </w:rPr>
        <w:t xml:space="preserve"> across (sub-)classes is possible. The median of each plot is highlighted by a white dot.</w:t>
      </w:r>
      <w:r w:rsidRPr="009E5815">
        <w:rPr>
          <w:rFonts w:ascii="Times New Roman" w:hAnsi="Times New Roman" w:cs="Times New Roman"/>
          <w:sz w:val="24"/>
          <w:szCs w:val="24"/>
          <w:lang w:val="en-GB"/>
        </w:rPr>
        <w:br w:type="page"/>
      </w:r>
    </w:p>
    <w:p w14:paraId="34E807E0" w14:textId="77777777" w:rsidR="00AB3BAC" w:rsidRPr="009E5815" w:rsidRDefault="00AB3BAC" w:rsidP="00AB3BAC">
      <w:pPr>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inline distT="0" distB="0" distL="0" distR="0" wp14:anchorId="7A7D61A3" wp14:editId="37179BE2">
            <wp:extent cx="8892000" cy="4550400"/>
            <wp:effectExtent l="0" t="0" r="4445"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000" cy="4550400"/>
                    </a:xfrm>
                    <a:prstGeom prst="rect">
                      <a:avLst/>
                    </a:prstGeom>
                    <a:noFill/>
                  </pic:spPr>
                </pic:pic>
              </a:graphicData>
            </a:graphic>
          </wp:inline>
        </w:drawing>
      </w:r>
    </w:p>
    <w:p w14:paraId="4482F983" w14:textId="77777777" w:rsidR="00AB3BAC" w:rsidRPr="009E5815" w:rsidRDefault="00AB3BAC" w:rsidP="00AB3BAC">
      <w:pPr>
        <w:pStyle w:val="Caption"/>
        <w:spacing w:line="360" w:lineRule="auto"/>
        <w:rPr>
          <w:rFonts w:ascii="Times New Roman" w:hAnsi="Times New Roman" w:cs="Times New Roman"/>
          <w:b w:val="0"/>
          <w:bCs w:val="0"/>
          <w:sz w:val="22"/>
          <w:szCs w:val="22"/>
          <w:lang w:val="en-GB"/>
        </w:rPr>
      </w:pPr>
      <w:r w:rsidRPr="009E5815">
        <w:rPr>
          <w:rFonts w:ascii="Times New Roman" w:hAnsi="Times New Roman" w:cs="Times New Roman"/>
          <w:sz w:val="22"/>
          <w:szCs w:val="22"/>
          <w:lang w:val="en-GB"/>
        </w:rPr>
        <w:t xml:space="preserve">Figure </w:t>
      </w:r>
      <w:r>
        <w:rPr>
          <w:rFonts w:ascii="Times New Roman" w:hAnsi="Times New Roman" w:cs="Times New Roman"/>
          <w:sz w:val="22"/>
          <w:szCs w:val="22"/>
          <w:lang w:val="en-GB"/>
        </w:rPr>
        <w:t>A</w:t>
      </w:r>
      <w:r w:rsidRPr="009E5815">
        <w:rPr>
          <w:rFonts w:ascii="Times New Roman" w:hAnsi="Times New Roman" w:cs="Times New Roman"/>
          <w:sz w:val="22"/>
          <w:szCs w:val="22"/>
          <w:lang w:val="en-GB"/>
        </w:rPr>
        <w:t xml:space="preserve">9. </w:t>
      </w:r>
      <w:r>
        <w:rPr>
          <w:rFonts w:ascii="Times New Roman" w:hAnsi="Times New Roman" w:cs="Times New Roman"/>
          <w:sz w:val="22"/>
          <w:szCs w:val="22"/>
          <w:lang w:val="en-GB"/>
        </w:rPr>
        <w:t>Abundance</w:t>
      </w:r>
      <w:r w:rsidRPr="009E5815">
        <w:rPr>
          <w:rFonts w:ascii="Times New Roman" w:hAnsi="Times New Roman" w:cs="Times New Roman"/>
          <w:sz w:val="22"/>
          <w:szCs w:val="22"/>
          <w:lang w:val="en-GB"/>
        </w:rPr>
        <w:t xml:space="preserve"> of non-</w:t>
      </w:r>
      <w:proofErr w:type="spellStart"/>
      <w:r w:rsidRPr="009E5815">
        <w:rPr>
          <w:rFonts w:ascii="Times New Roman" w:hAnsi="Times New Roman" w:cs="Times New Roman"/>
          <w:sz w:val="22"/>
          <w:szCs w:val="22"/>
          <w:lang w:val="en-GB"/>
        </w:rPr>
        <w:t>malacostracan</w:t>
      </w:r>
      <w:proofErr w:type="spellEnd"/>
      <w:r w:rsidRPr="009E5815">
        <w:rPr>
          <w:rFonts w:ascii="Times New Roman" w:hAnsi="Times New Roman" w:cs="Times New Roman"/>
          <w:sz w:val="22"/>
          <w:szCs w:val="22"/>
          <w:lang w:val="en-GB"/>
        </w:rPr>
        <w:t xml:space="preserve"> orders in the </w:t>
      </w:r>
      <w:r>
        <w:rPr>
          <w:rFonts w:ascii="Times New Roman" w:hAnsi="Times New Roman" w:cs="Times New Roman"/>
          <w:sz w:val="22"/>
          <w:szCs w:val="22"/>
          <w:lang w:val="en-GB"/>
        </w:rPr>
        <w:t>NWP</w:t>
      </w:r>
      <w:r w:rsidRPr="009E5815">
        <w:rPr>
          <w:rFonts w:ascii="Times New Roman" w:hAnsi="Times New Roman" w:cs="Times New Roman"/>
          <w:sz w:val="22"/>
          <w:szCs w:val="22"/>
          <w:lang w:val="en-GB"/>
        </w:rPr>
        <w:t xml:space="preserve"> across a latitudinal gradient. </w:t>
      </w:r>
      <w:r w:rsidRPr="009E5815">
        <w:rPr>
          <w:rFonts w:ascii="Times New Roman" w:hAnsi="Times New Roman" w:cs="Times New Roman"/>
          <w:b w:val="0"/>
          <w:bCs w:val="0"/>
          <w:sz w:val="22"/>
          <w:szCs w:val="22"/>
          <w:lang w:val="en-GB"/>
        </w:rPr>
        <w:t xml:space="preserve">For readability each of these violin plots possesses the same maximum width, which in turn means no informative conclusions regarding comparisons of </w:t>
      </w:r>
      <w:r>
        <w:rPr>
          <w:rFonts w:ascii="Times New Roman" w:hAnsi="Times New Roman" w:cs="Times New Roman"/>
          <w:b w:val="0"/>
          <w:bCs w:val="0"/>
          <w:sz w:val="22"/>
          <w:szCs w:val="22"/>
          <w:lang w:val="en-GB"/>
        </w:rPr>
        <w:t>abundance</w:t>
      </w:r>
      <w:r w:rsidRPr="009E5815">
        <w:rPr>
          <w:rFonts w:ascii="Times New Roman" w:hAnsi="Times New Roman" w:cs="Times New Roman"/>
          <w:b w:val="0"/>
          <w:bCs w:val="0"/>
          <w:sz w:val="22"/>
          <w:szCs w:val="22"/>
          <w:lang w:val="en-GB"/>
        </w:rPr>
        <w:t xml:space="preserve"> across (sub-)classes is possible. The median of each plot is highlighted by a white dot.</w:t>
      </w:r>
    </w:p>
    <w:p w14:paraId="6FAAE7F6" w14:textId="77777777" w:rsidR="00AB3BAC" w:rsidRPr="009E5815" w:rsidRDefault="00AB3BAC" w:rsidP="00AB3BAC">
      <w:pPr>
        <w:rPr>
          <w:lang w:val="en-GB"/>
        </w:rPr>
      </w:pPr>
      <w:r>
        <w:rPr>
          <w:noProof/>
          <w:lang w:val="en-GB" w:eastAsia="en-GB"/>
        </w:rPr>
        <w:lastRenderedPageBreak/>
        <w:drawing>
          <wp:inline distT="0" distB="0" distL="0" distR="0" wp14:anchorId="1FC3F5B6" wp14:editId="3BB5FAF8">
            <wp:extent cx="8892000" cy="4442400"/>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000" cy="4442400"/>
                    </a:xfrm>
                    <a:prstGeom prst="rect">
                      <a:avLst/>
                    </a:prstGeom>
                    <a:noFill/>
                  </pic:spPr>
                </pic:pic>
              </a:graphicData>
            </a:graphic>
          </wp:inline>
        </w:drawing>
      </w:r>
    </w:p>
    <w:p w14:paraId="0A91AC40" w14:textId="77777777" w:rsidR="00AB3BAC" w:rsidRPr="009E5815" w:rsidRDefault="00AB3BAC" w:rsidP="00AB3BAC">
      <w:pPr>
        <w:pStyle w:val="Caption"/>
        <w:spacing w:line="360" w:lineRule="auto"/>
        <w:rPr>
          <w:rFonts w:ascii="Times New Roman" w:hAnsi="Times New Roman" w:cs="Times New Roman"/>
          <w:b w:val="0"/>
          <w:bCs w:val="0"/>
          <w:sz w:val="22"/>
          <w:szCs w:val="22"/>
          <w:lang w:val="en-GB"/>
        </w:rPr>
      </w:pPr>
      <w:r w:rsidRPr="009E5815">
        <w:rPr>
          <w:rFonts w:ascii="Times New Roman" w:hAnsi="Times New Roman" w:cs="Times New Roman"/>
          <w:sz w:val="22"/>
          <w:szCs w:val="22"/>
          <w:lang w:val="en-GB"/>
        </w:rPr>
        <w:t xml:space="preserve">Figure </w:t>
      </w:r>
      <w:r>
        <w:rPr>
          <w:rFonts w:ascii="Times New Roman" w:hAnsi="Times New Roman" w:cs="Times New Roman"/>
          <w:sz w:val="22"/>
          <w:szCs w:val="22"/>
          <w:lang w:val="en-GB"/>
        </w:rPr>
        <w:t>A</w:t>
      </w:r>
      <w:r w:rsidRPr="009E5815">
        <w:rPr>
          <w:rFonts w:ascii="Times New Roman" w:hAnsi="Times New Roman" w:cs="Times New Roman"/>
          <w:sz w:val="22"/>
          <w:szCs w:val="22"/>
          <w:lang w:val="en-GB"/>
        </w:rPr>
        <w:t xml:space="preserve">10. </w:t>
      </w:r>
      <w:r>
        <w:rPr>
          <w:rFonts w:ascii="Times New Roman" w:hAnsi="Times New Roman" w:cs="Times New Roman"/>
          <w:sz w:val="22"/>
          <w:szCs w:val="22"/>
          <w:lang w:val="en-GB"/>
        </w:rPr>
        <w:t>Abundance</w:t>
      </w:r>
      <w:r w:rsidRPr="009E5815">
        <w:rPr>
          <w:rFonts w:ascii="Times New Roman" w:hAnsi="Times New Roman" w:cs="Times New Roman"/>
          <w:sz w:val="22"/>
          <w:szCs w:val="22"/>
          <w:lang w:val="en-GB"/>
        </w:rPr>
        <w:t xml:space="preserve"> of benthic </w:t>
      </w:r>
      <w:proofErr w:type="spellStart"/>
      <w:r w:rsidRPr="009E5815">
        <w:rPr>
          <w:rFonts w:ascii="Times New Roman" w:hAnsi="Times New Roman" w:cs="Times New Roman"/>
          <w:sz w:val="22"/>
          <w:szCs w:val="22"/>
          <w:lang w:val="en-GB"/>
        </w:rPr>
        <w:t>malacostracan</w:t>
      </w:r>
      <w:proofErr w:type="spellEnd"/>
      <w:r w:rsidRPr="009E5815">
        <w:rPr>
          <w:rFonts w:ascii="Times New Roman" w:hAnsi="Times New Roman" w:cs="Times New Roman"/>
          <w:sz w:val="22"/>
          <w:szCs w:val="22"/>
          <w:lang w:val="en-GB"/>
        </w:rPr>
        <w:t xml:space="preserve"> orders in the </w:t>
      </w:r>
      <w:r>
        <w:rPr>
          <w:rFonts w:ascii="Times New Roman" w:hAnsi="Times New Roman" w:cs="Times New Roman"/>
          <w:sz w:val="22"/>
          <w:szCs w:val="22"/>
          <w:lang w:val="en-GB"/>
        </w:rPr>
        <w:t>NWP</w:t>
      </w:r>
      <w:r w:rsidRPr="009E5815">
        <w:rPr>
          <w:rFonts w:ascii="Times New Roman" w:hAnsi="Times New Roman" w:cs="Times New Roman"/>
          <w:sz w:val="22"/>
          <w:szCs w:val="22"/>
          <w:lang w:val="en-GB"/>
        </w:rPr>
        <w:t xml:space="preserve"> across a bathymetric gradient. </w:t>
      </w:r>
      <w:r w:rsidRPr="009E5815">
        <w:rPr>
          <w:rFonts w:ascii="Times New Roman" w:hAnsi="Times New Roman" w:cs="Times New Roman"/>
          <w:b w:val="0"/>
          <w:bCs w:val="0"/>
          <w:sz w:val="22"/>
          <w:szCs w:val="22"/>
          <w:lang w:val="en-GB"/>
        </w:rPr>
        <w:t xml:space="preserve">Depth information was inferred from GEBCO’s maximum depth at each record’s geographical location, due to low coverage of depth information in the OBIS and GBIF database entries. For readability each of these violin plots possesses the same maximum width, which in turn means no informative conclusions regarding comparisons of </w:t>
      </w:r>
      <w:r>
        <w:rPr>
          <w:rFonts w:ascii="Times New Roman" w:hAnsi="Times New Roman" w:cs="Times New Roman"/>
          <w:b w:val="0"/>
          <w:bCs w:val="0"/>
          <w:sz w:val="22"/>
          <w:szCs w:val="22"/>
          <w:lang w:val="en-GB"/>
        </w:rPr>
        <w:t>abundance</w:t>
      </w:r>
      <w:r w:rsidRPr="009E5815">
        <w:rPr>
          <w:rFonts w:ascii="Times New Roman" w:hAnsi="Times New Roman" w:cs="Times New Roman"/>
          <w:b w:val="0"/>
          <w:bCs w:val="0"/>
          <w:sz w:val="22"/>
          <w:szCs w:val="22"/>
          <w:lang w:val="en-GB"/>
        </w:rPr>
        <w:t xml:space="preserve"> across (sub-)classes is possible. The median of each plot is highlighted by a white dot.</w:t>
      </w:r>
    </w:p>
    <w:p w14:paraId="1189CBAD" w14:textId="77777777" w:rsidR="00AB3BAC" w:rsidRPr="009E5815" w:rsidRDefault="00AB3BAC" w:rsidP="00AB3BAC">
      <w:pPr>
        <w:rPr>
          <w:lang w:val="en-GB"/>
        </w:rPr>
      </w:pPr>
      <w:r>
        <w:rPr>
          <w:noProof/>
          <w:lang w:val="en-GB" w:eastAsia="en-GB"/>
        </w:rPr>
        <w:lastRenderedPageBreak/>
        <w:drawing>
          <wp:anchor distT="0" distB="0" distL="114300" distR="114300" simplePos="0" relativeHeight="251659264" behindDoc="0" locked="0" layoutInCell="1" allowOverlap="1" wp14:anchorId="4F69CA3E" wp14:editId="288097AC">
            <wp:simplePos x="0" y="0"/>
            <wp:positionH relativeFrom="margin">
              <wp:align>center</wp:align>
            </wp:positionH>
            <wp:positionV relativeFrom="margin">
              <wp:align>top</wp:align>
            </wp:positionV>
            <wp:extent cx="6785610" cy="4679950"/>
            <wp:effectExtent l="0" t="0" r="0" b="635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5610" cy="4679950"/>
                    </a:xfrm>
                    <a:prstGeom prst="rect">
                      <a:avLst/>
                    </a:prstGeom>
                    <a:noFill/>
                  </pic:spPr>
                </pic:pic>
              </a:graphicData>
            </a:graphic>
          </wp:anchor>
        </w:drawing>
      </w:r>
    </w:p>
    <w:p w14:paraId="6E5756B4" w14:textId="77777777" w:rsidR="00AB3BAC" w:rsidRPr="00041166" w:rsidRDefault="00AB3BAC" w:rsidP="00AB3BAC">
      <w:pPr>
        <w:pStyle w:val="Caption"/>
        <w:spacing w:line="360" w:lineRule="auto"/>
        <w:rPr>
          <w:rFonts w:ascii="Times New Roman" w:hAnsi="Times New Roman" w:cs="Times New Roman"/>
          <w:b w:val="0"/>
          <w:bCs w:val="0"/>
          <w:sz w:val="22"/>
          <w:szCs w:val="22"/>
          <w:lang w:val="en-GB"/>
        </w:rPr>
      </w:pPr>
      <w:r w:rsidRPr="009E5815">
        <w:rPr>
          <w:rFonts w:ascii="Times New Roman" w:hAnsi="Times New Roman" w:cs="Times New Roman"/>
          <w:sz w:val="22"/>
          <w:szCs w:val="22"/>
          <w:lang w:val="en-GB"/>
        </w:rPr>
        <w:t xml:space="preserve">Figure </w:t>
      </w:r>
      <w:r>
        <w:rPr>
          <w:rFonts w:ascii="Times New Roman" w:hAnsi="Times New Roman" w:cs="Times New Roman"/>
          <w:sz w:val="22"/>
          <w:szCs w:val="22"/>
          <w:lang w:val="en-GB"/>
        </w:rPr>
        <w:t>A</w:t>
      </w:r>
      <w:r w:rsidRPr="009E5815">
        <w:rPr>
          <w:rFonts w:ascii="Times New Roman" w:hAnsi="Times New Roman" w:cs="Times New Roman"/>
          <w:sz w:val="22"/>
          <w:szCs w:val="22"/>
          <w:lang w:val="en-GB"/>
        </w:rPr>
        <w:t xml:space="preserve">11. </w:t>
      </w:r>
      <w:r>
        <w:rPr>
          <w:rFonts w:ascii="Times New Roman" w:hAnsi="Times New Roman" w:cs="Times New Roman"/>
          <w:sz w:val="22"/>
          <w:szCs w:val="22"/>
          <w:lang w:val="en-GB"/>
        </w:rPr>
        <w:t>Abundance</w:t>
      </w:r>
      <w:r w:rsidRPr="009E5815">
        <w:rPr>
          <w:rFonts w:ascii="Times New Roman" w:hAnsi="Times New Roman" w:cs="Times New Roman"/>
          <w:sz w:val="22"/>
          <w:szCs w:val="22"/>
          <w:lang w:val="en-GB"/>
        </w:rPr>
        <w:t xml:space="preserve"> of benthic non-</w:t>
      </w:r>
      <w:proofErr w:type="spellStart"/>
      <w:r w:rsidRPr="009E5815">
        <w:rPr>
          <w:rFonts w:ascii="Times New Roman" w:hAnsi="Times New Roman" w:cs="Times New Roman"/>
          <w:sz w:val="22"/>
          <w:szCs w:val="22"/>
          <w:lang w:val="en-GB"/>
        </w:rPr>
        <w:t>malacostracan</w:t>
      </w:r>
      <w:proofErr w:type="spellEnd"/>
      <w:r w:rsidRPr="009E5815">
        <w:rPr>
          <w:rFonts w:ascii="Times New Roman" w:hAnsi="Times New Roman" w:cs="Times New Roman"/>
          <w:sz w:val="22"/>
          <w:szCs w:val="22"/>
          <w:lang w:val="en-GB"/>
        </w:rPr>
        <w:t xml:space="preserve"> orders in the </w:t>
      </w:r>
      <w:r>
        <w:rPr>
          <w:rFonts w:ascii="Times New Roman" w:hAnsi="Times New Roman" w:cs="Times New Roman"/>
          <w:sz w:val="22"/>
          <w:szCs w:val="22"/>
          <w:lang w:val="en-GB"/>
        </w:rPr>
        <w:t>NWP</w:t>
      </w:r>
      <w:r w:rsidRPr="009E5815">
        <w:rPr>
          <w:rFonts w:ascii="Times New Roman" w:hAnsi="Times New Roman" w:cs="Times New Roman"/>
          <w:sz w:val="22"/>
          <w:szCs w:val="22"/>
          <w:lang w:val="en-GB"/>
        </w:rPr>
        <w:t xml:space="preserve"> across a bathymetric gradient. </w:t>
      </w:r>
      <w:r w:rsidRPr="009E5815">
        <w:rPr>
          <w:rFonts w:ascii="Times New Roman" w:hAnsi="Times New Roman" w:cs="Times New Roman"/>
          <w:b w:val="0"/>
          <w:bCs w:val="0"/>
          <w:sz w:val="22"/>
          <w:szCs w:val="22"/>
          <w:lang w:val="en-GB"/>
        </w:rPr>
        <w:t xml:space="preserve">Depth information was inferred from GEBCO’s maximum depth at each record’s geographical location, due to low coverage of depth information in the OBIS and GBIF database entries. For readability each of these violin plots possesses the same maximum width, which in turn means no informative conclusions regarding comparisons of </w:t>
      </w:r>
      <w:r>
        <w:rPr>
          <w:rFonts w:ascii="Times New Roman" w:hAnsi="Times New Roman" w:cs="Times New Roman"/>
          <w:b w:val="0"/>
          <w:bCs w:val="0"/>
          <w:sz w:val="22"/>
          <w:szCs w:val="22"/>
          <w:lang w:val="en-GB"/>
        </w:rPr>
        <w:t xml:space="preserve">abundance </w:t>
      </w:r>
      <w:r w:rsidRPr="009E5815">
        <w:rPr>
          <w:rFonts w:ascii="Times New Roman" w:hAnsi="Times New Roman" w:cs="Times New Roman"/>
          <w:b w:val="0"/>
          <w:bCs w:val="0"/>
          <w:sz w:val="22"/>
          <w:szCs w:val="22"/>
          <w:lang w:val="en-GB"/>
        </w:rPr>
        <w:t>across (sub-)classes is possible. The median of each plot is highlighted by a white dot.</w:t>
      </w:r>
    </w:p>
    <w:p w14:paraId="27A633B3" w14:textId="77777777" w:rsidR="00AB3BAC" w:rsidRPr="009E5815" w:rsidRDefault="00AB3BAC" w:rsidP="00AB3BAC">
      <w:pPr>
        <w:spacing w:line="36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eastAsia="en-GB"/>
        </w:rPr>
        <w:lastRenderedPageBreak/>
        <w:drawing>
          <wp:inline distT="0" distB="0" distL="0" distR="0" wp14:anchorId="68477195" wp14:editId="17DD41A4">
            <wp:extent cx="8892000" cy="3805200"/>
            <wp:effectExtent l="0" t="0" r="444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000" cy="3805200"/>
                    </a:xfrm>
                    <a:prstGeom prst="rect">
                      <a:avLst/>
                    </a:prstGeom>
                    <a:noFill/>
                  </pic:spPr>
                </pic:pic>
              </a:graphicData>
            </a:graphic>
          </wp:inline>
        </w:drawing>
      </w:r>
    </w:p>
    <w:p w14:paraId="2E1A1AB1" w14:textId="71611E2B" w:rsidR="006C235A" w:rsidRPr="00AB3BAC" w:rsidRDefault="00AB3BAC" w:rsidP="00AB3BAC">
      <w:pPr>
        <w:rPr>
          <w:lang w:val="en-GB"/>
        </w:rPr>
      </w:pPr>
      <w:r w:rsidRPr="009E5815">
        <w:rPr>
          <w:rFonts w:ascii="Times New Roman" w:hAnsi="Times New Roman" w:cs="Times New Roman"/>
          <w:b/>
          <w:bCs/>
          <w:lang w:val="en-GB"/>
        </w:rPr>
        <w:t xml:space="preserve">Figure </w:t>
      </w:r>
      <w:r>
        <w:rPr>
          <w:rFonts w:ascii="Times New Roman" w:hAnsi="Times New Roman" w:cs="Times New Roman"/>
          <w:b/>
          <w:bCs/>
          <w:lang w:val="en-GB"/>
        </w:rPr>
        <w:t>A</w:t>
      </w:r>
      <w:r w:rsidRPr="009E5815">
        <w:rPr>
          <w:rFonts w:ascii="Times New Roman" w:hAnsi="Times New Roman" w:cs="Times New Roman"/>
          <w:b/>
          <w:bCs/>
          <w:lang w:val="en-GB"/>
        </w:rPr>
        <w:t xml:space="preserve">12. Correlation matrices of environmental factors in the </w:t>
      </w:r>
      <w:r>
        <w:rPr>
          <w:rFonts w:ascii="Times New Roman" w:hAnsi="Times New Roman" w:cs="Times New Roman"/>
          <w:b/>
          <w:bCs/>
          <w:lang w:val="en-GB"/>
        </w:rPr>
        <w:t>NWP</w:t>
      </w:r>
      <w:r w:rsidRPr="009E5815">
        <w:rPr>
          <w:rFonts w:ascii="Times New Roman" w:hAnsi="Times New Roman" w:cs="Times New Roman"/>
          <w:b/>
          <w:bCs/>
          <w:lang w:val="en-GB"/>
        </w:rPr>
        <w:t xml:space="preserve"> and biodiversity measurements of benthic shallow water (A) and deep-sea (B) crustaceans.</w:t>
      </w:r>
      <w:r w:rsidRPr="009E5815">
        <w:rPr>
          <w:rFonts w:ascii="Times New Roman" w:hAnsi="Times New Roman" w:cs="Times New Roman"/>
          <w:lang w:val="en-GB"/>
        </w:rPr>
        <w:t xml:space="preserve"> </w:t>
      </w:r>
      <w:r>
        <w:rPr>
          <w:rFonts w:ascii="Times New Roman" w:hAnsi="Times New Roman" w:cs="Times New Roman"/>
          <w:lang w:val="en-GB"/>
        </w:rPr>
        <w:t>Shallow-water and deep-sea b</w:t>
      </w:r>
      <w:r w:rsidRPr="009E5815">
        <w:rPr>
          <w:rFonts w:ascii="Times New Roman" w:hAnsi="Times New Roman" w:cs="Times New Roman"/>
          <w:lang w:val="en-GB"/>
        </w:rPr>
        <w:t xml:space="preserve">enthic crustaceans were tested against </w:t>
      </w:r>
      <w:r>
        <w:rPr>
          <w:rFonts w:ascii="Times New Roman" w:hAnsi="Times New Roman" w:cs="Times New Roman"/>
          <w:lang w:val="en-GB"/>
        </w:rPr>
        <w:t>the same</w:t>
      </w:r>
      <w:r w:rsidRPr="009E5815">
        <w:rPr>
          <w:rFonts w:ascii="Times New Roman" w:hAnsi="Times New Roman" w:cs="Times New Roman"/>
          <w:lang w:val="en-GB"/>
        </w:rPr>
        <w:t xml:space="preserve"> set of environmental variables from Bio-ORACLE (bottom)</w:t>
      </w:r>
      <w:r>
        <w:rPr>
          <w:rFonts w:ascii="Times New Roman" w:hAnsi="Times New Roman" w:cs="Times New Roman"/>
          <w:lang w:val="en-GB"/>
        </w:rPr>
        <w:t xml:space="preserve"> using Spearman correlation</w:t>
      </w:r>
      <w:r w:rsidRPr="009E5815">
        <w:rPr>
          <w:rFonts w:ascii="Times New Roman" w:hAnsi="Times New Roman" w:cs="Times New Roman"/>
          <w:lang w:val="en-GB"/>
        </w:rPr>
        <w:t xml:space="preserve">. </w:t>
      </w:r>
      <w:r>
        <w:rPr>
          <w:rFonts w:ascii="Times New Roman" w:hAnsi="Times New Roman" w:cs="Times New Roman"/>
          <w:lang w:val="en-GB"/>
        </w:rPr>
        <w:t>Correlation scores marked with an asterisk were significant on a 5% confidence level. Biodiversity measurements</w:t>
      </w:r>
      <w:r w:rsidRPr="009E5815">
        <w:rPr>
          <w:rFonts w:ascii="Times New Roman" w:hAnsi="Times New Roman" w:cs="Times New Roman"/>
          <w:lang w:val="en-GB"/>
        </w:rPr>
        <w:t xml:space="preserve"> </w:t>
      </w:r>
      <w:r>
        <w:rPr>
          <w:rFonts w:ascii="Times New Roman" w:hAnsi="Times New Roman" w:cs="Times New Roman"/>
          <w:lang w:val="en-GB"/>
        </w:rPr>
        <w:t xml:space="preserve">of crustaceans from shallow waters </w:t>
      </w:r>
      <w:r w:rsidRPr="009E5815">
        <w:rPr>
          <w:rFonts w:ascii="Times New Roman" w:hAnsi="Times New Roman" w:cs="Times New Roman"/>
          <w:lang w:val="en-GB"/>
        </w:rPr>
        <w:t xml:space="preserve">correlated positively with light, productivity, and temperature and negatively with </w:t>
      </w:r>
      <w:r>
        <w:rPr>
          <w:rFonts w:ascii="Times New Roman" w:hAnsi="Times New Roman" w:cs="Times New Roman"/>
          <w:lang w:val="en-GB"/>
        </w:rPr>
        <w:t xml:space="preserve">depth, </w:t>
      </w:r>
      <w:r w:rsidRPr="009E5815">
        <w:rPr>
          <w:rFonts w:ascii="Times New Roman" w:hAnsi="Times New Roman" w:cs="Times New Roman"/>
          <w:lang w:val="en-GB"/>
        </w:rPr>
        <w:t xml:space="preserve">nitrate, phosphate, salinity, and silicate. </w:t>
      </w:r>
      <w:r>
        <w:rPr>
          <w:rFonts w:ascii="Times New Roman" w:hAnsi="Times New Roman" w:cs="Times New Roman"/>
          <w:lang w:val="en-GB"/>
        </w:rPr>
        <w:t>Deep-sea</w:t>
      </w:r>
      <w:r w:rsidRPr="009E5815">
        <w:rPr>
          <w:rFonts w:ascii="Times New Roman" w:hAnsi="Times New Roman" w:cs="Times New Roman"/>
          <w:lang w:val="en-GB"/>
        </w:rPr>
        <w:t xml:space="preserve"> crustacean </w:t>
      </w:r>
      <w:r>
        <w:rPr>
          <w:rFonts w:ascii="Times New Roman" w:hAnsi="Times New Roman" w:cs="Times New Roman"/>
          <w:lang w:val="en-GB"/>
        </w:rPr>
        <w:t>biodiversity measurements</w:t>
      </w:r>
      <w:r w:rsidRPr="009E5815">
        <w:rPr>
          <w:rFonts w:ascii="Times New Roman" w:hAnsi="Times New Roman" w:cs="Times New Roman"/>
          <w:lang w:val="en-GB"/>
        </w:rPr>
        <w:t xml:space="preserve"> </w:t>
      </w:r>
      <w:r>
        <w:rPr>
          <w:rFonts w:ascii="Times New Roman" w:hAnsi="Times New Roman" w:cs="Times New Roman"/>
          <w:lang w:val="en-GB"/>
        </w:rPr>
        <w:t>exclusively exhibited weak positive correlations to current</w:t>
      </w:r>
      <w:r w:rsidR="008D4C1D">
        <w:rPr>
          <w:rFonts w:ascii="Times New Roman" w:hAnsi="Times New Roman" w:cs="Times New Roman"/>
          <w:lang w:val="en-GB"/>
        </w:rPr>
        <w:t xml:space="preserve"> velocity.</w:t>
      </w:r>
      <w:bookmarkStart w:id="2" w:name="_GoBack"/>
      <w:bookmarkEnd w:id="2"/>
    </w:p>
    <w:sectPr w:rsidR="006C235A" w:rsidRPr="00AB3BA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ngelika Brandt" w:date="2022-12-09T16:27:00Z" w:initials="AB">
    <w:p w14:paraId="1E2BE242" w14:textId="77777777" w:rsidR="00AB3BAC" w:rsidRPr="00680C66" w:rsidRDefault="00AB3BAC" w:rsidP="00AB3BAC">
      <w:pPr>
        <w:pStyle w:val="CommentText"/>
        <w:rPr>
          <w:lang w:val="en-US"/>
        </w:rPr>
      </w:pPr>
      <w:r>
        <w:rPr>
          <w:rStyle w:val="CommentReference"/>
        </w:rPr>
        <w:annotationRef/>
      </w:r>
      <w:r w:rsidRPr="00680C66">
        <w:rPr>
          <w:lang w:val="en-US"/>
        </w:rPr>
        <w:t>Is it necessary to r</w:t>
      </w:r>
      <w:r>
        <w:rPr>
          <w:lang w:val="en-US"/>
        </w:rPr>
        <w:t>epeat this for every image? The whole paper is about the NWP.</w:t>
      </w:r>
    </w:p>
  </w:comment>
  <w:comment w:id="1" w:author="Henry Knauber" w:date="2022-12-15T09:44:00Z" w:initials="HK">
    <w:p w14:paraId="1493C1DD" w14:textId="77777777" w:rsidR="00AB3BAC" w:rsidRPr="003A2F30" w:rsidRDefault="00AB3BAC" w:rsidP="00AB3BAC">
      <w:pPr>
        <w:pStyle w:val="CommentText"/>
        <w:rPr>
          <w:lang w:val="en-GB"/>
        </w:rPr>
      </w:pPr>
      <w:r>
        <w:rPr>
          <w:rStyle w:val="CommentReference"/>
        </w:rPr>
        <w:annotationRef/>
      </w:r>
      <w:r w:rsidRPr="003A2F30">
        <w:rPr>
          <w:lang w:val="en-GB"/>
        </w:rPr>
        <w:t>I know it is a bit repetitive, but in case someone looks at one of these illustrations isolated, I think it aids for understanding.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2BE242" w15:done="0"/>
  <w15:commentEx w15:paraId="1493C1DD" w15:paraIdParent="1E2BE24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D01DE"/>
    <w:multiLevelType w:val="multilevel"/>
    <w:tmpl w:val="07C0A25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sz w:val="24"/>
        <w:szCs w:val="24"/>
      </w:rPr>
    </w:lvl>
    <w:lvl w:ilvl="2">
      <w:start w:val="1"/>
      <w:numFmt w:val="decimal"/>
      <w:pStyle w:val="Heading3"/>
      <w:lvlText w:val="%1.%2.%3"/>
      <w:lvlJc w:val="left"/>
      <w:pPr>
        <w:ind w:left="1712"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gelika Brandt">
    <w15:presenceInfo w15:providerId="AD" w15:userId="S-1-5-21-3383722602-2307415848-3390737122-4838"/>
  </w15:person>
  <w15:person w15:author="Henry Knauber">
    <w15:presenceInfo w15:providerId="Windows Live" w15:userId="4c2e55dff36fb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BAC"/>
    <w:rsid w:val="006C235A"/>
    <w:rsid w:val="008D4C1D"/>
    <w:rsid w:val="00AB3B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FE67"/>
  <w15:chartTrackingRefBased/>
  <w15:docId w15:val="{0AEB3D9C-69E4-4395-92AD-95BB16EC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BAC"/>
  </w:style>
  <w:style w:type="paragraph" w:styleId="Heading1">
    <w:name w:val="heading 1"/>
    <w:basedOn w:val="Normal"/>
    <w:next w:val="Normal"/>
    <w:link w:val="Heading1Char"/>
    <w:uiPriority w:val="9"/>
    <w:qFormat/>
    <w:rsid w:val="00AB3BA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3BAC"/>
    <w:pPr>
      <w:keepNext/>
      <w:keepLines/>
      <w:numPr>
        <w:ilvl w:val="1"/>
        <w:numId w:val="1"/>
      </w:numPr>
      <w:spacing w:after="0" w:line="480" w:lineRule="auto"/>
      <w:outlineLvl w:val="1"/>
    </w:pPr>
    <w:rPr>
      <w:rFonts w:ascii="Times New Roman" w:eastAsiaTheme="majorEastAsia" w:hAnsi="Times New Roman" w:cs="Times New Roman"/>
      <w:b/>
      <w:sz w:val="24"/>
      <w:szCs w:val="28"/>
      <w:lang w:val="en-GB"/>
    </w:rPr>
  </w:style>
  <w:style w:type="paragraph" w:styleId="Heading3">
    <w:name w:val="heading 3"/>
    <w:basedOn w:val="Normal"/>
    <w:next w:val="Normal"/>
    <w:link w:val="Heading3Char"/>
    <w:uiPriority w:val="9"/>
    <w:unhideWhenUsed/>
    <w:qFormat/>
    <w:rsid w:val="00AB3BAC"/>
    <w:pPr>
      <w:keepNext/>
      <w:keepLines/>
      <w:numPr>
        <w:ilvl w:val="2"/>
        <w:numId w:val="1"/>
      </w:numPr>
      <w:spacing w:before="120" w:after="120" w:line="240" w:lineRule="auto"/>
      <w:ind w:left="720"/>
      <w:outlineLvl w:val="2"/>
    </w:pPr>
    <w:rPr>
      <w:rFonts w:ascii="Times New Roman" w:eastAsiaTheme="majorEastAsia" w:hAnsi="Times New Roman" w:cs="Times New Roman"/>
      <w:b/>
      <w:color w:val="404040" w:themeColor="text1" w:themeTint="BF"/>
      <w:sz w:val="24"/>
      <w:szCs w:val="24"/>
      <w:lang w:val="en-GB"/>
    </w:rPr>
  </w:style>
  <w:style w:type="paragraph" w:styleId="Heading4">
    <w:name w:val="heading 4"/>
    <w:basedOn w:val="Normal"/>
    <w:next w:val="Normal"/>
    <w:link w:val="Heading4Char"/>
    <w:uiPriority w:val="9"/>
    <w:unhideWhenUsed/>
    <w:qFormat/>
    <w:rsid w:val="00AB3BAC"/>
    <w:pPr>
      <w:keepNext/>
      <w:keepLines/>
      <w:numPr>
        <w:ilvl w:val="3"/>
        <w:numId w:val="1"/>
      </w:numPr>
      <w:spacing w:before="80" w:after="0" w:line="240" w:lineRule="auto"/>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B3BAC"/>
    <w:pPr>
      <w:keepNext/>
      <w:keepLines/>
      <w:numPr>
        <w:ilvl w:val="4"/>
        <w:numId w:val="1"/>
      </w:numPr>
      <w:spacing w:before="80" w:after="0" w:line="240" w:lineRule="auto"/>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B3BAC"/>
    <w:pPr>
      <w:keepNext/>
      <w:keepLines/>
      <w:numPr>
        <w:ilvl w:val="5"/>
        <w:numId w:val="1"/>
      </w:numPr>
      <w:spacing w:before="80" w:after="0" w:line="240" w:lineRule="auto"/>
      <w:outlineLvl w:val="5"/>
    </w:pPr>
    <w:rPr>
      <w:rFonts w:asciiTheme="majorHAnsi" w:eastAsiaTheme="majorEastAsia" w:hAnsiTheme="majorHAnsi" w:cstheme="majorBidi"/>
      <w:color w:val="595959" w:themeColor="text1" w:themeTint="A6"/>
      <w:sz w:val="21"/>
      <w:szCs w:val="21"/>
    </w:rPr>
  </w:style>
  <w:style w:type="paragraph" w:styleId="Heading7">
    <w:name w:val="heading 7"/>
    <w:basedOn w:val="Normal"/>
    <w:next w:val="Normal"/>
    <w:link w:val="Heading7Char"/>
    <w:uiPriority w:val="9"/>
    <w:semiHidden/>
    <w:unhideWhenUsed/>
    <w:qFormat/>
    <w:rsid w:val="00AB3BAC"/>
    <w:pPr>
      <w:keepNext/>
      <w:keepLines/>
      <w:numPr>
        <w:ilvl w:val="6"/>
        <w:numId w:val="1"/>
      </w:numPr>
      <w:spacing w:before="80" w:after="0" w:line="240" w:lineRule="auto"/>
      <w:outlineLvl w:val="6"/>
    </w:pPr>
    <w:rPr>
      <w:rFonts w:asciiTheme="majorHAnsi" w:eastAsiaTheme="majorEastAsia" w:hAnsiTheme="majorHAnsi" w:cstheme="majorBidi"/>
      <w:i/>
      <w:iCs/>
      <w:color w:val="595959" w:themeColor="text1" w:themeTint="A6"/>
      <w:sz w:val="21"/>
      <w:szCs w:val="21"/>
    </w:rPr>
  </w:style>
  <w:style w:type="paragraph" w:styleId="Heading8">
    <w:name w:val="heading 8"/>
    <w:basedOn w:val="Normal"/>
    <w:next w:val="Normal"/>
    <w:link w:val="Heading8Char"/>
    <w:uiPriority w:val="9"/>
    <w:semiHidden/>
    <w:unhideWhenUsed/>
    <w:qFormat/>
    <w:rsid w:val="00AB3BAC"/>
    <w:pPr>
      <w:keepNext/>
      <w:keepLines/>
      <w:numPr>
        <w:ilvl w:val="7"/>
        <w:numId w:val="1"/>
      </w:numPr>
      <w:spacing w:before="80" w:after="0" w:line="240" w:lineRule="auto"/>
      <w:outlineLvl w:val="7"/>
    </w:pPr>
    <w:rPr>
      <w:rFonts w:asciiTheme="majorHAnsi" w:eastAsiaTheme="majorEastAsia" w:hAnsiTheme="majorHAnsi" w:cstheme="majorBidi"/>
      <w:smallCaps/>
      <w:color w:val="595959" w:themeColor="text1" w:themeTint="A6"/>
      <w:sz w:val="21"/>
      <w:szCs w:val="21"/>
    </w:rPr>
  </w:style>
  <w:style w:type="paragraph" w:styleId="Heading9">
    <w:name w:val="heading 9"/>
    <w:basedOn w:val="Normal"/>
    <w:next w:val="Normal"/>
    <w:link w:val="Heading9Char"/>
    <w:uiPriority w:val="9"/>
    <w:semiHidden/>
    <w:unhideWhenUsed/>
    <w:qFormat/>
    <w:rsid w:val="00AB3BAC"/>
    <w:pPr>
      <w:keepNext/>
      <w:keepLines/>
      <w:numPr>
        <w:ilvl w:val="8"/>
        <w:numId w:val="1"/>
      </w:numPr>
      <w:spacing w:before="80" w:after="0" w:line="240"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BA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3BAC"/>
    <w:rPr>
      <w:rFonts w:ascii="Times New Roman" w:eastAsiaTheme="majorEastAsia" w:hAnsi="Times New Roman" w:cs="Times New Roman"/>
      <w:b/>
      <w:sz w:val="24"/>
      <w:szCs w:val="28"/>
      <w:lang w:val="en-GB"/>
    </w:rPr>
  </w:style>
  <w:style w:type="character" w:customStyle="1" w:styleId="Heading3Char">
    <w:name w:val="Heading 3 Char"/>
    <w:basedOn w:val="DefaultParagraphFont"/>
    <w:link w:val="Heading3"/>
    <w:uiPriority w:val="9"/>
    <w:rsid w:val="00AB3BAC"/>
    <w:rPr>
      <w:rFonts w:ascii="Times New Roman" w:eastAsiaTheme="majorEastAsia" w:hAnsi="Times New Roman" w:cs="Times New Roman"/>
      <w:b/>
      <w:color w:val="404040" w:themeColor="text1" w:themeTint="BF"/>
      <w:sz w:val="24"/>
      <w:szCs w:val="24"/>
      <w:lang w:val="en-GB"/>
    </w:rPr>
  </w:style>
  <w:style w:type="character" w:customStyle="1" w:styleId="Heading4Char">
    <w:name w:val="Heading 4 Char"/>
    <w:basedOn w:val="DefaultParagraphFont"/>
    <w:link w:val="Heading4"/>
    <w:uiPriority w:val="9"/>
    <w:rsid w:val="00AB3BA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B3BAC"/>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AB3BAC"/>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AB3BAC"/>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AB3BAC"/>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AB3BAC"/>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unhideWhenUsed/>
    <w:qFormat/>
    <w:rsid w:val="00AB3BAC"/>
    <w:pPr>
      <w:spacing w:before="120" w:after="120" w:line="276" w:lineRule="auto"/>
      <w:jc w:val="both"/>
    </w:pPr>
    <w:rPr>
      <w:rFonts w:eastAsiaTheme="minorEastAsia"/>
      <w:b/>
      <w:bCs/>
      <w:sz w:val="20"/>
      <w:szCs w:val="20"/>
      <w:lang w:val="en-US"/>
    </w:rPr>
  </w:style>
  <w:style w:type="character" w:styleId="CommentReference">
    <w:name w:val="annotation reference"/>
    <w:basedOn w:val="DefaultParagraphFont"/>
    <w:uiPriority w:val="99"/>
    <w:semiHidden/>
    <w:unhideWhenUsed/>
    <w:rsid w:val="00AB3BAC"/>
    <w:rPr>
      <w:sz w:val="16"/>
      <w:szCs w:val="16"/>
    </w:rPr>
  </w:style>
  <w:style w:type="paragraph" w:styleId="CommentText">
    <w:name w:val="annotation text"/>
    <w:basedOn w:val="Normal"/>
    <w:link w:val="CommentTextChar"/>
    <w:uiPriority w:val="99"/>
    <w:unhideWhenUsed/>
    <w:rsid w:val="00AB3BAC"/>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AB3BAC"/>
    <w:rPr>
      <w:rFonts w:eastAsiaTheme="minorEastAsia"/>
      <w:sz w:val="20"/>
      <w:szCs w:val="20"/>
    </w:rPr>
  </w:style>
  <w:style w:type="paragraph" w:styleId="BalloonText">
    <w:name w:val="Balloon Text"/>
    <w:basedOn w:val="Normal"/>
    <w:link w:val="BalloonTextChar"/>
    <w:uiPriority w:val="99"/>
    <w:semiHidden/>
    <w:unhideWhenUsed/>
    <w:rsid w:val="00AB3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B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693</Words>
  <Characters>3953</Characters>
  <Application>Microsoft Office Word</Application>
  <DocSecurity>0</DocSecurity>
  <Lines>32</Lines>
  <Paragraphs>9</Paragraphs>
  <ScaleCrop>false</ScaleCrop>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Hanieh Saeedi</dc:creator>
  <cp:keywords/>
  <dc:description/>
  <cp:lastModifiedBy>Hanieh Saeedi</cp:lastModifiedBy>
  <cp:revision>2</cp:revision>
  <dcterms:created xsi:type="dcterms:W3CDTF">2022-12-25T17:54:00Z</dcterms:created>
  <dcterms:modified xsi:type="dcterms:W3CDTF">2022-12-25T17:56:00Z</dcterms:modified>
</cp:coreProperties>
</file>