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301E" w14:textId="5ED09A9F" w:rsidR="009755DD" w:rsidRPr="00CB40A4" w:rsidRDefault="002F74D1" w:rsidP="009755DD">
      <w:pPr>
        <w:spacing w:after="0" w:line="480" w:lineRule="auto"/>
        <w:jc w:val="both"/>
        <w:rPr>
          <w:rFonts w:ascii="Arial" w:hAnsi="Arial" w:cs="Arial"/>
        </w:rPr>
      </w:pPr>
      <w:r>
        <w:rPr>
          <w:rFonts w:ascii="Arial" w:hAnsi="Arial" w:cs="Arial"/>
          <w:noProof/>
        </w:rPr>
        <w:drawing>
          <wp:inline distT="0" distB="0" distL="0" distR="0" wp14:anchorId="03C8BDE0" wp14:editId="3FFA6603">
            <wp:extent cx="6858000" cy="8816975"/>
            <wp:effectExtent l="0" t="0" r="0" b="3175"/>
            <wp:docPr id="745880638"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0638" name="Picture 1" descr="A graph of a graph&#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16975"/>
                    </a:xfrm>
                    <a:prstGeom prst="rect">
                      <a:avLst/>
                    </a:prstGeom>
                  </pic:spPr>
                </pic:pic>
              </a:graphicData>
            </a:graphic>
          </wp:inline>
        </w:drawing>
      </w:r>
    </w:p>
    <w:p w14:paraId="604461EF" w14:textId="77777777" w:rsidR="0006282E" w:rsidRDefault="009755DD" w:rsidP="009755DD">
      <w:pPr>
        <w:spacing w:after="0" w:line="480" w:lineRule="auto"/>
        <w:jc w:val="both"/>
        <w:rPr>
          <w:rFonts w:ascii="Arial" w:hAnsi="Arial" w:cs="Arial"/>
        </w:rPr>
      </w:pPr>
      <w:r w:rsidRPr="00CB40A4">
        <w:rPr>
          <w:rFonts w:ascii="Arial" w:hAnsi="Arial" w:cs="Arial"/>
          <w:b/>
          <w:bCs/>
        </w:rPr>
        <w:lastRenderedPageBreak/>
        <w:t>Fig. S1 Relatedness between pairs of individuals.</w:t>
      </w:r>
      <w:r w:rsidRPr="00CB40A4">
        <w:rPr>
          <w:rFonts w:ascii="Arial" w:hAnsi="Arial" w:cs="Arial"/>
        </w:rPr>
        <w:t xml:space="preserve"> (</w:t>
      </w:r>
      <w:r w:rsidRPr="00CB40A4">
        <w:rPr>
          <w:rFonts w:ascii="Arial" w:hAnsi="Arial" w:cs="Arial"/>
          <w:b/>
          <w:bCs/>
        </w:rPr>
        <w:t>a</w:t>
      </w:r>
      <w:r w:rsidRPr="00CB40A4">
        <w:rPr>
          <w:rFonts w:ascii="Arial" w:hAnsi="Arial" w:cs="Arial"/>
        </w:rPr>
        <w:t xml:space="preserve">) Pairwise relatedness coefficients estimated as </w:t>
      </w:r>
      <w:r w:rsidRPr="00CB40A4">
        <w:rPr>
          <w:rFonts w:ascii="Arial" w:hAnsi="Arial" w:cs="Arial"/>
          <w:i/>
          <w:iCs/>
        </w:rPr>
        <w:t>R</w:t>
      </w:r>
      <w:r w:rsidRPr="00CB40A4">
        <w:rPr>
          <w:rFonts w:ascii="Arial" w:hAnsi="Arial" w:cs="Arial"/>
        </w:rPr>
        <w:t xml:space="preserve"> = (</w:t>
      </w:r>
      <w:r w:rsidRPr="00CB40A4">
        <w:rPr>
          <w:rFonts w:ascii="Arial" w:hAnsi="Arial" w:cs="Arial"/>
          <w:i/>
          <w:iCs/>
        </w:rPr>
        <w:t>k</w:t>
      </w:r>
      <w:r w:rsidRPr="00CB40A4">
        <w:rPr>
          <w:rFonts w:ascii="Arial" w:hAnsi="Arial" w:cs="Arial"/>
          <w:vertAlign w:val="subscript"/>
        </w:rPr>
        <w:t>0</w:t>
      </w:r>
      <w:r w:rsidRPr="00CB40A4">
        <w:rPr>
          <w:rFonts w:ascii="Arial" w:hAnsi="Arial" w:cs="Arial"/>
        </w:rPr>
        <w:t xml:space="preserve">, </w:t>
      </w:r>
      <w:r w:rsidRPr="00CB40A4">
        <w:rPr>
          <w:rFonts w:ascii="Arial" w:hAnsi="Arial" w:cs="Arial"/>
          <w:i/>
          <w:iCs/>
        </w:rPr>
        <w:t>k</w:t>
      </w:r>
      <w:r w:rsidRPr="00CB40A4">
        <w:rPr>
          <w:rFonts w:ascii="Arial" w:hAnsi="Arial" w:cs="Arial"/>
          <w:vertAlign w:val="subscript"/>
        </w:rPr>
        <w:t>1</w:t>
      </w:r>
      <w:r w:rsidRPr="00CB40A4">
        <w:rPr>
          <w:rFonts w:ascii="Arial" w:hAnsi="Arial" w:cs="Arial"/>
        </w:rPr>
        <w:t xml:space="preserve">, </w:t>
      </w:r>
      <w:r w:rsidRPr="00CB40A4">
        <w:rPr>
          <w:rFonts w:ascii="Arial" w:hAnsi="Arial" w:cs="Arial"/>
          <w:i/>
          <w:iCs/>
        </w:rPr>
        <w:t>k</w:t>
      </w:r>
      <w:r w:rsidRPr="00CB40A4">
        <w:rPr>
          <w:rFonts w:ascii="Arial" w:hAnsi="Arial" w:cs="Arial"/>
          <w:vertAlign w:val="subscript"/>
        </w:rPr>
        <w:t>2</w:t>
      </w:r>
      <w:r w:rsidRPr="00CB40A4">
        <w:rPr>
          <w:rFonts w:ascii="Arial" w:hAnsi="Arial" w:cs="Arial"/>
        </w:rPr>
        <w:t xml:space="preserve">), where </w:t>
      </w:r>
      <w:r w:rsidRPr="00CB40A4">
        <w:rPr>
          <w:rFonts w:ascii="Arial" w:hAnsi="Arial" w:cs="Arial"/>
          <w:i/>
          <w:iCs/>
        </w:rPr>
        <w:t>k</w:t>
      </w:r>
      <w:r w:rsidRPr="00CB40A4">
        <w:rPr>
          <w:rFonts w:ascii="Arial" w:hAnsi="Arial" w:cs="Arial"/>
          <w:vertAlign w:val="subscript"/>
        </w:rPr>
        <w:t>0</w:t>
      </w:r>
      <w:r w:rsidRPr="00CB40A4">
        <w:rPr>
          <w:rFonts w:ascii="Arial" w:hAnsi="Arial" w:cs="Arial"/>
        </w:rPr>
        <w:t xml:space="preserve">, </w:t>
      </w:r>
      <w:r w:rsidRPr="00CB40A4">
        <w:rPr>
          <w:rFonts w:ascii="Arial" w:hAnsi="Arial" w:cs="Arial"/>
          <w:i/>
          <w:iCs/>
        </w:rPr>
        <w:t>k</w:t>
      </w:r>
      <w:r w:rsidRPr="00CB40A4">
        <w:rPr>
          <w:rFonts w:ascii="Arial" w:hAnsi="Arial" w:cs="Arial"/>
          <w:vertAlign w:val="subscript"/>
        </w:rPr>
        <w:t>1</w:t>
      </w:r>
      <w:r w:rsidRPr="00CB40A4">
        <w:rPr>
          <w:rFonts w:ascii="Arial" w:hAnsi="Arial" w:cs="Arial"/>
        </w:rPr>
        <w:t xml:space="preserve">, and </w:t>
      </w:r>
      <w:r w:rsidRPr="00CB40A4">
        <w:rPr>
          <w:rFonts w:ascii="Arial" w:hAnsi="Arial" w:cs="Arial"/>
          <w:i/>
          <w:iCs/>
        </w:rPr>
        <w:t>k</w:t>
      </w:r>
      <w:r w:rsidRPr="00CB40A4">
        <w:rPr>
          <w:rFonts w:ascii="Arial" w:hAnsi="Arial" w:cs="Arial"/>
          <w:vertAlign w:val="subscript"/>
        </w:rPr>
        <w:t>2</w:t>
      </w:r>
      <w:r w:rsidRPr="00CB40A4">
        <w:rPr>
          <w:rFonts w:ascii="Arial" w:hAnsi="Arial" w:cs="Arial"/>
        </w:rPr>
        <w:t xml:space="preserve"> are the proportion of the genome where a pair of individuals share 0, 1, or 2 alleles identical-by-descent, respectively. Warmer colors indicate higher relatedness. Individuals are sorted by taxon and sampling location as in Fig. 1c. (</w:t>
      </w:r>
      <w:r w:rsidRPr="00CB40A4">
        <w:rPr>
          <w:rFonts w:ascii="Arial" w:hAnsi="Arial" w:cs="Arial"/>
          <w:b/>
          <w:bCs/>
        </w:rPr>
        <w:t>b</w:t>
      </w:r>
      <w:r w:rsidRPr="00CB40A4">
        <w:rPr>
          <w:rFonts w:ascii="Arial" w:hAnsi="Arial" w:cs="Arial"/>
        </w:rPr>
        <w:t xml:space="preserve">) Number of individuals to remove assuming increasing thresholds for </w:t>
      </w:r>
      <w:r w:rsidRPr="00CB40A4">
        <w:rPr>
          <w:rFonts w:ascii="Arial" w:hAnsi="Arial" w:cs="Arial"/>
          <w:i/>
          <w:iCs/>
        </w:rPr>
        <w:t>k</w:t>
      </w:r>
      <w:r w:rsidRPr="00CB40A4">
        <w:rPr>
          <w:rFonts w:ascii="Arial" w:hAnsi="Arial" w:cs="Arial"/>
          <w:vertAlign w:val="subscript"/>
        </w:rPr>
        <w:t>0</w:t>
      </w:r>
      <w:r w:rsidRPr="00CB40A4">
        <w:rPr>
          <w:rFonts w:ascii="Arial" w:hAnsi="Arial" w:cs="Arial"/>
        </w:rPr>
        <w:t xml:space="preserve">. The red vertical line denotes the selected </w:t>
      </w:r>
      <w:r w:rsidRPr="00CB40A4">
        <w:rPr>
          <w:rFonts w:ascii="Arial" w:hAnsi="Arial" w:cs="Arial"/>
          <w:i/>
          <w:iCs/>
        </w:rPr>
        <w:t>k</w:t>
      </w:r>
      <w:r w:rsidRPr="00CB40A4">
        <w:rPr>
          <w:rFonts w:ascii="Arial" w:hAnsi="Arial" w:cs="Arial"/>
          <w:vertAlign w:val="subscript"/>
        </w:rPr>
        <w:t>0</w:t>
      </w:r>
      <w:r w:rsidRPr="00CB40A4">
        <w:rPr>
          <w:rFonts w:ascii="Arial" w:hAnsi="Arial" w:cs="Arial"/>
        </w:rPr>
        <w:t xml:space="preserve"> threshold (0.45) for relatedness filtering. Based on results from (a–b), individuals GF096, GF132, GF209, GF217, GF226, GF231, GF233, GF257, GF259, and GF262 were removed from further analyses. (</w:t>
      </w:r>
      <w:r w:rsidRPr="00CB40A4">
        <w:rPr>
          <w:rFonts w:ascii="Arial" w:hAnsi="Arial" w:cs="Arial"/>
          <w:b/>
          <w:bCs/>
        </w:rPr>
        <w:t>c</w:t>
      </w:r>
      <w:r w:rsidRPr="00CB40A4">
        <w:rPr>
          <w:rFonts w:ascii="Arial" w:hAnsi="Arial" w:cs="Arial"/>
        </w:rPr>
        <w:t xml:space="preserve">) Pairwise relatedness plotted as </w:t>
      </w:r>
      <w:r w:rsidRPr="00CB40A4">
        <w:rPr>
          <w:rFonts w:ascii="Arial" w:hAnsi="Arial" w:cs="Arial"/>
          <w:i/>
          <w:iCs/>
        </w:rPr>
        <w:t>k</w:t>
      </w:r>
      <w:r w:rsidRPr="00CB40A4">
        <w:rPr>
          <w:rFonts w:ascii="Arial" w:hAnsi="Arial" w:cs="Arial"/>
          <w:vertAlign w:val="subscript"/>
        </w:rPr>
        <w:t>1</w:t>
      </w:r>
      <w:r w:rsidRPr="00CB40A4">
        <w:rPr>
          <w:rFonts w:ascii="Arial" w:hAnsi="Arial" w:cs="Arial"/>
        </w:rPr>
        <w:t xml:space="preserve"> by </w:t>
      </w:r>
      <w:r w:rsidRPr="00CB40A4">
        <w:rPr>
          <w:rFonts w:ascii="Arial" w:hAnsi="Arial" w:cs="Arial"/>
          <w:i/>
          <w:iCs/>
        </w:rPr>
        <w:t>k</w:t>
      </w:r>
      <w:r w:rsidRPr="00CB40A4">
        <w:rPr>
          <w:rFonts w:ascii="Arial" w:hAnsi="Arial" w:cs="Arial"/>
          <w:vertAlign w:val="subscript"/>
        </w:rPr>
        <w:t>2</w:t>
      </w:r>
      <w:r w:rsidRPr="00CB40A4">
        <w:rPr>
          <w:rFonts w:ascii="Arial" w:hAnsi="Arial" w:cs="Arial"/>
        </w:rPr>
        <w:t>. Pairs of individuals affected by the filtering strategy (</w:t>
      </w:r>
      <w:r w:rsidRPr="00CB40A4">
        <w:rPr>
          <w:rFonts w:ascii="Arial" w:hAnsi="Arial" w:cs="Arial"/>
          <w:i/>
          <w:iCs/>
        </w:rPr>
        <w:t>k</w:t>
      </w:r>
      <w:r w:rsidRPr="00CB40A4">
        <w:rPr>
          <w:rFonts w:ascii="Arial" w:hAnsi="Arial" w:cs="Arial"/>
          <w:vertAlign w:val="subscript"/>
        </w:rPr>
        <w:t>0</w:t>
      </w:r>
      <w:r w:rsidRPr="00CB40A4">
        <w:rPr>
          <w:rFonts w:ascii="Arial" w:hAnsi="Arial" w:cs="Arial"/>
        </w:rPr>
        <w:t xml:space="preserve"> ≤ 0.45) are shown in red.</w:t>
      </w:r>
    </w:p>
    <w:p w14:paraId="1806D49A" w14:textId="3466A13D" w:rsidR="009755DD" w:rsidRPr="00CB40A4" w:rsidRDefault="009755DD" w:rsidP="009755DD">
      <w:pPr>
        <w:spacing w:after="0" w:line="480" w:lineRule="auto"/>
        <w:jc w:val="both"/>
        <w:rPr>
          <w:rFonts w:ascii="Arial" w:hAnsi="Arial" w:cs="Arial"/>
        </w:rPr>
      </w:pPr>
      <w:r w:rsidRPr="00CB40A4">
        <w:rPr>
          <w:rFonts w:ascii="Arial" w:hAnsi="Arial" w:cs="Arial"/>
        </w:rPr>
        <w:br w:type="page"/>
      </w:r>
    </w:p>
    <w:p w14:paraId="4677C23F" w14:textId="7E62AFF8" w:rsidR="00801BAF" w:rsidRPr="00CB40A4" w:rsidRDefault="002F74D1" w:rsidP="00775F1B">
      <w:pPr>
        <w:spacing w:after="0" w:line="480" w:lineRule="auto"/>
        <w:jc w:val="both"/>
        <w:rPr>
          <w:rFonts w:ascii="Arial" w:hAnsi="Arial" w:cs="Arial"/>
        </w:rPr>
      </w:pPr>
      <w:r>
        <w:rPr>
          <w:rFonts w:ascii="Arial" w:hAnsi="Arial" w:cs="Arial"/>
          <w:noProof/>
        </w:rPr>
        <w:lastRenderedPageBreak/>
        <w:drawing>
          <wp:inline distT="0" distB="0" distL="0" distR="0" wp14:anchorId="2B05BA9A" wp14:editId="365C70AD">
            <wp:extent cx="6858000" cy="7510145"/>
            <wp:effectExtent l="0" t="0" r="0" b="0"/>
            <wp:docPr id="22498296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82962" name="Picture 2"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7510145"/>
                    </a:xfrm>
                    <a:prstGeom prst="rect">
                      <a:avLst/>
                    </a:prstGeom>
                  </pic:spPr>
                </pic:pic>
              </a:graphicData>
            </a:graphic>
          </wp:inline>
        </w:drawing>
      </w:r>
    </w:p>
    <w:p w14:paraId="30FA7A35" w14:textId="135B74AB" w:rsidR="00E223ED" w:rsidRPr="00CB40A4" w:rsidRDefault="00E223ED" w:rsidP="0096017B">
      <w:pPr>
        <w:spacing w:line="480" w:lineRule="auto"/>
        <w:jc w:val="both"/>
        <w:rPr>
          <w:rFonts w:ascii="Arial" w:hAnsi="Arial" w:cs="Arial"/>
        </w:rPr>
      </w:pPr>
      <w:r w:rsidRPr="00CB40A4">
        <w:rPr>
          <w:rFonts w:ascii="Arial" w:hAnsi="Arial" w:cs="Arial"/>
          <w:b/>
          <w:bCs/>
        </w:rPr>
        <w:t>Fig. S</w:t>
      </w:r>
      <w:r w:rsidR="009755DD" w:rsidRPr="00CB40A4">
        <w:rPr>
          <w:rFonts w:ascii="Arial" w:hAnsi="Arial" w:cs="Arial"/>
          <w:b/>
          <w:bCs/>
        </w:rPr>
        <w:t>2</w:t>
      </w:r>
      <w:r w:rsidR="00803454" w:rsidRPr="00CB40A4">
        <w:rPr>
          <w:rFonts w:ascii="Arial" w:hAnsi="Arial" w:cs="Arial"/>
          <w:b/>
          <w:bCs/>
        </w:rPr>
        <w:t xml:space="preserve"> Principal component analysis (PCA).</w:t>
      </w:r>
      <w:r w:rsidR="00803454" w:rsidRPr="00CB40A4">
        <w:rPr>
          <w:rFonts w:ascii="Arial" w:hAnsi="Arial" w:cs="Arial"/>
        </w:rPr>
        <w:t xml:space="preserve"> PCA of 484,876 unlinked SNPs from 116 individuals representing Nubian, reticulated, and Masai giraffe s. str. </w:t>
      </w:r>
      <w:r w:rsidR="00E8069F" w:rsidRPr="00CB40A4">
        <w:rPr>
          <w:rFonts w:ascii="Arial" w:hAnsi="Arial" w:cs="Arial"/>
        </w:rPr>
        <w:t xml:space="preserve">Principal components (PCs) that explain at least 0.5% of the variance in the data are </w:t>
      </w:r>
      <w:r w:rsidR="009C1E90" w:rsidRPr="00CB40A4">
        <w:rPr>
          <w:rFonts w:ascii="Arial" w:hAnsi="Arial" w:cs="Arial"/>
        </w:rPr>
        <w:t xml:space="preserve">shown </w:t>
      </w:r>
      <w:r w:rsidR="00AD2912" w:rsidRPr="00CB40A4">
        <w:rPr>
          <w:rFonts w:ascii="Arial" w:hAnsi="Arial" w:cs="Arial"/>
        </w:rPr>
        <w:t>in</w:t>
      </w:r>
      <w:r w:rsidR="009C1E90" w:rsidRPr="00CB40A4">
        <w:rPr>
          <w:rFonts w:ascii="Arial" w:hAnsi="Arial" w:cs="Arial"/>
        </w:rPr>
        <w:t xml:space="preserve"> a scatterplot matrix</w:t>
      </w:r>
      <w:r w:rsidR="00E8069F" w:rsidRPr="00CB40A4">
        <w:rPr>
          <w:rFonts w:ascii="Arial" w:hAnsi="Arial" w:cs="Arial"/>
        </w:rPr>
        <w:t xml:space="preserve">. </w:t>
      </w:r>
      <w:r w:rsidR="00803454" w:rsidRPr="00CB40A4">
        <w:rPr>
          <w:rFonts w:ascii="Arial" w:hAnsi="Arial" w:cs="Arial"/>
        </w:rPr>
        <w:t>Shapes represent the three focal taxa and colors represent sampling localities.</w:t>
      </w:r>
      <w:r w:rsidR="00D8475C" w:rsidRPr="00CB40A4">
        <w:rPr>
          <w:rFonts w:ascii="Arial" w:hAnsi="Arial" w:cs="Arial"/>
        </w:rPr>
        <w:t xml:space="preserve"> In the top right is a scree plot showing the percentage of variance explained by each PC.</w:t>
      </w:r>
      <w:r w:rsidRPr="00CB40A4">
        <w:rPr>
          <w:rFonts w:ascii="Arial" w:hAnsi="Arial" w:cs="Arial"/>
        </w:rPr>
        <w:br w:type="page"/>
      </w:r>
    </w:p>
    <w:p w14:paraId="36F663DD" w14:textId="65B39790" w:rsidR="00E223ED" w:rsidRPr="00CB40A4" w:rsidRDefault="002F74D1" w:rsidP="00647B52">
      <w:pPr>
        <w:spacing w:line="480" w:lineRule="auto"/>
        <w:jc w:val="both"/>
        <w:rPr>
          <w:rFonts w:ascii="Arial" w:hAnsi="Arial" w:cs="Arial"/>
        </w:rPr>
      </w:pPr>
      <w:r>
        <w:rPr>
          <w:rFonts w:ascii="Arial" w:hAnsi="Arial" w:cs="Arial"/>
          <w:noProof/>
        </w:rPr>
        <w:lastRenderedPageBreak/>
        <w:drawing>
          <wp:inline distT="0" distB="0" distL="0" distR="0" wp14:anchorId="35CA4D80" wp14:editId="3E077AAF">
            <wp:extent cx="6858000" cy="7167245"/>
            <wp:effectExtent l="0" t="0" r="0" b="0"/>
            <wp:docPr id="1920472502" name="Picture 3" descr="A colorful squares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72502" name="Picture 3" descr="A colorful squares with black do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7167245"/>
                    </a:xfrm>
                    <a:prstGeom prst="rect">
                      <a:avLst/>
                    </a:prstGeom>
                  </pic:spPr>
                </pic:pic>
              </a:graphicData>
            </a:graphic>
          </wp:inline>
        </w:drawing>
      </w:r>
    </w:p>
    <w:p w14:paraId="54B7CB55" w14:textId="4EB983F0" w:rsidR="00450D3B" w:rsidRPr="00CB40A4" w:rsidRDefault="00801BAF" w:rsidP="0096017B">
      <w:pPr>
        <w:spacing w:line="480" w:lineRule="auto"/>
        <w:jc w:val="both"/>
        <w:rPr>
          <w:rFonts w:ascii="Arial" w:hAnsi="Arial" w:cs="Arial"/>
        </w:rPr>
      </w:pPr>
      <w:r w:rsidRPr="00CB40A4">
        <w:rPr>
          <w:rFonts w:ascii="Arial" w:hAnsi="Arial" w:cs="Arial"/>
          <w:b/>
          <w:bCs/>
        </w:rPr>
        <w:t>Fig. S</w:t>
      </w:r>
      <w:r w:rsidR="009755DD" w:rsidRPr="00CB40A4">
        <w:rPr>
          <w:rFonts w:ascii="Arial" w:hAnsi="Arial" w:cs="Arial"/>
          <w:b/>
          <w:bCs/>
        </w:rPr>
        <w:t>3</w:t>
      </w:r>
      <w:r w:rsidRPr="00CB40A4">
        <w:rPr>
          <w:rFonts w:ascii="Arial" w:hAnsi="Arial" w:cs="Arial"/>
          <w:b/>
          <w:bCs/>
        </w:rPr>
        <w:t xml:space="preserve"> Admixture analyses assuming a varying number of ancestry components (</w:t>
      </w:r>
      <w:r w:rsidRPr="00CB40A4">
        <w:rPr>
          <w:rFonts w:ascii="Arial" w:hAnsi="Arial" w:cs="Arial"/>
          <w:b/>
          <w:bCs/>
          <w:i/>
          <w:iCs/>
        </w:rPr>
        <w:t>K</w:t>
      </w:r>
      <w:r w:rsidRPr="00CB40A4">
        <w:rPr>
          <w:rFonts w:ascii="Arial" w:hAnsi="Arial" w:cs="Arial"/>
          <w:b/>
          <w:bCs/>
        </w:rPr>
        <w:t>).</w:t>
      </w:r>
      <w:r w:rsidR="00450D3B" w:rsidRPr="00CB40A4">
        <w:rPr>
          <w:rFonts w:ascii="Arial" w:hAnsi="Arial" w:cs="Arial"/>
        </w:rPr>
        <w:t xml:space="preserve"> </w:t>
      </w:r>
      <w:r w:rsidRPr="00CB40A4">
        <w:rPr>
          <w:rFonts w:ascii="Arial" w:hAnsi="Arial" w:cs="Arial"/>
        </w:rPr>
        <w:t xml:space="preserve">Ancestry proportions inferred from </w:t>
      </w:r>
      <w:r w:rsidR="00450D3B" w:rsidRPr="00CB40A4">
        <w:rPr>
          <w:rFonts w:ascii="Arial" w:hAnsi="Arial" w:cs="Arial"/>
        </w:rPr>
        <w:t xml:space="preserve">484,876 </w:t>
      </w:r>
      <w:r w:rsidRPr="00CB40A4">
        <w:rPr>
          <w:rFonts w:ascii="Arial" w:hAnsi="Arial" w:cs="Arial"/>
        </w:rPr>
        <w:t xml:space="preserve">unlinked SNPs </w:t>
      </w:r>
      <w:r w:rsidR="00450D3B" w:rsidRPr="00CB40A4">
        <w:rPr>
          <w:rFonts w:ascii="Arial" w:hAnsi="Arial" w:cs="Arial"/>
        </w:rPr>
        <w:t>from 116 individuals representing Nubian, reticulated, and Masai giraffe s. str</w:t>
      </w:r>
      <w:r w:rsidR="00AF5185">
        <w:rPr>
          <w:rFonts w:ascii="Arial" w:hAnsi="Arial" w:cs="Arial"/>
        </w:rPr>
        <w:t>.</w:t>
      </w:r>
      <w:r w:rsidRPr="00CB40A4">
        <w:rPr>
          <w:rFonts w:ascii="Arial" w:hAnsi="Arial" w:cs="Arial"/>
        </w:rPr>
        <w:t xml:space="preserve"> assuming </w:t>
      </w:r>
      <w:r w:rsidRPr="00CB40A4">
        <w:rPr>
          <w:rFonts w:ascii="Arial" w:hAnsi="Arial" w:cs="Arial"/>
          <w:i/>
          <w:iCs/>
        </w:rPr>
        <w:t>K</w:t>
      </w:r>
      <w:r w:rsidRPr="00CB40A4">
        <w:rPr>
          <w:rFonts w:ascii="Arial" w:hAnsi="Arial" w:cs="Arial"/>
        </w:rPr>
        <w:t xml:space="preserve"> = 2–</w:t>
      </w:r>
      <w:r w:rsidR="00450D3B" w:rsidRPr="00CB40A4">
        <w:rPr>
          <w:rFonts w:ascii="Arial" w:hAnsi="Arial" w:cs="Arial"/>
        </w:rPr>
        <w:t>11</w:t>
      </w:r>
      <w:r w:rsidRPr="00CB40A4">
        <w:rPr>
          <w:rFonts w:ascii="Arial" w:hAnsi="Arial" w:cs="Arial"/>
        </w:rPr>
        <w:t xml:space="preserve">. </w:t>
      </w:r>
      <w:r w:rsidR="00AF5185" w:rsidRPr="00962220">
        <w:rPr>
          <w:rFonts w:ascii="Arial" w:hAnsi="Arial" w:cs="Arial"/>
        </w:rPr>
        <w:t xml:space="preserve">The estimates shown represent the </w:t>
      </w:r>
      <w:proofErr w:type="spellStart"/>
      <w:r w:rsidR="00AF5185">
        <w:rPr>
          <w:rFonts w:ascii="Arial" w:hAnsi="Arial" w:cs="Arial"/>
        </w:rPr>
        <w:t>NGSadmix</w:t>
      </w:r>
      <w:proofErr w:type="spellEnd"/>
      <w:r w:rsidR="00AF5185">
        <w:rPr>
          <w:rFonts w:ascii="Arial" w:hAnsi="Arial" w:cs="Arial"/>
        </w:rPr>
        <w:t xml:space="preserve"> </w:t>
      </w:r>
      <w:r w:rsidR="00AF5185" w:rsidRPr="00962220">
        <w:rPr>
          <w:rFonts w:ascii="Arial" w:hAnsi="Arial" w:cs="Arial"/>
        </w:rPr>
        <w:t>run</w:t>
      </w:r>
      <w:r w:rsidR="00AF5185">
        <w:rPr>
          <w:rFonts w:ascii="Arial" w:hAnsi="Arial" w:cs="Arial"/>
        </w:rPr>
        <w:t>s</w:t>
      </w:r>
      <w:r w:rsidR="00AF5185" w:rsidRPr="00962220">
        <w:rPr>
          <w:rFonts w:ascii="Arial" w:hAnsi="Arial" w:cs="Arial"/>
        </w:rPr>
        <w:t xml:space="preserve"> with the highest log-likelihood out of 100 runs for their respective </w:t>
      </w:r>
      <w:r w:rsidR="00AF5185" w:rsidRPr="00962220">
        <w:rPr>
          <w:rFonts w:ascii="Arial" w:hAnsi="Arial" w:cs="Arial"/>
          <w:i/>
          <w:iCs/>
        </w:rPr>
        <w:t>K</w:t>
      </w:r>
      <w:r w:rsidR="00AF5185">
        <w:rPr>
          <w:rFonts w:ascii="Arial" w:hAnsi="Arial" w:cs="Arial"/>
        </w:rPr>
        <w:t xml:space="preserve">. </w:t>
      </w:r>
      <w:r w:rsidRPr="00CB40A4">
        <w:rPr>
          <w:rFonts w:ascii="Arial" w:hAnsi="Arial" w:cs="Arial"/>
        </w:rPr>
        <w:t>Individuals are sorted by sampling location. Colors indicate an individual’s cluster membership.</w:t>
      </w:r>
      <w:r w:rsidR="00450D3B" w:rsidRPr="00CB40A4">
        <w:rPr>
          <w:rFonts w:ascii="Arial" w:hAnsi="Arial" w:cs="Arial"/>
        </w:rPr>
        <w:br w:type="page"/>
      </w:r>
    </w:p>
    <w:p w14:paraId="560857C3" w14:textId="3BD7B219" w:rsidR="00801BAF" w:rsidRPr="00CB40A4" w:rsidRDefault="0077281D" w:rsidP="00647B52">
      <w:pPr>
        <w:spacing w:line="480" w:lineRule="auto"/>
        <w:jc w:val="both"/>
        <w:rPr>
          <w:rFonts w:ascii="Arial" w:hAnsi="Arial" w:cs="Arial"/>
        </w:rPr>
      </w:pPr>
      <w:r>
        <w:rPr>
          <w:rFonts w:ascii="Arial" w:hAnsi="Arial" w:cs="Arial"/>
          <w:noProof/>
        </w:rPr>
        <w:lastRenderedPageBreak/>
        <w:drawing>
          <wp:inline distT="0" distB="0" distL="0" distR="0" wp14:anchorId="5CD8471E" wp14:editId="59E9BDD5">
            <wp:extent cx="6464300" cy="9144000"/>
            <wp:effectExtent l="0" t="0" r="0" b="0"/>
            <wp:docPr id="626015694" name="Picture 7" descr="A collage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15694" name="Picture 7" descr="A collage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645BD108" w14:textId="77777777" w:rsidR="0006282E" w:rsidRDefault="00E223ED" w:rsidP="0096017B">
      <w:pPr>
        <w:spacing w:after="0" w:line="480" w:lineRule="auto"/>
        <w:jc w:val="both"/>
        <w:rPr>
          <w:rFonts w:ascii="Arial" w:hAnsi="Arial" w:cs="Arial"/>
        </w:rPr>
      </w:pPr>
      <w:r w:rsidRPr="00CB40A4">
        <w:rPr>
          <w:rFonts w:ascii="Arial" w:hAnsi="Arial" w:cs="Arial"/>
          <w:b/>
          <w:bCs/>
        </w:rPr>
        <w:lastRenderedPageBreak/>
        <w:t>Fig. S</w:t>
      </w:r>
      <w:r w:rsidR="009755DD" w:rsidRPr="00CB40A4">
        <w:rPr>
          <w:rFonts w:ascii="Arial" w:hAnsi="Arial" w:cs="Arial"/>
          <w:b/>
          <w:bCs/>
        </w:rPr>
        <w:t>4</w:t>
      </w:r>
      <w:r w:rsidRPr="00CB40A4">
        <w:rPr>
          <w:rFonts w:ascii="Arial" w:hAnsi="Arial" w:cs="Arial"/>
          <w:b/>
          <w:bCs/>
        </w:rPr>
        <w:t xml:space="preserve"> </w:t>
      </w:r>
      <w:r w:rsidR="005A04C9" w:rsidRPr="00CB40A4">
        <w:rPr>
          <w:rFonts w:ascii="Arial" w:hAnsi="Arial" w:cs="Arial"/>
          <w:b/>
          <w:bCs/>
        </w:rPr>
        <w:t>Assessment of</w:t>
      </w:r>
      <w:r w:rsidR="003633F7" w:rsidRPr="00CB40A4">
        <w:rPr>
          <w:rFonts w:ascii="Arial" w:hAnsi="Arial" w:cs="Arial"/>
          <w:b/>
          <w:bCs/>
        </w:rPr>
        <w:t xml:space="preserve"> the </w:t>
      </w:r>
      <w:r w:rsidR="005A04C9" w:rsidRPr="00CB40A4">
        <w:rPr>
          <w:rFonts w:ascii="Arial" w:hAnsi="Arial" w:cs="Arial"/>
          <w:b/>
          <w:bCs/>
        </w:rPr>
        <w:t xml:space="preserve">fit of admixture models </w:t>
      </w:r>
      <w:r w:rsidR="00866ECA" w:rsidRPr="00CB40A4">
        <w:rPr>
          <w:rFonts w:ascii="Arial" w:hAnsi="Arial" w:cs="Arial"/>
          <w:b/>
          <w:bCs/>
        </w:rPr>
        <w:t xml:space="preserve">assuming </w:t>
      </w:r>
      <w:r w:rsidR="00866ECA" w:rsidRPr="00CB40A4">
        <w:rPr>
          <w:rFonts w:ascii="Arial" w:hAnsi="Arial" w:cs="Arial"/>
          <w:b/>
          <w:bCs/>
          <w:i/>
          <w:iCs/>
        </w:rPr>
        <w:t>K</w:t>
      </w:r>
      <w:r w:rsidR="00866ECA" w:rsidRPr="00CB40A4">
        <w:rPr>
          <w:rFonts w:ascii="Arial" w:hAnsi="Arial" w:cs="Arial"/>
          <w:b/>
          <w:bCs/>
        </w:rPr>
        <w:t xml:space="preserve"> = 1–11 </w:t>
      </w:r>
      <w:r w:rsidR="005A04C9" w:rsidRPr="00CB40A4">
        <w:rPr>
          <w:rFonts w:ascii="Arial" w:hAnsi="Arial" w:cs="Arial"/>
          <w:b/>
          <w:bCs/>
        </w:rPr>
        <w:t>based on the correlation of residuals</w:t>
      </w:r>
      <w:r w:rsidRPr="00CB40A4">
        <w:rPr>
          <w:rFonts w:ascii="Arial" w:hAnsi="Arial" w:cs="Arial"/>
          <w:b/>
          <w:bCs/>
        </w:rPr>
        <w:t>.</w:t>
      </w:r>
      <w:r w:rsidR="005A04C9" w:rsidRPr="00CB40A4">
        <w:rPr>
          <w:rFonts w:ascii="Arial" w:hAnsi="Arial" w:cs="Arial"/>
        </w:rPr>
        <w:t xml:space="preserve"> </w:t>
      </w:r>
      <w:r w:rsidR="00152E09" w:rsidRPr="00152E09">
        <w:rPr>
          <w:rFonts w:ascii="Arial" w:hAnsi="Arial" w:cs="Arial"/>
        </w:rPr>
        <w:t xml:space="preserve">The assessed </w:t>
      </w:r>
      <w:r w:rsidR="00152E09" w:rsidRPr="00CB40A4">
        <w:rPr>
          <w:rFonts w:ascii="Arial" w:hAnsi="Arial" w:cs="Arial"/>
        </w:rPr>
        <w:t xml:space="preserve">admixture </w:t>
      </w:r>
      <w:r w:rsidR="00152E09" w:rsidRPr="00152E09">
        <w:rPr>
          <w:rFonts w:ascii="Arial" w:hAnsi="Arial" w:cs="Arial"/>
        </w:rPr>
        <w:t xml:space="preserve">models are </w:t>
      </w:r>
      <w:r w:rsidR="00152E09" w:rsidRPr="00CB40A4">
        <w:rPr>
          <w:rFonts w:ascii="Arial" w:hAnsi="Arial" w:cs="Arial"/>
        </w:rPr>
        <w:t>shown in Fig. S3</w:t>
      </w:r>
      <w:r w:rsidR="00152E09">
        <w:rPr>
          <w:rFonts w:ascii="Arial" w:hAnsi="Arial" w:cs="Arial"/>
        </w:rPr>
        <w:t xml:space="preserve"> and represent </w:t>
      </w:r>
      <w:r w:rsidR="00152E09" w:rsidRPr="00152E09">
        <w:rPr>
          <w:rFonts w:ascii="Arial" w:hAnsi="Arial" w:cs="Arial"/>
        </w:rPr>
        <w:t xml:space="preserve">the </w:t>
      </w:r>
      <w:proofErr w:type="spellStart"/>
      <w:r w:rsidR="00152E09">
        <w:rPr>
          <w:rFonts w:ascii="Arial" w:hAnsi="Arial" w:cs="Arial"/>
        </w:rPr>
        <w:t>NGSadmix</w:t>
      </w:r>
      <w:proofErr w:type="spellEnd"/>
      <w:r w:rsidR="00152E09">
        <w:rPr>
          <w:rFonts w:ascii="Arial" w:hAnsi="Arial" w:cs="Arial"/>
        </w:rPr>
        <w:t xml:space="preserve"> </w:t>
      </w:r>
      <w:r w:rsidR="00152E09" w:rsidRPr="00152E09">
        <w:rPr>
          <w:rFonts w:ascii="Arial" w:hAnsi="Arial" w:cs="Arial"/>
        </w:rPr>
        <w:t>runs with the highest log-likelihood out of 100 runs for their respective K.</w:t>
      </w:r>
      <w:r w:rsidR="00152E09">
        <w:rPr>
          <w:rFonts w:ascii="Arial" w:hAnsi="Arial" w:cs="Arial"/>
        </w:rPr>
        <w:t xml:space="preserve"> </w:t>
      </w:r>
      <w:r w:rsidR="00E02203" w:rsidRPr="00CB40A4">
        <w:rPr>
          <w:rFonts w:ascii="Arial" w:hAnsi="Arial" w:cs="Arial"/>
        </w:rPr>
        <w:t>T</w:t>
      </w:r>
      <w:r w:rsidR="003633F7" w:rsidRPr="00CB40A4">
        <w:rPr>
          <w:rFonts w:ascii="Arial" w:hAnsi="Arial" w:cs="Arial"/>
        </w:rPr>
        <w:t xml:space="preserve">he </w:t>
      </w:r>
      <w:r w:rsidR="005A04C9" w:rsidRPr="00CB40A4">
        <w:rPr>
          <w:rFonts w:ascii="Arial" w:hAnsi="Arial" w:cs="Arial"/>
        </w:rPr>
        <w:t>pairwise correlation of residuals between</w:t>
      </w:r>
      <w:r w:rsidR="00E76D1A" w:rsidRPr="00CB40A4">
        <w:rPr>
          <w:rFonts w:ascii="Arial" w:hAnsi="Arial" w:cs="Arial"/>
        </w:rPr>
        <w:t xml:space="preserve"> all</w:t>
      </w:r>
      <w:r w:rsidR="005A04C9" w:rsidRPr="00CB40A4">
        <w:rPr>
          <w:rFonts w:ascii="Arial" w:hAnsi="Arial" w:cs="Arial"/>
        </w:rPr>
        <w:t xml:space="preserve"> individuals</w:t>
      </w:r>
      <w:r w:rsidR="00E02203" w:rsidRPr="00CB40A4">
        <w:rPr>
          <w:rFonts w:ascii="Arial" w:hAnsi="Arial" w:cs="Arial"/>
        </w:rPr>
        <w:t xml:space="preserve"> is shown above the diagonal, while </w:t>
      </w:r>
      <w:r w:rsidR="005A04C9" w:rsidRPr="00CB40A4">
        <w:rPr>
          <w:rFonts w:ascii="Arial" w:hAnsi="Arial" w:cs="Arial"/>
        </w:rPr>
        <w:t xml:space="preserve">the </w:t>
      </w:r>
      <w:r w:rsidR="00E76D1A" w:rsidRPr="00CB40A4">
        <w:rPr>
          <w:rFonts w:ascii="Arial" w:hAnsi="Arial" w:cs="Arial"/>
        </w:rPr>
        <w:t>mean correlation within and between individuals from each sampling locality is plotted below the diagonal</w:t>
      </w:r>
      <w:r w:rsidR="005A04C9" w:rsidRPr="00CB40A4">
        <w:rPr>
          <w:rFonts w:ascii="Arial" w:hAnsi="Arial" w:cs="Arial"/>
        </w:rPr>
        <w:t xml:space="preserve">. </w:t>
      </w:r>
      <w:r w:rsidR="006F34ED" w:rsidRPr="00CB40A4">
        <w:rPr>
          <w:rFonts w:ascii="Arial" w:hAnsi="Arial" w:cs="Arial"/>
        </w:rPr>
        <w:t>The order of individuals and sampling localities are the same as in</w:t>
      </w:r>
      <w:r w:rsidR="005A04C9" w:rsidRPr="00CB40A4">
        <w:rPr>
          <w:rFonts w:ascii="Arial" w:hAnsi="Arial" w:cs="Arial"/>
        </w:rPr>
        <w:t xml:space="preserve"> Fig. S</w:t>
      </w:r>
      <w:r w:rsidR="009755DD" w:rsidRPr="00CB40A4">
        <w:rPr>
          <w:rFonts w:ascii="Arial" w:hAnsi="Arial" w:cs="Arial"/>
        </w:rPr>
        <w:t>3</w:t>
      </w:r>
      <w:r w:rsidR="005A04C9" w:rsidRPr="00CB40A4">
        <w:rPr>
          <w:rFonts w:ascii="Arial" w:hAnsi="Arial" w:cs="Arial"/>
        </w:rPr>
        <w:t>. Correlation values higher than 0.5 or lower than -0.5 are plotted as dark red and dark blue, respectively.</w:t>
      </w:r>
    </w:p>
    <w:p w14:paraId="4B1F829A" w14:textId="0B33FC1E" w:rsidR="00D01275" w:rsidRPr="00CB40A4" w:rsidRDefault="00D01275" w:rsidP="0096017B">
      <w:pPr>
        <w:spacing w:after="0" w:line="480" w:lineRule="auto"/>
        <w:jc w:val="both"/>
        <w:rPr>
          <w:rFonts w:ascii="Arial" w:hAnsi="Arial" w:cs="Arial"/>
          <w:b/>
          <w:bCs/>
        </w:rPr>
      </w:pPr>
      <w:r w:rsidRPr="00CB40A4">
        <w:rPr>
          <w:rFonts w:ascii="Arial" w:hAnsi="Arial" w:cs="Arial"/>
          <w:b/>
          <w:bCs/>
        </w:rPr>
        <w:br w:type="page"/>
      </w:r>
    </w:p>
    <w:p w14:paraId="60050940" w14:textId="01B2D2C5" w:rsidR="001412A3" w:rsidRPr="00CB40A4" w:rsidRDefault="0006282E" w:rsidP="0006282E">
      <w:pPr>
        <w:spacing w:after="0" w:line="480" w:lineRule="auto"/>
        <w:jc w:val="both"/>
        <w:rPr>
          <w:rFonts w:ascii="Arial" w:hAnsi="Arial" w:cs="Arial"/>
        </w:rPr>
      </w:pPr>
      <w:r>
        <w:rPr>
          <w:rFonts w:ascii="Arial" w:hAnsi="Arial" w:cs="Arial"/>
          <w:noProof/>
        </w:rPr>
        <w:lastRenderedPageBreak/>
        <w:drawing>
          <wp:inline distT="0" distB="0" distL="0" distR="0" wp14:anchorId="444C84C4" wp14:editId="572F29FF">
            <wp:extent cx="6117348" cy="6117348"/>
            <wp:effectExtent l="0" t="0" r="0" b="0"/>
            <wp:docPr id="679279237" name="Picture 1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9237" name="Picture 11" descr="A graph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7348" cy="6117348"/>
                    </a:xfrm>
                    <a:prstGeom prst="rect">
                      <a:avLst/>
                    </a:prstGeom>
                  </pic:spPr>
                </pic:pic>
              </a:graphicData>
            </a:graphic>
          </wp:inline>
        </w:drawing>
      </w:r>
    </w:p>
    <w:p w14:paraId="5283F3A0" w14:textId="563B6181" w:rsidR="00CC6F33" w:rsidRPr="00CB40A4" w:rsidRDefault="00640E9C" w:rsidP="00CC6F33">
      <w:pPr>
        <w:spacing w:after="0" w:line="480" w:lineRule="auto"/>
        <w:jc w:val="both"/>
        <w:rPr>
          <w:rFonts w:ascii="Arial" w:hAnsi="Arial" w:cs="Arial"/>
        </w:rPr>
      </w:pPr>
      <w:r w:rsidRPr="00CB40A4">
        <w:rPr>
          <w:rFonts w:ascii="Arial" w:hAnsi="Arial" w:cs="Arial"/>
          <w:b/>
          <w:bCs/>
        </w:rPr>
        <w:t>Fig. S</w:t>
      </w:r>
      <w:r w:rsidR="009755DD" w:rsidRPr="00CB40A4">
        <w:rPr>
          <w:rFonts w:ascii="Arial" w:hAnsi="Arial" w:cs="Arial"/>
          <w:b/>
          <w:bCs/>
        </w:rPr>
        <w:t>5</w:t>
      </w:r>
      <w:r w:rsidRPr="00CB40A4">
        <w:rPr>
          <w:rFonts w:ascii="Arial" w:hAnsi="Arial" w:cs="Arial"/>
          <w:b/>
          <w:bCs/>
        </w:rPr>
        <w:t xml:space="preserve"> </w:t>
      </w:r>
      <w:proofErr w:type="spellStart"/>
      <w:r w:rsidR="00DA6024" w:rsidRPr="00CB40A4">
        <w:rPr>
          <w:rFonts w:ascii="Arial" w:hAnsi="Arial" w:cs="Arial"/>
          <w:b/>
          <w:bCs/>
        </w:rPr>
        <w:t>OptM</w:t>
      </w:r>
      <w:proofErr w:type="spellEnd"/>
      <w:r w:rsidR="00DA6024" w:rsidRPr="00CB40A4">
        <w:rPr>
          <w:rFonts w:ascii="Arial" w:hAnsi="Arial" w:cs="Arial"/>
          <w:b/>
          <w:bCs/>
        </w:rPr>
        <w:t xml:space="preserve"> </w:t>
      </w:r>
      <w:r w:rsidR="0097642C" w:rsidRPr="00CB40A4">
        <w:rPr>
          <w:rFonts w:ascii="Arial" w:hAnsi="Arial" w:cs="Arial"/>
          <w:b/>
          <w:bCs/>
        </w:rPr>
        <w:t xml:space="preserve">output </w:t>
      </w:r>
      <w:r w:rsidR="00DA6024" w:rsidRPr="00CB40A4">
        <w:rPr>
          <w:rFonts w:ascii="Arial" w:hAnsi="Arial" w:cs="Arial"/>
          <w:b/>
          <w:bCs/>
        </w:rPr>
        <w:t xml:space="preserve">for the </w:t>
      </w:r>
      <w:proofErr w:type="spellStart"/>
      <w:r w:rsidR="0097642C" w:rsidRPr="00CB40A4">
        <w:rPr>
          <w:rFonts w:ascii="Arial" w:hAnsi="Arial" w:cs="Arial"/>
          <w:b/>
          <w:bCs/>
        </w:rPr>
        <w:t>TreeMix</w:t>
      </w:r>
      <w:proofErr w:type="spellEnd"/>
      <w:r w:rsidR="0097642C" w:rsidRPr="00CB40A4">
        <w:rPr>
          <w:rFonts w:ascii="Arial" w:hAnsi="Arial" w:cs="Arial"/>
          <w:b/>
          <w:bCs/>
        </w:rPr>
        <w:t xml:space="preserve"> runs with </w:t>
      </w:r>
      <w:r w:rsidR="008C6B2C">
        <w:rPr>
          <w:rFonts w:ascii="Arial" w:hAnsi="Arial" w:cs="Arial"/>
          <w:b/>
          <w:bCs/>
        </w:rPr>
        <w:t xml:space="preserve">the number of </w:t>
      </w:r>
      <w:r w:rsidR="00DA6024" w:rsidRPr="00CB40A4">
        <w:rPr>
          <w:rFonts w:ascii="Arial" w:hAnsi="Arial" w:cs="Arial"/>
          <w:b/>
          <w:bCs/>
        </w:rPr>
        <w:t>migration edges</w:t>
      </w:r>
      <w:r w:rsidR="0097642C" w:rsidRPr="00CB40A4">
        <w:rPr>
          <w:rFonts w:ascii="Arial" w:hAnsi="Arial" w:cs="Arial"/>
          <w:b/>
          <w:bCs/>
        </w:rPr>
        <w:t xml:space="preserve"> (</w:t>
      </w:r>
      <w:r w:rsidR="0097642C" w:rsidRPr="00CB40A4">
        <w:rPr>
          <w:rFonts w:ascii="Arial" w:hAnsi="Arial" w:cs="Arial"/>
          <w:b/>
          <w:bCs/>
          <w:i/>
          <w:iCs/>
        </w:rPr>
        <w:t>m</w:t>
      </w:r>
      <w:r w:rsidR="0097642C" w:rsidRPr="00CB40A4">
        <w:rPr>
          <w:rFonts w:ascii="Arial" w:hAnsi="Arial" w:cs="Arial"/>
          <w:b/>
          <w:bCs/>
        </w:rPr>
        <w:t>) ranging from 0 to 5</w:t>
      </w:r>
      <w:r w:rsidR="00DA6024" w:rsidRPr="00CB40A4">
        <w:rPr>
          <w:rFonts w:ascii="Arial" w:hAnsi="Arial" w:cs="Arial"/>
          <w:b/>
          <w:bCs/>
        </w:rPr>
        <w:t>.</w:t>
      </w:r>
      <w:r w:rsidR="001412A3" w:rsidRPr="00CB40A4">
        <w:rPr>
          <w:rFonts w:ascii="Arial" w:hAnsi="Arial" w:cs="Arial"/>
        </w:rPr>
        <w:t xml:space="preserve"> (</w:t>
      </w:r>
      <w:r w:rsidR="001412A3" w:rsidRPr="00CB40A4">
        <w:rPr>
          <w:rFonts w:ascii="Arial" w:hAnsi="Arial" w:cs="Arial"/>
          <w:b/>
          <w:bCs/>
        </w:rPr>
        <w:t>a</w:t>
      </w:r>
      <w:r w:rsidR="004C082C" w:rsidRPr="00CB40A4">
        <w:rPr>
          <w:rFonts w:ascii="Arial" w:hAnsi="Arial" w:cs="Arial"/>
          <w:b/>
          <w:bCs/>
        </w:rPr>
        <w:t>–b</w:t>
      </w:r>
      <w:r w:rsidR="001412A3" w:rsidRPr="00CB40A4">
        <w:rPr>
          <w:rFonts w:ascii="Arial" w:hAnsi="Arial" w:cs="Arial"/>
        </w:rPr>
        <w:t xml:space="preserve">) The mean and standard deviation (SD) across </w:t>
      </w:r>
      <w:r w:rsidR="00DA6024" w:rsidRPr="00CB40A4">
        <w:rPr>
          <w:rFonts w:ascii="Arial" w:hAnsi="Arial" w:cs="Arial"/>
        </w:rPr>
        <w:t>50</w:t>
      </w:r>
      <w:r w:rsidR="001412A3" w:rsidRPr="00CB40A4">
        <w:rPr>
          <w:rFonts w:ascii="Arial" w:hAnsi="Arial" w:cs="Arial"/>
        </w:rPr>
        <w:t xml:space="preserve"> iterations for the composite likelihood L(</w:t>
      </w:r>
      <w:r w:rsidR="001412A3" w:rsidRPr="00CB40A4">
        <w:rPr>
          <w:rFonts w:ascii="Arial" w:hAnsi="Arial" w:cs="Arial"/>
          <w:i/>
          <w:iCs/>
        </w:rPr>
        <w:t>m</w:t>
      </w:r>
      <w:r w:rsidR="001412A3" w:rsidRPr="00CB40A4">
        <w:rPr>
          <w:rFonts w:ascii="Arial" w:hAnsi="Arial" w:cs="Arial"/>
        </w:rPr>
        <w:t>)</w:t>
      </w:r>
      <w:r w:rsidR="004C082C" w:rsidRPr="00CB40A4">
        <w:rPr>
          <w:rFonts w:ascii="Arial" w:hAnsi="Arial" w:cs="Arial"/>
        </w:rPr>
        <w:t xml:space="preserve"> (black)</w:t>
      </w:r>
      <w:r w:rsidR="00DA6024" w:rsidRPr="00CB40A4">
        <w:rPr>
          <w:rFonts w:ascii="Arial" w:hAnsi="Arial" w:cs="Arial"/>
        </w:rPr>
        <w:t xml:space="preserve"> </w:t>
      </w:r>
      <w:r w:rsidR="001412A3" w:rsidRPr="00CB40A4">
        <w:rPr>
          <w:rFonts w:ascii="Arial" w:hAnsi="Arial" w:cs="Arial"/>
        </w:rPr>
        <w:t xml:space="preserve">and </w:t>
      </w:r>
      <w:r w:rsidR="00A91E46" w:rsidRPr="00CB40A4">
        <w:rPr>
          <w:rFonts w:ascii="Arial" w:hAnsi="Arial" w:cs="Arial"/>
        </w:rPr>
        <w:t>percentage o</w:t>
      </w:r>
      <w:r w:rsidR="001412A3" w:rsidRPr="00CB40A4">
        <w:rPr>
          <w:rFonts w:ascii="Arial" w:hAnsi="Arial" w:cs="Arial"/>
        </w:rPr>
        <w:t>f variance explained</w:t>
      </w:r>
      <w:r w:rsidR="004C082C" w:rsidRPr="00CB40A4">
        <w:rPr>
          <w:rFonts w:ascii="Arial" w:hAnsi="Arial" w:cs="Arial"/>
        </w:rPr>
        <w:t xml:space="preserve"> (red)</w:t>
      </w:r>
      <w:r w:rsidR="001412A3" w:rsidRPr="00CB40A4">
        <w:rPr>
          <w:rFonts w:ascii="Arial" w:hAnsi="Arial" w:cs="Arial"/>
        </w:rPr>
        <w:t>. (</w:t>
      </w:r>
      <w:r w:rsidR="00DA6024" w:rsidRPr="00CB40A4">
        <w:rPr>
          <w:rFonts w:ascii="Arial" w:hAnsi="Arial" w:cs="Arial"/>
          <w:b/>
          <w:bCs/>
        </w:rPr>
        <w:t>c</w:t>
      </w:r>
      <w:r w:rsidR="001412A3" w:rsidRPr="00CB40A4">
        <w:rPr>
          <w:rFonts w:ascii="Arial" w:hAnsi="Arial" w:cs="Arial"/>
        </w:rPr>
        <w:t>) The second-order rate of change (</w:t>
      </w:r>
      <w:proofErr w:type="spellStart"/>
      <w:r w:rsidR="00342599" w:rsidRPr="00CB40A4">
        <w:rPr>
          <w:rFonts w:ascii="Arial" w:hAnsi="Arial" w:cs="Arial"/>
          <w:i/>
          <w:iCs/>
        </w:rPr>
        <w:t>Δ</w:t>
      </w:r>
      <w:r w:rsidR="001412A3" w:rsidRPr="00CB40A4">
        <w:rPr>
          <w:rFonts w:ascii="Arial" w:hAnsi="Arial" w:cs="Arial"/>
          <w:i/>
          <w:iCs/>
        </w:rPr>
        <w:t>m</w:t>
      </w:r>
      <w:proofErr w:type="spellEnd"/>
      <w:r w:rsidR="001412A3" w:rsidRPr="00CB40A4">
        <w:rPr>
          <w:rFonts w:ascii="Arial" w:hAnsi="Arial" w:cs="Arial"/>
        </w:rPr>
        <w:t xml:space="preserve">) across values of </w:t>
      </w:r>
      <w:r w:rsidR="001412A3" w:rsidRPr="00CB40A4">
        <w:rPr>
          <w:rFonts w:ascii="Arial" w:hAnsi="Arial" w:cs="Arial"/>
          <w:i/>
          <w:iCs/>
        </w:rPr>
        <w:t>m</w:t>
      </w:r>
      <w:r w:rsidR="008C6B2C" w:rsidRPr="008C6B2C">
        <w:rPr>
          <w:rFonts w:ascii="Arial" w:hAnsi="Arial" w:cs="Arial"/>
        </w:rPr>
        <w:t xml:space="preserve"> </w:t>
      </w:r>
      <w:r w:rsidR="008C6B2C">
        <w:rPr>
          <w:rFonts w:ascii="Arial" w:hAnsi="Arial" w:cs="Arial"/>
        </w:rPr>
        <w:t xml:space="preserve">based on 50 </w:t>
      </w:r>
      <w:r w:rsidR="008C6B2C" w:rsidRPr="00CB40A4">
        <w:rPr>
          <w:rFonts w:ascii="Arial" w:hAnsi="Arial" w:cs="Arial"/>
        </w:rPr>
        <w:t>iterations</w:t>
      </w:r>
      <w:r w:rsidR="008C6B2C">
        <w:rPr>
          <w:rFonts w:ascii="Arial" w:hAnsi="Arial" w:cs="Arial"/>
        </w:rPr>
        <w:t xml:space="preserve"> per </w:t>
      </w:r>
      <w:r w:rsidR="008C6B2C" w:rsidRPr="008C6B2C">
        <w:rPr>
          <w:rFonts w:ascii="Arial" w:hAnsi="Arial" w:cs="Arial"/>
          <w:i/>
          <w:iCs/>
        </w:rPr>
        <w:t>m</w:t>
      </w:r>
      <w:r w:rsidRPr="00CB40A4">
        <w:rPr>
          <w:rFonts w:ascii="Arial" w:hAnsi="Arial" w:cs="Arial"/>
        </w:rPr>
        <w:t>.</w:t>
      </w:r>
    </w:p>
    <w:p w14:paraId="1AB3670E" w14:textId="77777777" w:rsidR="00CC6F33" w:rsidRPr="00CB40A4" w:rsidRDefault="00CC6F33">
      <w:pPr>
        <w:rPr>
          <w:rFonts w:ascii="Arial" w:hAnsi="Arial" w:cs="Arial"/>
        </w:rPr>
      </w:pPr>
      <w:r w:rsidRPr="00CB40A4">
        <w:rPr>
          <w:rFonts w:ascii="Arial" w:hAnsi="Arial" w:cs="Arial"/>
        </w:rPr>
        <w:br w:type="page"/>
      </w:r>
    </w:p>
    <w:p w14:paraId="65C274B2" w14:textId="6DBE7139" w:rsidR="00CC6F33" w:rsidRPr="00CB40A4" w:rsidRDefault="0077281D" w:rsidP="00CC6F33">
      <w:pPr>
        <w:spacing w:after="0" w:line="480" w:lineRule="auto"/>
        <w:jc w:val="both"/>
        <w:rPr>
          <w:rFonts w:ascii="Arial" w:hAnsi="Arial" w:cs="Arial"/>
          <w:b/>
          <w:bCs/>
        </w:rPr>
      </w:pPr>
      <w:r>
        <w:rPr>
          <w:rFonts w:ascii="Arial" w:hAnsi="Arial" w:cs="Arial"/>
          <w:b/>
          <w:bCs/>
          <w:noProof/>
        </w:rPr>
        <w:lastRenderedPageBreak/>
        <w:drawing>
          <wp:inline distT="0" distB="0" distL="0" distR="0" wp14:anchorId="3E0A9297" wp14:editId="09F0FCC2">
            <wp:extent cx="6858000" cy="6858000"/>
            <wp:effectExtent l="0" t="0" r="0" b="0"/>
            <wp:docPr id="259058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58993" name="Picture 2590589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384635A5" w14:textId="1F67EB23" w:rsidR="009755DD" w:rsidRPr="00CB40A4" w:rsidRDefault="00640E9C" w:rsidP="0096017B">
      <w:pPr>
        <w:spacing w:after="0" w:line="480" w:lineRule="auto"/>
        <w:jc w:val="both"/>
        <w:rPr>
          <w:rFonts w:ascii="Arial" w:hAnsi="Arial" w:cs="Arial"/>
          <w:b/>
          <w:bCs/>
        </w:rPr>
      </w:pPr>
      <w:r w:rsidRPr="00CB40A4">
        <w:rPr>
          <w:rFonts w:ascii="Arial" w:hAnsi="Arial" w:cs="Arial"/>
          <w:b/>
          <w:bCs/>
        </w:rPr>
        <w:t>Fig. S</w:t>
      </w:r>
      <w:r w:rsidR="009755DD" w:rsidRPr="00CB40A4">
        <w:rPr>
          <w:rFonts w:ascii="Arial" w:hAnsi="Arial" w:cs="Arial"/>
          <w:b/>
          <w:bCs/>
        </w:rPr>
        <w:t>6</w:t>
      </w:r>
      <w:r w:rsidRPr="00CB40A4">
        <w:rPr>
          <w:rFonts w:ascii="Arial" w:hAnsi="Arial" w:cs="Arial"/>
          <w:b/>
          <w:bCs/>
        </w:rPr>
        <w:t xml:space="preserve"> </w:t>
      </w:r>
      <w:r w:rsidR="00FC6AC9" w:rsidRPr="00CB40A4">
        <w:rPr>
          <w:rFonts w:ascii="Arial" w:hAnsi="Arial" w:cs="Arial"/>
          <w:b/>
          <w:bCs/>
        </w:rPr>
        <w:t>Admixture graphs of giraffe populations</w:t>
      </w:r>
      <w:r w:rsidR="00CB1CFC" w:rsidRPr="00CB40A4">
        <w:rPr>
          <w:rFonts w:ascii="Arial" w:hAnsi="Arial" w:cs="Arial"/>
          <w:b/>
          <w:bCs/>
        </w:rPr>
        <w:t xml:space="preserve"> </w:t>
      </w:r>
      <w:r w:rsidR="00FC6AC9" w:rsidRPr="00CB40A4">
        <w:rPr>
          <w:rFonts w:ascii="Arial" w:hAnsi="Arial" w:cs="Arial"/>
          <w:b/>
          <w:bCs/>
        </w:rPr>
        <w:t>and their corresponding residual fit.</w:t>
      </w:r>
      <w:r w:rsidR="00100BB4" w:rsidRPr="00CB40A4">
        <w:rPr>
          <w:rFonts w:ascii="Arial" w:hAnsi="Arial" w:cs="Arial"/>
        </w:rPr>
        <w:t xml:space="preserve"> The graphs were estimated with </w:t>
      </w:r>
      <w:proofErr w:type="spellStart"/>
      <w:r w:rsidR="00100BB4" w:rsidRPr="00CB40A4">
        <w:rPr>
          <w:rFonts w:ascii="Arial" w:hAnsi="Arial" w:cs="Arial"/>
        </w:rPr>
        <w:t>OrientAGraph</w:t>
      </w:r>
      <w:proofErr w:type="spellEnd"/>
      <w:r w:rsidR="00100BB4" w:rsidRPr="00CB40A4">
        <w:rPr>
          <w:rFonts w:ascii="Arial" w:hAnsi="Arial" w:cs="Arial"/>
        </w:rPr>
        <w:t xml:space="preserve"> </w:t>
      </w:r>
      <w:r w:rsidR="00EC4E4E" w:rsidRPr="00CB40A4">
        <w:rPr>
          <w:rFonts w:ascii="Arial" w:hAnsi="Arial" w:cs="Arial"/>
        </w:rPr>
        <w:t>allowing for</w:t>
      </w:r>
      <w:r w:rsidR="00100BB4" w:rsidRPr="00CB40A4">
        <w:rPr>
          <w:rFonts w:ascii="Arial" w:hAnsi="Arial" w:cs="Arial"/>
        </w:rPr>
        <w:t xml:space="preserve"> 1 and 2 migration events</w:t>
      </w:r>
      <w:r w:rsidR="00B72C4D">
        <w:rPr>
          <w:rFonts w:ascii="Arial" w:hAnsi="Arial" w:cs="Arial"/>
        </w:rPr>
        <w:t xml:space="preserve"> with 10 bootstrap replicates</w:t>
      </w:r>
      <w:r w:rsidR="000A67DB" w:rsidRPr="00CB40A4">
        <w:rPr>
          <w:rFonts w:ascii="Arial" w:hAnsi="Arial" w:cs="Arial"/>
        </w:rPr>
        <w:t>.</w:t>
      </w:r>
      <w:r w:rsidR="00100BB4" w:rsidRPr="00CB40A4">
        <w:rPr>
          <w:rFonts w:ascii="Arial" w:hAnsi="Arial" w:cs="Arial"/>
        </w:rPr>
        <w:t xml:space="preserve"> </w:t>
      </w:r>
      <w:r w:rsidR="00FC6AC9" w:rsidRPr="00CB40A4">
        <w:rPr>
          <w:rFonts w:ascii="Arial" w:hAnsi="Arial" w:cs="Arial"/>
        </w:rPr>
        <w:t xml:space="preserve">The okapi was used as an outgroup. </w:t>
      </w:r>
      <w:r w:rsidR="000A67DB" w:rsidRPr="00CB40A4">
        <w:rPr>
          <w:rFonts w:ascii="Arial" w:hAnsi="Arial" w:cs="Arial"/>
        </w:rPr>
        <w:t>Nubian, reticulated, and Masai s. str. giraffe populations were defined following the best fit admixture model (</w:t>
      </w:r>
      <w:r w:rsidR="000A67DB" w:rsidRPr="00CB40A4">
        <w:rPr>
          <w:rFonts w:ascii="Arial" w:hAnsi="Arial" w:cs="Arial"/>
          <w:i/>
          <w:iCs/>
        </w:rPr>
        <w:t xml:space="preserve">K </w:t>
      </w:r>
      <w:r w:rsidR="000A67DB" w:rsidRPr="00CB40A4">
        <w:rPr>
          <w:rFonts w:ascii="Arial" w:hAnsi="Arial" w:cs="Arial"/>
        </w:rPr>
        <w:t xml:space="preserve">= </w:t>
      </w:r>
      <w:r w:rsidR="006E311B" w:rsidRPr="00CB40A4">
        <w:rPr>
          <w:rFonts w:ascii="Arial" w:hAnsi="Arial" w:cs="Arial"/>
        </w:rPr>
        <w:t>9</w:t>
      </w:r>
      <w:r w:rsidR="000A67DB" w:rsidRPr="00CB40A4">
        <w:rPr>
          <w:rFonts w:ascii="Arial" w:hAnsi="Arial" w:cs="Arial"/>
        </w:rPr>
        <w:t>; Fig. 1c</w:t>
      </w:r>
      <w:r w:rsidR="00255787" w:rsidRPr="00CB40A4">
        <w:rPr>
          <w:rFonts w:ascii="Arial" w:hAnsi="Arial" w:cs="Arial"/>
        </w:rPr>
        <w:t>–e</w:t>
      </w:r>
      <w:r w:rsidR="000A67DB" w:rsidRPr="00CB40A4">
        <w:rPr>
          <w:rFonts w:ascii="Arial" w:hAnsi="Arial" w:cs="Arial"/>
        </w:rPr>
        <w:t>, Fig. S</w:t>
      </w:r>
      <w:r w:rsidR="009755DD" w:rsidRPr="00CB40A4">
        <w:rPr>
          <w:rFonts w:ascii="Arial" w:hAnsi="Arial" w:cs="Arial"/>
        </w:rPr>
        <w:t>3</w:t>
      </w:r>
      <w:r w:rsidR="000A67DB" w:rsidRPr="00CB40A4">
        <w:rPr>
          <w:rFonts w:ascii="Arial" w:hAnsi="Arial" w:cs="Arial"/>
        </w:rPr>
        <w:t xml:space="preserve"> and Fig. S</w:t>
      </w:r>
      <w:r w:rsidR="009755DD" w:rsidRPr="00CB40A4">
        <w:rPr>
          <w:rFonts w:ascii="Arial" w:hAnsi="Arial" w:cs="Arial"/>
        </w:rPr>
        <w:t>4</w:t>
      </w:r>
      <w:r w:rsidR="000A67DB" w:rsidRPr="00CB40A4">
        <w:rPr>
          <w:rFonts w:ascii="Arial" w:hAnsi="Arial" w:cs="Arial"/>
        </w:rPr>
        <w:t>). Numerical suffixes in Nubian, reticulated, and Masai s. str. giraffe population labels indicate sampling locations according to Fig. 1</w:t>
      </w:r>
      <w:r w:rsidR="002004DC" w:rsidRPr="00CB40A4">
        <w:rPr>
          <w:rFonts w:ascii="Arial" w:hAnsi="Arial" w:cs="Arial"/>
        </w:rPr>
        <w:t>a</w:t>
      </w:r>
      <w:r w:rsidR="000A67DB" w:rsidRPr="00CB40A4">
        <w:rPr>
          <w:rFonts w:ascii="Arial" w:hAnsi="Arial" w:cs="Arial"/>
        </w:rPr>
        <w:t xml:space="preserve">. </w:t>
      </w:r>
      <w:r w:rsidR="00100BB4" w:rsidRPr="00CB40A4">
        <w:rPr>
          <w:rFonts w:ascii="Arial" w:hAnsi="Arial" w:cs="Arial"/>
        </w:rPr>
        <w:t>Migration arrows are colored according to their weight</w:t>
      </w:r>
      <w:r w:rsidR="001D3A69" w:rsidRPr="00CB40A4">
        <w:rPr>
          <w:rFonts w:ascii="Arial" w:hAnsi="Arial" w:cs="Arial"/>
        </w:rPr>
        <w:t xml:space="preserve">. </w:t>
      </w:r>
      <w:r w:rsidR="00442CF2" w:rsidRPr="00CB40A4">
        <w:rPr>
          <w:rFonts w:ascii="Arial" w:hAnsi="Arial" w:cs="Arial"/>
        </w:rPr>
        <w:t xml:space="preserve">Positive residuals indicate </w:t>
      </w:r>
      <w:r w:rsidR="009C3AE7" w:rsidRPr="00CB40A4">
        <w:rPr>
          <w:rFonts w:ascii="Arial" w:hAnsi="Arial" w:cs="Arial"/>
        </w:rPr>
        <w:t xml:space="preserve">populations that are more closely related </w:t>
      </w:r>
      <w:r w:rsidR="00442CF2" w:rsidRPr="00CB40A4">
        <w:rPr>
          <w:rFonts w:ascii="Arial" w:hAnsi="Arial" w:cs="Arial"/>
        </w:rPr>
        <w:t xml:space="preserve">in the dataset than in </w:t>
      </w:r>
      <w:r w:rsidR="009C3AE7" w:rsidRPr="00CB40A4">
        <w:rPr>
          <w:rFonts w:ascii="Arial" w:hAnsi="Arial" w:cs="Arial"/>
        </w:rPr>
        <w:t xml:space="preserve">the best-fit </w:t>
      </w:r>
      <w:r w:rsidR="009A1D7F" w:rsidRPr="00CB40A4">
        <w:rPr>
          <w:rFonts w:ascii="Arial" w:hAnsi="Arial" w:cs="Arial"/>
        </w:rPr>
        <w:t>graph</w:t>
      </w:r>
      <w:r w:rsidR="009C3AE7" w:rsidRPr="00CB40A4">
        <w:rPr>
          <w:rFonts w:ascii="Arial" w:hAnsi="Arial" w:cs="Arial"/>
        </w:rPr>
        <w:t>, and thus are candidates for admixture events.</w:t>
      </w:r>
      <w:r w:rsidRPr="00CB40A4">
        <w:rPr>
          <w:rFonts w:ascii="Arial" w:hAnsi="Arial" w:cs="Arial"/>
          <w:b/>
          <w:bCs/>
        </w:rPr>
        <w:br w:type="page"/>
      </w:r>
    </w:p>
    <w:p w14:paraId="00682801" w14:textId="4B94E31C" w:rsidR="009755DD" w:rsidRPr="00CB40A4" w:rsidRDefault="0077281D" w:rsidP="009755DD">
      <w:pPr>
        <w:spacing w:after="0" w:line="480" w:lineRule="auto"/>
        <w:jc w:val="both"/>
        <w:rPr>
          <w:rFonts w:ascii="Arial" w:hAnsi="Arial" w:cs="Arial"/>
        </w:rPr>
      </w:pPr>
      <w:r>
        <w:rPr>
          <w:rFonts w:ascii="Arial" w:hAnsi="Arial" w:cs="Arial"/>
          <w:noProof/>
        </w:rPr>
        <w:lastRenderedPageBreak/>
        <w:drawing>
          <wp:inline distT="0" distB="0" distL="0" distR="0" wp14:anchorId="29D974DA" wp14:editId="274695B3">
            <wp:extent cx="6858000" cy="2286000"/>
            <wp:effectExtent l="0" t="0" r="0" b="0"/>
            <wp:docPr id="1900065963" name="Picture 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65963" name="Picture 5" descr="A graph with lines and numb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063DAF1A" w14:textId="77777777" w:rsidR="0006282E" w:rsidRDefault="009755DD" w:rsidP="0096017B">
      <w:pPr>
        <w:spacing w:line="480" w:lineRule="auto"/>
        <w:jc w:val="both"/>
        <w:rPr>
          <w:rFonts w:ascii="Arial" w:hAnsi="Arial" w:cs="Arial"/>
        </w:rPr>
      </w:pPr>
      <w:r w:rsidRPr="00CB40A4">
        <w:rPr>
          <w:rFonts w:ascii="Arial" w:hAnsi="Arial" w:cs="Arial"/>
          <w:b/>
          <w:bCs/>
        </w:rPr>
        <w:t xml:space="preserve">Fig. S7 Linkage disequilibrium (LD) decay in Nubian, reticulated, and Masai giraffe s. str. </w:t>
      </w:r>
      <w:r w:rsidRPr="00CB40A4">
        <w:rPr>
          <w:rFonts w:ascii="Arial" w:hAnsi="Arial" w:cs="Arial"/>
        </w:rPr>
        <w:t xml:space="preserve">LD was estimated as </w:t>
      </w:r>
      <w:r w:rsidRPr="00CB40A4">
        <w:rPr>
          <w:rFonts w:ascii="Arial" w:hAnsi="Arial" w:cs="Arial"/>
          <w:i/>
          <w:iCs/>
        </w:rPr>
        <w:t>r</w:t>
      </w:r>
      <w:r w:rsidRPr="00CB40A4">
        <w:rPr>
          <w:rFonts w:ascii="Arial" w:hAnsi="Arial" w:cs="Arial"/>
          <w:i/>
          <w:iCs/>
          <w:vertAlign w:val="superscript"/>
        </w:rPr>
        <w:t>2</w:t>
      </w:r>
      <w:r w:rsidRPr="00CB40A4">
        <w:rPr>
          <w:rFonts w:ascii="Arial" w:hAnsi="Arial" w:cs="Arial"/>
        </w:rPr>
        <w:t xml:space="preserve"> values for SNP pairs up to 500 </w:t>
      </w:r>
      <w:proofErr w:type="spellStart"/>
      <w:r w:rsidRPr="00CB40A4">
        <w:rPr>
          <w:rFonts w:ascii="Arial" w:hAnsi="Arial" w:cs="Arial"/>
        </w:rPr>
        <w:t>kbp</w:t>
      </w:r>
      <w:proofErr w:type="spellEnd"/>
      <w:r w:rsidRPr="00CB40A4">
        <w:rPr>
          <w:rFonts w:ascii="Arial" w:hAnsi="Arial" w:cs="Arial"/>
        </w:rPr>
        <w:t xml:space="preserve"> apart. Linkage decay curves were fitted per species from a random sample of 0.05% of the estimated </w:t>
      </w:r>
      <w:r w:rsidRPr="00CB40A4">
        <w:rPr>
          <w:rFonts w:ascii="Arial" w:hAnsi="Arial" w:cs="Arial"/>
          <w:i/>
          <w:iCs/>
        </w:rPr>
        <w:t>r</w:t>
      </w:r>
      <w:r w:rsidRPr="00CB40A4">
        <w:rPr>
          <w:rFonts w:ascii="Arial" w:hAnsi="Arial" w:cs="Arial"/>
          <w:i/>
          <w:iCs/>
          <w:vertAlign w:val="superscript"/>
        </w:rPr>
        <w:t>2</w:t>
      </w:r>
      <w:r w:rsidRPr="00CB40A4">
        <w:rPr>
          <w:rFonts w:ascii="Arial" w:hAnsi="Arial" w:cs="Arial"/>
        </w:rPr>
        <w:t xml:space="preserve"> values.</w:t>
      </w:r>
    </w:p>
    <w:p w14:paraId="2E1AB63F" w14:textId="65EB12D0" w:rsidR="009755DD" w:rsidRPr="00CB40A4" w:rsidRDefault="009755DD" w:rsidP="0096017B">
      <w:pPr>
        <w:spacing w:line="480" w:lineRule="auto"/>
        <w:jc w:val="both"/>
        <w:rPr>
          <w:rFonts w:ascii="Arial" w:hAnsi="Arial" w:cs="Arial"/>
          <w:b/>
          <w:bCs/>
        </w:rPr>
      </w:pPr>
      <w:r w:rsidRPr="00CB40A4">
        <w:rPr>
          <w:rFonts w:ascii="Arial" w:hAnsi="Arial" w:cs="Arial"/>
          <w:b/>
          <w:bCs/>
        </w:rPr>
        <w:br w:type="page"/>
      </w:r>
    </w:p>
    <w:p w14:paraId="2A772158" w14:textId="12C06659" w:rsidR="00E223ED" w:rsidRPr="00CB40A4" w:rsidRDefault="0077281D" w:rsidP="00775F1B">
      <w:pPr>
        <w:spacing w:after="0" w:line="480" w:lineRule="auto"/>
        <w:jc w:val="both"/>
        <w:rPr>
          <w:rFonts w:ascii="Arial" w:hAnsi="Arial" w:cs="Arial"/>
        </w:rPr>
      </w:pPr>
      <w:r>
        <w:rPr>
          <w:rFonts w:ascii="Arial" w:hAnsi="Arial" w:cs="Arial"/>
          <w:noProof/>
        </w:rPr>
        <w:lastRenderedPageBreak/>
        <w:drawing>
          <wp:inline distT="0" distB="0" distL="0" distR="0" wp14:anchorId="7A232F2F" wp14:editId="2F82569A">
            <wp:extent cx="6858000" cy="2416810"/>
            <wp:effectExtent l="0" t="0" r="0" b="2540"/>
            <wp:docPr id="275918879" name="Picture 6" descr="A graph of a graph of a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18879" name="Picture 6" descr="A graph of a graph of a stat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416810"/>
                    </a:xfrm>
                    <a:prstGeom prst="rect">
                      <a:avLst/>
                    </a:prstGeom>
                  </pic:spPr>
                </pic:pic>
              </a:graphicData>
            </a:graphic>
          </wp:inline>
        </w:drawing>
      </w:r>
    </w:p>
    <w:p w14:paraId="459CFC74" w14:textId="27A6583A" w:rsidR="00EA248A" w:rsidRPr="00FC6AC9" w:rsidRDefault="00801BAF" w:rsidP="00EA248A">
      <w:pPr>
        <w:spacing w:line="480" w:lineRule="auto"/>
        <w:jc w:val="both"/>
        <w:rPr>
          <w:rFonts w:ascii="Arial" w:hAnsi="Arial" w:cs="Arial"/>
        </w:rPr>
      </w:pPr>
      <w:r w:rsidRPr="00CB40A4">
        <w:rPr>
          <w:rFonts w:ascii="Arial" w:hAnsi="Arial" w:cs="Arial"/>
          <w:b/>
          <w:bCs/>
        </w:rPr>
        <w:t>Fig. S</w:t>
      </w:r>
      <w:r w:rsidR="00DF2DAD" w:rsidRPr="00CB40A4">
        <w:rPr>
          <w:rFonts w:ascii="Arial" w:hAnsi="Arial" w:cs="Arial"/>
          <w:b/>
          <w:bCs/>
        </w:rPr>
        <w:t>8</w:t>
      </w:r>
      <w:r w:rsidRPr="00CB40A4">
        <w:rPr>
          <w:rFonts w:ascii="Arial" w:hAnsi="Arial" w:cs="Arial"/>
          <w:b/>
          <w:bCs/>
        </w:rPr>
        <w:t xml:space="preserve"> Log probability trace and Bayesian deviance (D) for each BA3-SNPs run.</w:t>
      </w:r>
      <w:r w:rsidRPr="00CB40A4">
        <w:rPr>
          <w:rFonts w:ascii="Arial" w:hAnsi="Arial" w:cs="Arial"/>
        </w:rPr>
        <w:t xml:space="preserve"> The stationary log probability trace after the burn-in period (dashed vertical line) suggests convergence between runs. Run </w:t>
      </w:r>
      <w:r w:rsidR="00526A81" w:rsidRPr="00CB40A4">
        <w:rPr>
          <w:rFonts w:ascii="Arial" w:hAnsi="Arial" w:cs="Arial"/>
        </w:rPr>
        <w:t>3</w:t>
      </w:r>
      <w:r w:rsidRPr="00CB40A4">
        <w:rPr>
          <w:rFonts w:ascii="Arial" w:hAnsi="Arial" w:cs="Arial"/>
        </w:rPr>
        <w:t xml:space="preserve"> shows the smallest D and was selected for report</w:t>
      </w:r>
      <w:r w:rsidR="00C8645F" w:rsidRPr="00CB40A4">
        <w:rPr>
          <w:rFonts w:ascii="Arial" w:hAnsi="Arial" w:cs="Arial"/>
        </w:rPr>
        <w:t>ing</w:t>
      </w:r>
      <w:r w:rsidRPr="00CB40A4">
        <w:rPr>
          <w:rFonts w:ascii="Arial" w:hAnsi="Arial" w:cs="Arial"/>
        </w:rPr>
        <w:t xml:space="preserve"> estimated migration rates on Fig. </w:t>
      </w:r>
      <w:r w:rsidR="00DF2DAD" w:rsidRPr="00CB40A4">
        <w:rPr>
          <w:rFonts w:ascii="Arial" w:hAnsi="Arial" w:cs="Arial"/>
        </w:rPr>
        <w:t>3c</w:t>
      </w:r>
      <w:r w:rsidRPr="00CB40A4">
        <w:rPr>
          <w:rFonts w:ascii="Arial" w:hAnsi="Arial" w:cs="Arial"/>
        </w:rPr>
        <w:t xml:space="preserve"> and </w:t>
      </w:r>
      <w:r w:rsidR="007250A8" w:rsidRPr="00CB40A4">
        <w:rPr>
          <w:rFonts w:ascii="Arial" w:hAnsi="Arial" w:cs="Arial"/>
        </w:rPr>
        <w:t xml:space="preserve">Additional file </w:t>
      </w:r>
      <w:r w:rsidR="00CF441E">
        <w:rPr>
          <w:rFonts w:ascii="Arial" w:hAnsi="Arial" w:cs="Arial"/>
        </w:rPr>
        <w:t>1</w:t>
      </w:r>
      <w:r w:rsidR="007250A8" w:rsidRPr="00CB40A4">
        <w:rPr>
          <w:rFonts w:ascii="Arial" w:hAnsi="Arial" w:cs="Arial"/>
        </w:rPr>
        <w:t>:</w:t>
      </w:r>
      <w:r w:rsidRPr="00CB40A4">
        <w:rPr>
          <w:rFonts w:ascii="Arial" w:hAnsi="Arial" w:cs="Arial"/>
        </w:rPr>
        <w:t xml:space="preserve"> Table </w:t>
      </w:r>
      <w:r w:rsidR="00523FEE" w:rsidRPr="00CB40A4">
        <w:rPr>
          <w:rFonts w:ascii="Arial" w:hAnsi="Arial" w:cs="Arial"/>
        </w:rPr>
        <w:t>S</w:t>
      </w:r>
      <w:r w:rsidRPr="00CB40A4">
        <w:rPr>
          <w:rFonts w:ascii="Arial" w:hAnsi="Arial" w:cs="Arial"/>
        </w:rPr>
        <w:t>2.</w:t>
      </w:r>
    </w:p>
    <w:sectPr w:rsidR="00EA248A" w:rsidRPr="00FC6AC9" w:rsidSect="002F74D1">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4C897" w14:textId="77777777" w:rsidR="00AD6735" w:rsidRDefault="00AD6735">
      <w:pPr>
        <w:spacing w:after="0" w:line="240" w:lineRule="auto"/>
      </w:pPr>
      <w:r>
        <w:separator/>
      </w:r>
    </w:p>
  </w:endnote>
  <w:endnote w:type="continuationSeparator" w:id="0">
    <w:p w14:paraId="6D7B3275" w14:textId="77777777" w:rsidR="00AD6735" w:rsidRDefault="00AD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BDC72" w14:textId="77777777" w:rsidR="00AD6735" w:rsidRDefault="00AD6735">
      <w:pPr>
        <w:spacing w:after="0" w:line="240" w:lineRule="auto"/>
      </w:pPr>
      <w:r>
        <w:separator/>
      </w:r>
    </w:p>
  </w:footnote>
  <w:footnote w:type="continuationSeparator" w:id="0">
    <w:p w14:paraId="1957F4CA" w14:textId="77777777" w:rsidR="00AD6735" w:rsidRDefault="00AD67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0D6"/>
    <w:rsid w:val="0000113B"/>
    <w:rsid w:val="0000596D"/>
    <w:rsid w:val="0001140E"/>
    <w:rsid w:val="000416A9"/>
    <w:rsid w:val="000529A4"/>
    <w:rsid w:val="0005504E"/>
    <w:rsid w:val="000555A3"/>
    <w:rsid w:val="0005666F"/>
    <w:rsid w:val="0006282E"/>
    <w:rsid w:val="00064C68"/>
    <w:rsid w:val="000713B4"/>
    <w:rsid w:val="00072AD1"/>
    <w:rsid w:val="000758DE"/>
    <w:rsid w:val="00092EAB"/>
    <w:rsid w:val="000A59BA"/>
    <w:rsid w:val="000A67DB"/>
    <w:rsid w:val="000C157F"/>
    <w:rsid w:val="000E37E1"/>
    <w:rsid w:val="00100BB4"/>
    <w:rsid w:val="00124979"/>
    <w:rsid w:val="00130680"/>
    <w:rsid w:val="001308E4"/>
    <w:rsid w:val="001412A3"/>
    <w:rsid w:val="0014698B"/>
    <w:rsid w:val="00152E09"/>
    <w:rsid w:val="00153AC9"/>
    <w:rsid w:val="001D3A69"/>
    <w:rsid w:val="001D4CE1"/>
    <w:rsid w:val="001D5465"/>
    <w:rsid w:val="001E58A1"/>
    <w:rsid w:val="002004DC"/>
    <w:rsid w:val="00207F7F"/>
    <w:rsid w:val="00212EBC"/>
    <w:rsid w:val="00237EB6"/>
    <w:rsid w:val="00240EEB"/>
    <w:rsid w:val="00255787"/>
    <w:rsid w:val="0026255E"/>
    <w:rsid w:val="00275C3C"/>
    <w:rsid w:val="0028297D"/>
    <w:rsid w:val="00284AC2"/>
    <w:rsid w:val="002A249C"/>
    <w:rsid w:val="002A7612"/>
    <w:rsid w:val="002B3D70"/>
    <w:rsid w:val="002B57AE"/>
    <w:rsid w:val="002C7BB6"/>
    <w:rsid w:val="002E6F5B"/>
    <w:rsid w:val="002F74D1"/>
    <w:rsid w:val="00312424"/>
    <w:rsid w:val="00342599"/>
    <w:rsid w:val="00345E70"/>
    <w:rsid w:val="003633F7"/>
    <w:rsid w:val="003727FF"/>
    <w:rsid w:val="003D0D69"/>
    <w:rsid w:val="003D1E85"/>
    <w:rsid w:val="00401F7A"/>
    <w:rsid w:val="00404166"/>
    <w:rsid w:val="00442CF2"/>
    <w:rsid w:val="00445FA8"/>
    <w:rsid w:val="00450D3B"/>
    <w:rsid w:val="00454ACD"/>
    <w:rsid w:val="004550C0"/>
    <w:rsid w:val="0046484D"/>
    <w:rsid w:val="00473AF2"/>
    <w:rsid w:val="004C058A"/>
    <w:rsid w:val="004C082C"/>
    <w:rsid w:val="004D13E9"/>
    <w:rsid w:val="004E5C89"/>
    <w:rsid w:val="0052325A"/>
    <w:rsid w:val="00523FEE"/>
    <w:rsid w:val="00526A81"/>
    <w:rsid w:val="00533F65"/>
    <w:rsid w:val="005663DD"/>
    <w:rsid w:val="0057331F"/>
    <w:rsid w:val="00591681"/>
    <w:rsid w:val="005A04C9"/>
    <w:rsid w:val="005A7783"/>
    <w:rsid w:val="005B2C36"/>
    <w:rsid w:val="005B6C16"/>
    <w:rsid w:val="005C1E8D"/>
    <w:rsid w:val="005E04F9"/>
    <w:rsid w:val="005E238E"/>
    <w:rsid w:val="005E7C2E"/>
    <w:rsid w:val="0061493B"/>
    <w:rsid w:val="006229D4"/>
    <w:rsid w:val="00640E9C"/>
    <w:rsid w:val="00647B52"/>
    <w:rsid w:val="00663A54"/>
    <w:rsid w:val="00682713"/>
    <w:rsid w:val="006914A8"/>
    <w:rsid w:val="006B7FA2"/>
    <w:rsid w:val="006E311B"/>
    <w:rsid w:val="006E4390"/>
    <w:rsid w:val="006F34ED"/>
    <w:rsid w:val="00706E8C"/>
    <w:rsid w:val="00713F43"/>
    <w:rsid w:val="00722099"/>
    <w:rsid w:val="007250A8"/>
    <w:rsid w:val="007634B9"/>
    <w:rsid w:val="00763B75"/>
    <w:rsid w:val="0077281D"/>
    <w:rsid w:val="00775F1B"/>
    <w:rsid w:val="00793B6F"/>
    <w:rsid w:val="00796D42"/>
    <w:rsid w:val="007A5DB7"/>
    <w:rsid w:val="007C2DDB"/>
    <w:rsid w:val="00801BAF"/>
    <w:rsid w:val="00803454"/>
    <w:rsid w:val="00806D68"/>
    <w:rsid w:val="00827EC3"/>
    <w:rsid w:val="00866ECA"/>
    <w:rsid w:val="008724D6"/>
    <w:rsid w:val="0088206C"/>
    <w:rsid w:val="00890961"/>
    <w:rsid w:val="00894147"/>
    <w:rsid w:val="008C6B2C"/>
    <w:rsid w:val="009126BF"/>
    <w:rsid w:val="00917E7F"/>
    <w:rsid w:val="009409E8"/>
    <w:rsid w:val="009560BD"/>
    <w:rsid w:val="0096017B"/>
    <w:rsid w:val="00970214"/>
    <w:rsid w:val="009755DD"/>
    <w:rsid w:val="0097581D"/>
    <w:rsid w:val="0097642C"/>
    <w:rsid w:val="009A1684"/>
    <w:rsid w:val="009A1D7F"/>
    <w:rsid w:val="009A4DAF"/>
    <w:rsid w:val="009B4273"/>
    <w:rsid w:val="009B5509"/>
    <w:rsid w:val="009C1E90"/>
    <w:rsid w:val="009C3628"/>
    <w:rsid w:val="009C3AE7"/>
    <w:rsid w:val="009D18FB"/>
    <w:rsid w:val="009D624D"/>
    <w:rsid w:val="009F48C6"/>
    <w:rsid w:val="00A05F61"/>
    <w:rsid w:val="00A5209C"/>
    <w:rsid w:val="00A62591"/>
    <w:rsid w:val="00A63A01"/>
    <w:rsid w:val="00A760CE"/>
    <w:rsid w:val="00A91E46"/>
    <w:rsid w:val="00AA0AE1"/>
    <w:rsid w:val="00AD2912"/>
    <w:rsid w:val="00AD2BA5"/>
    <w:rsid w:val="00AD6735"/>
    <w:rsid w:val="00AE32C6"/>
    <w:rsid w:val="00AE7A78"/>
    <w:rsid w:val="00AF5185"/>
    <w:rsid w:val="00B30E38"/>
    <w:rsid w:val="00B374F9"/>
    <w:rsid w:val="00B67C57"/>
    <w:rsid w:val="00B718F9"/>
    <w:rsid w:val="00B72C4D"/>
    <w:rsid w:val="00B77A08"/>
    <w:rsid w:val="00B82FC7"/>
    <w:rsid w:val="00B9346C"/>
    <w:rsid w:val="00BA6D6A"/>
    <w:rsid w:val="00BB7B6B"/>
    <w:rsid w:val="00BC6FA7"/>
    <w:rsid w:val="00C07DE0"/>
    <w:rsid w:val="00C36A6E"/>
    <w:rsid w:val="00C46EC1"/>
    <w:rsid w:val="00C64283"/>
    <w:rsid w:val="00C72C36"/>
    <w:rsid w:val="00C8645F"/>
    <w:rsid w:val="00CB1CFC"/>
    <w:rsid w:val="00CB33E1"/>
    <w:rsid w:val="00CB40A4"/>
    <w:rsid w:val="00CC6F33"/>
    <w:rsid w:val="00CD351A"/>
    <w:rsid w:val="00CE57BA"/>
    <w:rsid w:val="00CF441E"/>
    <w:rsid w:val="00D00B26"/>
    <w:rsid w:val="00D01275"/>
    <w:rsid w:val="00D030A5"/>
    <w:rsid w:val="00D05BBB"/>
    <w:rsid w:val="00D12305"/>
    <w:rsid w:val="00D13660"/>
    <w:rsid w:val="00D14C26"/>
    <w:rsid w:val="00D22051"/>
    <w:rsid w:val="00D43280"/>
    <w:rsid w:val="00D617BD"/>
    <w:rsid w:val="00D62547"/>
    <w:rsid w:val="00D75CE8"/>
    <w:rsid w:val="00D8475C"/>
    <w:rsid w:val="00D932CC"/>
    <w:rsid w:val="00DA07AF"/>
    <w:rsid w:val="00DA6024"/>
    <w:rsid w:val="00DB2071"/>
    <w:rsid w:val="00DB589B"/>
    <w:rsid w:val="00DD5F7B"/>
    <w:rsid w:val="00DD5F9C"/>
    <w:rsid w:val="00DF2DAD"/>
    <w:rsid w:val="00DF3A5C"/>
    <w:rsid w:val="00E016F5"/>
    <w:rsid w:val="00E02203"/>
    <w:rsid w:val="00E0603E"/>
    <w:rsid w:val="00E223ED"/>
    <w:rsid w:val="00E556BE"/>
    <w:rsid w:val="00E56021"/>
    <w:rsid w:val="00E63B3A"/>
    <w:rsid w:val="00E67EF5"/>
    <w:rsid w:val="00E7009A"/>
    <w:rsid w:val="00E74C22"/>
    <w:rsid w:val="00E76D1A"/>
    <w:rsid w:val="00E8069F"/>
    <w:rsid w:val="00E85BFA"/>
    <w:rsid w:val="00E92BEF"/>
    <w:rsid w:val="00EA06C8"/>
    <w:rsid w:val="00EA248A"/>
    <w:rsid w:val="00EA63CB"/>
    <w:rsid w:val="00EC079A"/>
    <w:rsid w:val="00EC1BF1"/>
    <w:rsid w:val="00EC4E4E"/>
    <w:rsid w:val="00EF2C56"/>
    <w:rsid w:val="00F11D4D"/>
    <w:rsid w:val="00F12BCC"/>
    <w:rsid w:val="00F3496A"/>
    <w:rsid w:val="00F477EB"/>
    <w:rsid w:val="00F6165E"/>
    <w:rsid w:val="00F6294E"/>
    <w:rsid w:val="00F705BB"/>
    <w:rsid w:val="00F75463"/>
    <w:rsid w:val="00FA30D6"/>
    <w:rsid w:val="00FA7688"/>
    <w:rsid w:val="00FC6AC9"/>
    <w:rsid w:val="00FF05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D3946"/>
  <w15:chartTrackingRefBased/>
  <w15:docId w15:val="{E138B69B-DCA2-47CB-B20C-BF40ACE6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30D6"/>
    <w:pPr>
      <w:spacing w:after="0" w:line="240" w:lineRule="auto"/>
    </w:pPr>
  </w:style>
  <w:style w:type="table" w:styleId="PlainTable2">
    <w:name w:val="Plain Table 2"/>
    <w:basedOn w:val="TableNormal"/>
    <w:uiPriority w:val="42"/>
    <w:rsid w:val="00FA30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FA30D6"/>
  </w:style>
  <w:style w:type="table" w:styleId="TableGrid">
    <w:name w:val="Table Grid"/>
    <w:basedOn w:val="TableNormal"/>
    <w:uiPriority w:val="39"/>
    <w:rsid w:val="00FA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5C3C"/>
    <w:rPr>
      <w:sz w:val="16"/>
      <w:szCs w:val="16"/>
    </w:rPr>
  </w:style>
  <w:style w:type="paragraph" w:styleId="CommentText">
    <w:name w:val="annotation text"/>
    <w:basedOn w:val="Normal"/>
    <w:link w:val="CommentTextChar"/>
    <w:uiPriority w:val="99"/>
    <w:semiHidden/>
    <w:unhideWhenUsed/>
    <w:rsid w:val="00275C3C"/>
    <w:pPr>
      <w:spacing w:line="240" w:lineRule="auto"/>
    </w:pPr>
    <w:rPr>
      <w:sz w:val="20"/>
      <w:szCs w:val="20"/>
    </w:rPr>
  </w:style>
  <w:style w:type="character" w:customStyle="1" w:styleId="CommentTextChar">
    <w:name w:val="Comment Text Char"/>
    <w:basedOn w:val="DefaultParagraphFont"/>
    <w:link w:val="CommentText"/>
    <w:uiPriority w:val="99"/>
    <w:semiHidden/>
    <w:rsid w:val="00275C3C"/>
    <w:rPr>
      <w:sz w:val="20"/>
      <w:szCs w:val="20"/>
    </w:rPr>
  </w:style>
  <w:style w:type="paragraph" w:styleId="CommentSubject">
    <w:name w:val="annotation subject"/>
    <w:basedOn w:val="CommentText"/>
    <w:next w:val="CommentText"/>
    <w:link w:val="CommentSubjectChar"/>
    <w:uiPriority w:val="99"/>
    <w:semiHidden/>
    <w:unhideWhenUsed/>
    <w:rsid w:val="00275C3C"/>
    <w:rPr>
      <w:b/>
      <w:bCs/>
    </w:rPr>
  </w:style>
  <w:style w:type="character" w:customStyle="1" w:styleId="CommentSubjectChar">
    <w:name w:val="Comment Subject Char"/>
    <w:basedOn w:val="CommentTextChar"/>
    <w:link w:val="CommentSubject"/>
    <w:uiPriority w:val="99"/>
    <w:semiHidden/>
    <w:rsid w:val="00275C3C"/>
    <w:rPr>
      <w:b/>
      <w:bCs/>
      <w:sz w:val="20"/>
      <w:szCs w:val="20"/>
    </w:rPr>
  </w:style>
  <w:style w:type="paragraph" w:styleId="ListParagraph">
    <w:name w:val="List Paragraph"/>
    <w:basedOn w:val="Normal"/>
    <w:uiPriority w:val="34"/>
    <w:qFormat/>
    <w:rsid w:val="00064C68"/>
    <w:pPr>
      <w:ind w:left="720"/>
      <w:contextualSpacing/>
    </w:pPr>
  </w:style>
  <w:style w:type="paragraph" w:styleId="Revision">
    <w:name w:val="Revision"/>
    <w:hidden/>
    <w:uiPriority w:val="99"/>
    <w:semiHidden/>
    <w:rsid w:val="000713B4"/>
    <w:pPr>
      <w:spacing w:after="0" w:line="240" w:lineRule="auto"/>
    </w:pPr>
  </w:style>
  <w:style w:type="character" w:styleId="Hyperlink">
    <w:name w:val="Hyperlink"/>
    <w:basedOn w:val="DefaultParagraphFont"/>
    <w:uiPriority w:val="99"/>
    <w:unhideWhenUsed/>
    <w:rsid w:val="000529A4"/>
    <w:rPr>
      <w:color w:val="0563C1" w:themeColor="hyperlink"/>
      <w:u w:val="single"/>
    </w:rPr>
  </w:style>
  <w:style w:type="character" w:styleId="UnresolvedMention">
    <w:name w:val="Unresolved Mention"/>
    <w:basedOn w:val="DefaultParagraphFont"/>
    <w:uiPriority w:val="99"/>
    <w:semiHidden/>
    <w:unhideWhenUsed/>
    <w:rsid w:val="000529A4"/>
    <w:rPr>
      <w:color w:val="605E5C"/>
      <w:shd w:val="clear" w:color="auto" w:fill="E1DFDD"/>
    </w:rPr>
  </w:style>
  <w:style w:type="character" w:styleId="PlaceholderText">
    <w:name w:val="Placeholder Text"/>
    <w:basedOn w:val="DefaultParagraphFont"/>
    <w:uiPriority w:val="99"/>
    <w:semiHidden/>
    <w:rsid w:val="00801B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292">
      <w:bodyDiv w:val="1"/>
      <w:marLeft w:val="0"/>
      <w:marRight w:val="0"/>
      <w:marTop w:val="0"/>
      <w:marBottom w:val="0"/>
      <w:divBdr>
        <w:top w:val="none" w:sz="0" w:space="0" w:color="auto"/>
        <w:left w:val="none" w:sz="0" w:space="0" w:color="auto"/>
        <w:bottom w:val="none" w:sz="0" w:space="0" w:color="auto"/>
        <w:right w:val="none" w:sz="0" w:space="0" w:color="auto"/>
      </w:divBdr>
      <w:divsChild>
        <w:div w:id="1194536292">
          <w:marLeft w:val="640"/>
          <w:marRight w:val="0"/>
          <w:marTop w:val="0"/>
          <w:marBottom w:val="0"/>
          <w:divBdr>
            <w:top w:val="none" w:sz="0" w:space="0" w:color="auto"/>
            <w:left w:val="none" w:sz="0" w:space="0" w:color="auto"/>
            <w:bottom w:val="none" w:sz="0" w:space="0" w:color="auto"/>
            <w:right w:val="none" w:sz="0" w:space="0" w:color="auto"/>
          </w:divBdr>
        </w:div>
        <w:div w:id="1476798897">
          <w:marLeft w:val="640"/>
          <w:marRight w:val="0"/>
          <w:marTop w:val="0"/>
          <w:marBottom w:val="0"/>
          <w:divBdr>
            <w:top w:val="none" w:sz="0" w:space="0" w:color="auto"/>
            <w:left w:val="none" w:sz="0" w:space="0" w:color="auto"/>
            <w:bottom w:val="none" w:sz="0" w:space="0" w:color="auto"/>
            <w:right w:val="none" w:sz="0" w:space="0" w:color="auto"/>
          </w:divBdr>
        </w:div>
        <w:div w:id="2101681221">
          <w:marLeft w:val="640"/>
          <w:marRight w:val="0"/>
          <w:marTop w:val="0"/>
          <w:marBottom w:val="0"/>
          <w:divBdr>
            <w:top w:val="none" w:sz="0" w:space="0" w:color="auto"/>
            <w:left w:val="none" w:sz="0" w:space="0" w:color="auto"/>
            <w:bottom w:val="none" w:sz="0" w:space="0" w:color="auto"/>
            <w:right w:val="none" w:sz="0" w:space="0" w:color="auto"/>
          </w:divBdr>
        </w:div>
        <w:div w:id="582954377">
          <w:marLeft w:val="640"/>
          <w:marRight w:val="0"/>
          <w:marTop w:val="0"/>
          <w:marBottom w:val="0"/>
          <w:divBdr>
            <w:top w:val="none" w:sz="0" w:space="0" w:color="auto"/>
            <w:left w:val="none" w:sz="0" w:space="0" w:color="auto"/>
            <w:bottom w:val="none" w:sz="0" w:space="0" w:color="auto"/>
            <w:right w:val="none" w:sz="0" w:space="0" w:color="auto"/>
          </w:divBdr>
        </w:div>
      </w:divsChild>
    </w:div>
    <w:div w:id="191038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A4E615-9CC6-4DD9-B744-F0091E87DA38}">
  <we:reference id="wa104382081" version="1.46.0.0" store="en-001" storeType="OMEX"/>
  <we:alternateReferences>
    <we:reference id="WA104382081" version="1.46.0.0" store="" storeType="OMEX"/>
  </we:alternateReferences>
  <we:properties>
    <we:property name="MENDELEY_CITATIONS" value="[{&quot;citationID&quot;:&quot;MENDELEY_CITATION_9fbbec22-2242-40dc-9806-05dae3dcb614&quot;,&quot;citationItems&quot;:[{&quot;id&quot;:&quot;b9f8be1c-4530-3650-a564-e69e8fdd9012&quot;,&quot;itemData&quot;:{&quot;DOI&quot;:&quot;10.1016/j.cub.2016.07.036&quot;,&quot;ISSN&quot;:&quot;09609822&quot;,&quot;abstract&quot;:&quot;Traditionally, one giraffe species and up to eleven subspecies have been recognized [1]; however, nine subspecies are commonly accepted [2]. Even after a century of research, the distinctness of each giraffe subspecies remains unclear, and the genetic variation across their distribution range has been incompletely explored. Recent genetic studies on mtDNA have shown reciprocal monophyly of the matrilines among seven of the nine assumed subspecies [3, 4]. Moreover, until now, genetic analyses have not been applied to biparentally inherited sequence data and did not include data from all nine giraffe subspecies. We sampled natural giraffe populations from across their range in Africa, and for the first time individuals from the nominate subspecies, the Nubian giraffe, Giraffa camelopardalis camelopardalis Linnaeus 1758 [5], were included in a genetic analysis. Coalescence-based multi-locus and population genetic analyses identify at least four separate and monophyletic clades, which should be recognized as four distinct giraffe species under the genetic isolation criterion. Analyses of 190 individuals from maternal and biparental markers support these findings and further suggest subsuming Rothschild?s giraffe into the Nubian giraffe, as well as Thornicroft?s giraffe into the Masai giraffe [6]. A giraffe survey genome produced valuable data from microsatellites, mobile genetic elements, and accurate divergence time estimates. Our findings provide the most inclusive analysis of giraffe relationships to date and show that their genetic complexity has been underestimated, highlighting the need for greater conservation efforts for the world?s tallest mammal.&quot;,&quot;author&quot;:[{&quot;dropping-particle&quot;:&quot;&quot;,&quot;family&quot;:&quot;Fennessy&quot;,&quot;given&quot;:&quot;Julian&quot;,&quot;non-dropping-particle&quot;:&quot;&quot;,&quot;parse-names&quot;:false,&quot;suffix&quot;:&quot;&quot;},{&quot;dropping-particle&quot;:&quot;&quot;,&quot;family&quot;:&quot;Bidon&quot;,&quot;given&quot;:&quot;Tobias&quot;,&quot;non-dropping-particle&quot;:&quot;&quot;,&quot;parse-names&quot;:false,&quot;suffix&quot;:&quot;&quot;},{&quot;dropping-particle&quot;:&quot;&quot;,&quot;family&quot;:&quot;Reuss&quot;,&quot;given&quot;:&quot;Friederike&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Elkan&quot;,&quot;given&quot;:&quot;Paul&quot;,&quot;non-dropping-particle&quot;:&quot;&quot;,&quot;parse-names&quot;:false,&quot;suffix&quot;:&quot;&quot;},{&quot;dropping-particle&quot;:&quot;&quot;,&quot;family&quot;:&quot;Nilsson&quot;,&quot;given&quot;:&quot;Maria A.&quot;,&quot;non-dropping-particle&quot;:&quot;&quot;,&quot;parse-names&quot;:false,&quot;suffix&quot;:&quot;&quot;},{&quot;dropping-particle&quot;:&quot;&quot;,&quot;family&quot;:&quot;Vamberger&quot;,&quot;given&quot;:&quot;Melita&quot;,&quot;non-dropping-particle&quot;:&quot;&quot;,&quot;parse-names&quot;:false,&quot;suffix&quot;:&quot;&quot;},{&quot;dropping-particle&quot;:&quot;&quot;,&quot;family&quot;:&quot;Fritz&quot;,&quot;given&quot;:&quot;Uwe&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b9f8be1c-4530-3650-a564-e69e8fdd9012&quot;,&quot;issue&quot;:&quot;18&quot;,&quot;issued&quot;:{&quot;date-parts&quot;:[[&quot;2016&quot;]]},&quot;note&quot;:&quot;doi: 10.1016/j.cub.2016.07.036&quot;,&quot;page&quot;:&quot;2543-2549&quot;,&quot;title&quot;:&quot;Multi-locus analyses reveal four giraffe species instead of one&quot;,&quot;type&quot;:&quot;article-journal&quot;,&quot;volume&quot;:&quot;26&quot;},&quot;uris&quot;:[&quot;http://www.mendeley.com/documents/?uuid=b9f8be1c-4530-3650-a564-e69e8fdd9012&quot;],&quot;isTemporary&quot;:false,&quot;legacyDesktopId&quot;:&quot;b9f8be1c-4530-3650-a564-e69e8fdd9012&quot;}],&quot;properties&quot;:{&quot;noteIndex&quot;:0},&quot;isEdited&quot;:false,&quot;manualOverride&quot;:{&quot;citeprocText&quot;:&quot;(1)&quot;,&quot;isManuallyOverridden&quot;:false,&quot;manualOverrideText&quot;:&quot;&quot;},&quot;citationTag&quot;:&quot;MENDELEY_CITATION_v3_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&quot;},{&quot;citationID&quot;:&quot;MENDELEY_CITATION_f4ff83ea-07ae-4cfc-9b89-c86f13d9be9b&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ZjRmZjgzZWEtMDdhZS00Y2ZjLTliODktYzg2ZjEzZDliZTli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2a630bd8-d6ce-4a8a-82b4-f271fb07623b&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mE2MzBiZDgtZDZjZS00YThhLTgyYjQtZjI3MWZiMDc2MjNi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509b1ab4-280d-4df6-b8c8-20a5607128ea&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TA5YjFhYjQtMjgwZC00ZGY2LWI4YzgtMjBhNTYwNzEyOGVh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3d3f1241-6233-4ab2-8981-7d35d4c2b5e5&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2QzZjEyNDEtNjIzMy00YWIyLTg5ODEtN2QzNWQ0YzJiNWU1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63a502fe-9a10-416c-9727-d9164c95e2b9&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jNhNTAyZmUtOWExMC00MTZjLTk3MjctZDkxNjRjOTVlMmI5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1bca882f-8f68-410e-91ee-912058a9602a&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WJjYTg4MmYtOGY2OC00MTBlLTkxZWUtOTEyMDU4YTk2MDJh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a60d178a-0b37-45c5-90d5-f0674515599e&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TYwZDE3OGEtMGIzNy00NWM1LTkwZDUtZjA2NzQ1MTU1OTll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c395ec2b-b317-4bde-8f42-4ee6edfb3f9a&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zM5NWVjMmItYjMxNy00YmRlLThmNDItNGVlNmVkZmIzZjlh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631af986-00af-44e3-be76-95d6da82549a&quot;,&quot;citationItems&quot;:[{&quot;id&quot;:&quot;fcaa2763-8d2d-38fd-92e1-21c13f0aeb74&quot;,&quot;itemData&quot;:{&quot;DOI&quot;:&quot;10.1016/j.crvi.2011.11.002&quot;,&quot;ISSN&quot;:&quot;16310691&quot;,&quot;abstract&quot;:&quot;The order Cetartiodactyla includes cetaceans (whales, dolphins and porpoises) that are found in all oceans and seas, as well as in some rivers, and artiodactyls (ruminants, pigs, peccaries, hippos, camels and llamas) that are present on all continents, except Antarctica and until recent invasions, Australia. There are currently 332 recognized cetartiodactyl species, which are classified into 132 genera and 22 families. Most phylogenetic studies have focused on deep relationships, and no comprehensive time-calibrated tree for the group has been published yet. In this study, 128 new complete mitochondrial genomes of Cetartiodactyla were sequenced and aligned with those extracted from nucleotide databases. Our alignment includes 14,902 unambiguously aligned nucleotide characters for 210 taxa, representing 183 species, 107 genera, and all cetartiodactyl families. Our mtDNA data produced a statistically robust tree, which is largely consistent with previous classifications. However, a few taxa were found to be para- or polyphyletic, including the family Balaenopteridae, as well as several genera and species. Accordingly, we propose several taxonomic changes in order to render the classification compatible with our molecular phylogeny. In some cases, the results can be interpreted as possible taxonomic misidentification or evidence for mtDNA introgression. The existence of three new cryptic species of Ruminantia should therefore be confirmed by further analyses using nuclear data. We estimate divergence times using Bayesian relaxed molecular clock models. The deepest nodes appeared very sensitive to prior assumptions leading to unreliable estimates, primarily because of the misleading effects of rate heterogeneity, saturation and divergent outgroups. In addition, we detected that Whippomorpha contains slow-evolving taxa, such as large whales and hippos, as well as fast-evolving taxa, such as river dolphins. Our results nevertheless indicate that the evolutionary history of cetartiodactyls was punctuated by four main phases of rapid radiation during the Cenozoic era: the sudden occurrence of the three extant lineages within Cetartiodactyla (Cetruminantia, Suina and Tylopoda); the basal diversification of Cetacea during the Early Oligocene; and two radiations that involve Cetacea and Pecora, one at the Oligocene/Miocene boundary and the other in the Middle Miocene. In addition, we show that the high species diversity now observed in the families Bovidae and Cer…&quot;,&quot;author&quot;:[{&quot;dropping-particle&quot;:&quot;&quot;,&quot;family&quot;:&quot;Hassanin&quot;,&quot;given&quot;:&quot;Alexandre&quot;,&quot;non-dropping-particle&quot;:&quot;&quot;,&quot;parse-names&quot;:false,&quot;suffix&quot;:&quot;&quot;},{&quot;dropping-particle&quot;:&quot;&quot;,&quot;family&quot;:&quot;Delsuc&quot;,&quot;given&quot;:&quot;Frédéric&quot;,&quot;non-dropping-particle&quot;:&quot;&quot;,&quot;parse-names&quot;:false,&quot;suffix&quot;:&quot;&quot;},{&quot;dropping-particle&quot;:&quot;&quot;,&quot;family&quot;:&quot;Ropiquet&quot;,&quot;given&quot;:&quot;Anne&quot;,&quot;non-dropping-particle&quot;:&quot;&quot;,&quot;parse-names&quot;:false,&quot;suffix&quot;:&quot;&quot;},{&quot;dropping-particle&quot;:&quot;&quot;,&quot;family&quot;:&quot;Hammer&quot;,&quot;given&quot;:&quot;Catrin&quot;,&quot;non-dropping-particle&quot;:&quot;&quot;,&quot;parse-names&quot;:false,&quot;suffix&quot;:&quot;&quot;},{&quot;dropping-particle&quot;:&quot;&quot;,&quot;family&quot;:&quot;Jansen van Vuuren&quot;,&quot;given&quot;:&quot;Bettine&quot;,&quot;non-dropping-particle&quot;:&quot;&quot;,&quot;parse-names&quot;:false,&quot;suffix&quot;:&quot;&quot;},{&quot;dropping-particle&quot;:&quot;&quot;,&quot;family&quot;:&quot;Matthee&quot;,&quot;given&quot;:&quot;Conrad&quot;,&quot;non-dropping-particle&quot;:&quot;&quot;,&quot;parse-names&quot;:false,&quot;suffix&quot;:&quot;&quot;},{&quot;dropping-particle&quot;:&quot;&quot;,&quot;family&quot;:&quot;Ruiz-Garcia&quot;,&quot;given&quot;:&quot;Manuel&quot;,&quot;non-dropping-particle&quot;:&quot;&quot;,&quot;parse-names&quot;:false,&quot;suffix&quot;:&quot;&quot;},{&quot;dropping-particle&quot;:&quot;&quot;,&quot;family&quot;:&quot;Catzeflis&quot;,&quot;given&quot;:&quot;François&quot;,&quot;non-dropping-particle&quot;:&quot;&quot;,&quot;parse-names&quot;:false,&quot;suffix&quot;:&quot;&quot;},{&quot;dropping-particle&quot;:&quot;&quot;,&quot;family&quot;:&quot;Areskoug&quot;,&quot;given&quot;:&quot;Veronika&quot;,&quot;non-dropping-particle&quot;:&quot;&quot;,&quot;parse-names&quot;:false,&quot;suffix&quot;:&quot;&quot;},{&quot;dropping-particle&quot;:&quot;&quot;,&quot;family&quot;:&quot;Nguyen&quot;,&quot;given&quot;:&quot;Trung Thanh&quot;,&quot;non-dropping-particle&quot;:&quot;&quot;,&quot;parse-names&quot;:false,&quot;suffix&quot;:&quot;&quot;},{&quot;dropping-particle&quot;:&quot;&quot;,&quot;family&quot;:&quot;Couloux&quot;,&quot;given&quot;:&quot;Arnaud&quot;,&quot;non-dropping-particle&quot;:&quot;&quot;,&quot;parse-names&quot;:false,&quot;suffix&quot;:&quot;&quot;}],&quot;container-title&quot;:&quot;Comptes Rendus Biologies&quot;,&quot;id&quot;:&quot;fcaa2763-8d2d-38fd-92e1-21c13f0aeb74&quot;,&quot;issue&quot;:&quot;1&quot;,&quot;issued&quot;:{&quot;date-parts&quot;:[[&quot;2012&quot;]]},&quot;page&quot;:&quot;32-50&quot;,&quot;title&quot;:&quot;Pattern and timing of diversification of Cetartiodactyla (Mammalia, Laurasiatheria), as revealed by a comprehensive analysis of mitochondrial genomes&quot;,&quot;type&quot;:&quot;article-journal&quot;,&quot;volume&quot;:&quot;335&quot;},&quot;uris&quot;:[&quot;http://www.mendeley.com/documents/?uuid=9416c9b3-9bda-4cfc-92da-11c376935f38&quot;],&quot;isTemporary&quot;:false,&quot;legacyDesktopId&quot;:&quot;9416c9b3-9bda-4cfc-92da-11c376935f38&quot;}],&quot;properties&quot;:{&quot;noteIndex&quot;:0},&quot;isEdited&quot;:false,&quot;manualOverride&quot;:{&quot;citeprocText&quot;:&quot;(3)&quot;,&quot;isManuallyOverridden&quot;:false,&quot;manualOverrideText&quot;:&quot;&quot;},&quot;citationTag&quot;:&quot;MENDELEY_CITATION_v3_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&quot;},{&quot;citationID&quot;:&quot;MENDELEY_CITATION_a85273cf-4ef4-4fa1-92fb-62d3250aa1f3&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Tg1MjczY2YtNGVmNC00ZmExLTkyZmItNjJkMzI1MGFhMWYz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58936fa6-2537-46be-bdf7-accece5a0039&quot;,&quot;citationItems&quot;:[{&quot;id&quot;:&quot;b9f8be1c-4530-3650-a564-e69e8fdd9012&quot;,&quot;itemData&quot;:{&quot;DOI&quot;:&quot;10.1016/j.cub.2016.07.036&quot;,&quot;ISSN&quot;:&quot;09609822&quot;,&quot;abstract&quot;:&quot;Traditionally, one giraffe species and up to eleven subspecies have been recognized [1]; however, nine subspecies are commonly accepted [2]. Even after a century of research, the distinctness of each giraffe subspecies remains unclear, and the genetic variation across their distribution range has been incompletely explored. Recent genetic studies on mtDNA have shown reciprocal monophyly of the matrilines among seven of the nine assumed subspecies [3, 4]. Moreover, until now, genetic analyses have not been applied to biparentally inherited sequence data and did not include data from all nine giraffe subspecies. We sampled natural giraffe populations from across their range in Africa, and for the first time individuals from the nominate subspecies, the Nubian giraffe, Giraffa camelopardalis camelopardalis Linnaeus 1758 [5], were included in a genetic analysis. Coalescence-based multi-locus and population genetic analyses identify at least four separate and monophyletic clades, which should be recognized as four distinct giraffe species under the genetic isolation criterion. Analyses of 190 individuals from maternal and biparental markers support these findings and further suggest subsuming Rothschild?s giraffe into the Nubian giraffe, as well as Thornicroft?s giraffe into the Masai giraffe [6]. A giraffe survey genome produced valuable data from microsatellites, mobile genetic elements, and accurate divergence time estimates. Our findings provide the most inclusive analysis of giraffe relationships to date and show that their genetic complexity has been underestimated, highlighting the need for greater conservation efforts for the world?s tallest mammal.&quot;,&quot;author&quot;:[{&quot;dropping-particle&quot;:&quot;&quot;,&quot;family&quot;:&quot;Fennessy&quot;,&quot;given&quot;:&quot;Julian&quot;,&quot;non-dropping-particle&quot;:&quot;&quot;,&quot;parse-names&quot;:false,&quot;suffix&quot;:&quot;&quot;},{&quot;dropping-particle&quot;:&quot;&quot;,&quot;family&quot;:&quot;Bidon&quot;,&quot;given&quot;:&quot;Tobias&quot;,&quot;non-dropping-particle&quot;:&quot;&quot;,&quot;parse-names&quot;:false,&quot;suffix&quot;:&quot;&quot;},{&quot;dropping-particle&quot;:&quot;&quot;,&quot;family&quot;:&quot;Reuss&quot;,&quot;given&quot;:&quot;Friederike&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Elkan&quot;,&quot;given&quot;:&quot;Paul&quot;,&quot;non-dropping-particle&quot;:&quot;&quot;,&quot;parse-names&quot;:false,&quot;suffix&quot;:&quot;&quot;},{&quot;dropping-particle&quot;:&quot;&quot;,&quot;family&quot;:&quot;Nilsson&quot;,&quot;given&quot;:&quot;Maria A.&quot;,&quot;non-dropping-particle&quot;:&quot;&quot;,&quot;parse-names&quot;:false,&quot;suffix&quot;:&quot;&quot;},{&quot;dropping-particle&quot;:&quot;&quot;,&quot;family&quot;:&quot;Vamberger&quot;,&quot;given&quot;:&quot;Melita&quot;,&quot;non-dropping-particle&quot;:&quot;&quot;,&quot;parse-names&quot;:false,&quot;suffix&quot;:&quot;&quot;},{&quot;dropping-particle&quot;:&quot;&quot;,&quot;family&quot;:&quot;Fritz&quot;,&quot;given&quot;:&quot;Uwe&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b9f8be1c-4530-3650-a564-e69e8fdd9012&quot;,&quot;issue&quot;:&quot;18&quot;,&quot;issued&quot;:{&quot;date-parts&quot;:[[&quot;2016&quot;]]},&quot;note&quot;:&quot;doi: 10.1016/j.cub.2016.07.036&quot;,&quot;page&quot;:&quot;2543-2549&quot;,&quot;title&quot;:&quot;Multi-locus analyses reveal four giraffe species instead of one&quot;,&quot;type&quot;:&quot;article-journal&quot;,&quot;volume&quot;:&quot;26&quot;},&quot;uris&quot;:[&quot;http://www.mendeley.com/documents/?uuid=b9f8be1c-4530-3650-a564-e69e8fdd9012&quot;],&quot;isTemporary&quot;:false,&quot;legacyDesktopId&quot;:&quot;b9f8be1c-4530-3650-a564-e69e8fdd9012&quot;}],&quot;properties&quot;:{&quot;noteIndex&quot;:0},&quot;isEdited&quot;:false,&quot;manualOverride&quot;:{&quot;citeprocText&quot;:&quot;(1)&quot;,&quot;isManuallyOverridden&quot;:false,&quot;manualOverrideText&quot;:&quot;&quot;},&quot;citationTag&quot;:&quot;MENDELEY_CITATION_v3_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&quot;},{&quot;citationID&quot;:&quot;MENDELEY_CITATION_1da2d111-52a8-4267-aafe-1ba8ecec0cfe&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WRhMmQxMTEtNTJhOC00MjY3LWFhZmUtMWJhOGVjZWMwY2Zl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e9880183-d5d8-4d42-bee4-6683ef26c728&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ZTk4ODAxODMtZDVkOC00ZDQyLWJlZTQtNjY4M2VmMjZjNzI4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7ba249c8-75dc-4b3c-a13b-e654c2c10be0&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2JhMjQ5YzgtNzVkYy00YjNjLWExM2ItZTY1NGMyYzEwYmUw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a87203d2-fc29-495b-a47a-5bcc6642557a&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Tg3MjAzZDItZmMyOS00OTViLWE0N2EtNWJjYzY2NDI1NTdh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699b77ce-bbbb-4403-8bf6-a7605df32423&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jk5Yjc3Y2UtYmJiYi00NDAzLThiZjYtYTc2MDVkZjMyNDIz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e7f9b345-997f-426a-9b56-280193d3b264&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ZTdmOWIzNDUtOTk3Zi00MjZhLTliNTYtMjgwMTkzZDNiMjY0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55674724-6ac9-480c-9307-b4db0fd73b00&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TU2NzQ3MjQtNmFjOS00ODBjLTkzMDctYjRkYjBmZDczYjAw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632f2db9-7f03-4cef-8bf2-d783884c7b2e&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jMyZjJkYjktN2YwMy00Y2VmLThiZjItZDc4Mzg4NGM3YjJl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b5b351d7-2f5a-493a-9fc4-ff55bc5dc3c2&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jViMzUxZDctMmY1YS00OTNhLTlmYzQtZmY1NWJjNWRjM2My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5c21e13b-9bb4-43b2-b993-251c9b3af466&quot;,&quot;citationItems&quot;:[{&quot;id&quot;:&quot;3f1fd528-c63c-341a-a0d7-33c321e1576b&quot;,&quot;itemData&quot;:{&quot;DOI&quot;:&quot;10.1038/ncomms11519&quot;,&quot;ISSN&quot;:&quot;2041-1723&quot;,&quot;abstract&quot;:&quot;The origins of giraffe’s imposing stature and associated cardiovascular adaptations are unknown. Okapi, which lacks these unique features, is giraffe’s closest relative and provides a useful comparison, to identify genetic variation underlying giraffe’s long neck and cardiovascular system. The genomes of giraffe and okapi were sequenced, and through comparative analyses genes and pathways were identified that exhibit unique genetic changes and likely contribute to giraffe’s unique features. Some of these genes are in the HOX, NOTCH and FGF signalling pathways, which regulate both skeletal and cardiovascular development, suggesting that giraffe’s stature and cardiovascular adaptations evolved in parallel through changes in a small number of genes. Mitochondrial metabolism and volatile fatty acids transport genes are also evolutionarily diverged in giraffe and may be related to its unusual diet that includes toxic plants. Unexpectedly, substantial evolutionary changes have occurred in giraffe and okapi in double-strand break repair and centrosome functions.&quot;,&quot;author&quot;:[{&quot;dropping-particle&quot;:&quot;&quot;,&quot;family&quot;:&quot;Agaba&quot;,&quot;given&quot;:&quot;Morris&quot;,&quot;non-dropping-particle&quot;:&quot;&quot;,&quot;parse-names&quot;:false,&quot;suffix&quot;:&quot;&quot;},{&quot;dropping-particle&quot;:&quot;&quot;,&quot;family&quot;:&quot;Ishengoma&quot;,&quot;given&quot;:&quot;Edson&quot;,&quot;non-dropping-particle&quot;:&quot;&quot;,&quot;parse-names&quot;:false,&quot;suffix&quot;:&quot;&quot;},{&quot;dropping-particle&quot;:&quot;&quot;,&quot;family&quot;:&quot;Miller&quot;,&quot;given&quot;:&quot;Webb C.&quot;,&quot;non-dropping-particle&quot;:&quot;&quot;,&quot;parse-names&quot;:false,&quot;suffix&quot;:&quot;&quot;},{&quot;dropping-particle&quot;:&quot;&quot;,&quot;family&quot;:&quot;McGrath&quot;,&quot;given&quot;:&quot;Barbara C.&quot;,&quot;non-dropping-particle&quot;:&quot;&quot;,&quot;parse-names&quot;:false,&quot;suffix&quot;:&quot;&quot;},{&quot;dropping-particle&quot;:&quot;&quot;,&quot;family&quot;:&quot;Hudson&quot;,&quot;given&quot;:&quot;Chelsea N.&quot;,&quot;non-dropping-particle&quot;:&quot;&quot;,&quot;parse-names&quot;:false,&quot;suffix&quot;:&quot;&quot;},{&quot;dropping-particle&quot;:&quot;&quot;,&quot;family&quot;:&quot;Bedoya Reina&quot;,&quot;given&quot;:&quot;Oscar C.&quot;,&quot;non-dropping-particle&quot;:&quot;&quot;,&quot;parse-names&quot;:false,&quot;suffix&quot;:&quot;&quot;},{&quot;dropping-particle&quot;:&quot;&quot;,&quot;family&quot;:&quot;Ratan&quot;,&quot;given&quot;:&quot;Aakrosh&quot;,&quot;non-dropping-particle&quot;:&quot;&quot;,&quot;parse-names&quot;:false,&quot;suffix&quot;:&quot;&quot;},{&quot;dropping-particle&quot;:&quot;&quot;,&quot;family&quot;:&quot;Burhans&quot;,&quot;given&quot;:&quot;Rico&quot;,&quot;non-dropping-particle&quot;:&quot;&quot;,&quot;parse-names&quot;:false,&quot;suffix&quot;:&quot;&quot;},{&quot;dropping-particle&quot;:&quot;&quot;,&quot;family&quot;:&quot;Chikhi&quot;,&quot;given&quot;:&quot;Rayan&quot;,&quot;non-dropping-particle&quot;:&quot;&quot;,&quot;parse-names&quot;:false,&quot;suffix&quot;:&quot;&quot;},{&quot;dropping-particle&quot;:&quot;&quot;,&quot;family&quot;:&quot;Medvedev&quot;,&quot;given&quot;:&quot;Paul&quot;,&quot;non-dropping-particle&quot;:&quot;&quot;,&quot;parse-names&quot;:false,&quot;suffix&quot;:&quot;&quot;},{&quot;dropping-particle&quot;:&quot;&quot;,&quot;family&quot;:&quot;Praul&quot;,&quot;given&quot;:&quot;Craig A.&quot;,&quot;non-dropping-particle&quot;:&quot;&quot;,&quot;parse-names&quot;:false,&quot;suffix&quot;:&quot;&quot;},{&quot;dropping-particle&quot;:&quot;&quot;,&quot;family&quot;:&quot;Wu-Cavener&quot;,&quot;given&quot;:&quot;Lan&quot;,&quot;non-dropping-particle&quot;:&quot;&quot;,&quot;parse-names&quot;:false,&quot;suffix&quot;:&quot;&quot;},{&quot;dropping-particle&quot;:&quot;&quot;,&quot;family&quot;:&quot;Wood&quot;,&quot;given&quot;:&quot;Brendan&quot;,&quot;non-dropping-particle&quot;:&quot;&quot;,&quot;parse-names&quot;:false,&quot;suffix&quot;:&quot;&quot;},{&quot;dropping-particle&quot;:&quot;&quot;,&quot;family&quot;:&quot;Robertson&quot;,&quot;given&quot;:&quot;Heather&quot;,&quot;non-dropping-particle&quot;:&quot;&quot;,&quot;parse-names&quot;:false,&quot;suffix&quot;:&quot;&quot;},{&quot;dropping-particle&quot;:&quot;&quot;,&quot;family&quot;:&quot;Penfold&quot;,&quot;given&quot;:&quot;Linda&quot;,&quot;non-dropping-particle&quot;:&quot;&quot;,&quot;parse-names&quot;:false,&quot;suffix&quot;:&quot;&quot;},{&quot;dropping-particle&quot;:&quot;&quot;,&quot;family&quot;:&quot;Cavener&quot;,&quot;given&quot;:&quot;Douglas R.&quot;,&quot;non-dropping-particle&quot;:&quot;&quot;,&quot;parse-names&quot;:false,&quot;suffix&quot;:&quot;&quot;}],&quot;container-title&quot;:&quot;Nature Communications&quot;,&quot;id&quot;:&quot;3f1fd528-c63c-341a-a0d7-33c321e1576b&quot;,&quot;issued&quot;:{&quot;date-parts&quot;:[[&quot;2016&quot;]]},&quot;page&quot;:&quot;11519&quot;,&quot;title&quot;:&quot;Giraffe genome sequence reveals clues to its unique morphology and physiology&quot;,&quot;type&quot;:&quot;article-journal&quot;,&quot;volume&quot;:&quot;7&quot;},&quot;uris&quot;:[&quot;http://www.mendeley.com/documents/?uuid=3f1fd528-c63c-341a-a0d7-33c321e1576b&quot;],&quot;isTemporary&quot;:false,&quot;legacyDesktopId&quot;:&quot;3f1fd528-c63c-341a-a0d7-33c321e1576b&quot;}],&quot;properties&quot;:{&quot;noteIndex&quot;:0},&quot;isEdited&quot;:false,&quot;manualOverride&quot;:{&quot;citeprocText&quot;:&quot;(4)&quot;,&quot;isManuallyOverridden&quot;:false,&quot;manualOverrideText&quot;:&quot;&quot;},&quot;citationTag&quot;:&quot;MENDELEY_CITATION_v3_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&quot;},{&quot;citationID&quot;:&quot;MENDELEY_CITATION_4f2d9be8-8e11-4832-aab0-d42aeb81a38a&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GYyZDliZTgtOGUxMS00ODMyLWFhYjAtZDQyYWViODFhMzhh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72e63c95-405c-407f-b5e7-7cbacb8c2101&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zJlNjNjOTUtNDA1Yy00MDdmLWI1ZTctN2NiYWNiOGMyMTAx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023f1728-afc7-4905-8f1e-43c03fbb7c21&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DIzZjE3MjgtYWZjNy00OTA1LThmMWUtNDNjMDNmYmI3YzIx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4788c106-97f0-4c17-8309-1faebdae7d65&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Dc4OGMxMDYtOTdmMC00YzE3LTgzMDktMWZhZWJkYWU3ZDY1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c4a9d5b1-966b-4c3b-905b-995f6467dd3c&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zRhOWQ1YjEtOTY2Yi00YzNiLTkwNWItOTk1ZjY0NjdkZDNj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a29f06e4-0638-4c02-b5ea-b598003f69cc&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TI5ZjA2ZTQtMDYzOC00YzAyLWI1ZWEtYjU5ODAwM2Y2OWNj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8ebdf1d6-418f-4fe7-bfb9-db53d5736dd1&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OGViZGYxZDYtNDE4Zi00ZmU3LWJmYjktZGI1M2Q1NzM2ZGQx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0e441a27-6133-4194-b605-1371e2ee48e3&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GU0NDFhMjctNjEzMy00MTk0LWI2MDUtMTM3MWUyZWU0OGUz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5bbd0d2c-748d-4c69-bc33-1a6fb97a2d10&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WJiZDBkMmMtNzQ4ZC00YzY5LWJjMzMtMWE2ZmI5N2EyZDEw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70a4b697-ded6-4692-ab15-c87d57c9ee74&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zBhNGI2OTctZGVkNi00NjkyLWFiMTUtYzg3ZDU3YzllZTc0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b80e9534-df35-474d-a200-9e8bb2fb785a&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jgwZTk1MzQtZGYzNS00NzRkLWEyMDAtOWU4YmIyZmI3ODVh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cb715ed1-9d01-4abf-8011-625ebd20a48f&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2I3MTVlZDEtOWQwMS00YWJmLTgwMTEtNjI1ZWJkMjBhNDhm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cc43c0db-e340-4115-9da8-957df03343f2&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2M0M2MwZGItZTM0MC00MTE1LTlkYTgtOTU3ZGYwMzM0M2Yy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b838205a-4d48-4f0a-97f9-91a7a72271a1&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jgzODIwNWEtNGQ0OC00ZjBhLTk3ZjktOTFhN2E3MjI3MWEx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c2df33c2-9ad1-4f0c-aeba-f05eb56d26f2&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zJkZjMzYzItOWFkMS00ZjBjLWFlYmEtZjA1ZWI1NmQyNmYy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c7067eb7-e093-4ca1-a96b-86e1fa8d55b0&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zcwNjdlYjctZTA5My00Y2ExLWE5NmItODZlMWZhOGQ1NWIw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d9f5db90-e411-4bc4-95c9-ae043f0cf72b&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ZDlmNWRiOTAtZTQxMS00YmM0LTk1YzktYWUwNDNmMGNmNzJi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8d57d675-7d1b-4bbc-b080-467d150cbbb4&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OGQ1N2Q2NzUtN2QxYi00YmJjLWIwODAtNDY3ZDE1MGNiYmI0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71cd1361-a1ed-44ef-865e-feb2dd05f66d&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zFjZDEzNjEtYTFlZC00NGVmLTg2NWUtZmViMmRkMDVmNjZk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55bda05f-78cf-42f4-ac46-fe54bc799fe2&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NTViZGEwNWYtNzhjZi00MmY0LWFjNDYtZmU1NGJjNzk5ZmUy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1680dd78-6e1b-4523-b014-c8c059d49fb9&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MTY4MGRkNzgtNmUxYi00NTIzLWIwMTQtYzhjMDU5ZDQ5ZmI5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b32c8f4d-0a96-4454-9e2b-d7340c1fa797&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YjMyYzhmNGQtMGE5Ni00NDU0LTllMmItZDczNDBjMWZhNzk3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e573aa18-a7f3-4819-9911-104fc01de9a3&quot;,&quot;citationItems&quot;:[{&quot;id&quot;:&quot;2f8d9059-3dd7-3942-b7a3-71c7e589bab1&quot;,&quot;itemData&quot;:{&quot;DOI&quot;:&quot;10.1016/j.cub.2021.04.033&quot;,&quot;ISSN&quot;:&quot;09609822&quot;,&quot;abstract&quot;:&quot;Summary Species is the fundamental taxonomic unit in biology and its delimitation has implications for conservation. In giraffe (Giraffa spp.), multiple taxonomic classifications have been proposed since the early 1900s.1 However, one species with nine subspecies has been generally accepted,2 likely due to limited in-depth assessments, subspecies hybridizing in captivity,3,4 and anecdotal reports of hybrids in the wild.5 Giraffe taxonomy received new attention after population genetic studies using traditional genetic markers suggested at least four species.6,7 This view has been met with controversy,8 setting the stage for debate.9,10 Genomics is significantly enhancing our understanding of biodiversity and speciation relative to traditional genetic approaches and thus has important implications for species delineation and conservation.11 We present a high-quality de novo genome assembly of the critically endangered Kordofan giraffe (G. camelopardalis antiquorum)12 and a comprehensive whole-genome analysis of 50 giraffe representing all traditionally recognized subspecies. Population structure and phylogenomic analyses support four separately evolving giraffe lineages, which diverged 230–370 ka ago. These lineages underwent distinct demographic histories and show different levels of heterozygosity and inbreeding. Our results strengthen previous findings of limited gene flow and admixture among putative giraffe species6,7,9 and establish a genomic foundation for recognizing four species and seven subspecies, the latter of which should be considered as evolutionary significant units. Achieving a consensus over the number of species and subspecies in giraffe is essential for adequately assessing their threat level and will improve conservation efforts for these iconic taxa.&quot;,&quot;author&quot;:[{&quot;dropping-particle&quot;:&quot;&quot;,&quot;family&quot;:&quot;Coimbra&quot;,&quot;given&quot;:&quot;Raphael T.F.&quot;,&quot;non-dropping-particle&quot;:&quot;&quot;,&quot;parse-names&quot;:false,&quot;suffix&quot;:&quot;&quot;},{&quot;dropping-particle&quot;:&quot;&quot;,&quot;family&quot;:&quot;Winter&quot;,&quot;given&quot;:&quot;Sven&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Koepfli&quot;,&quot;given&quot;:&quot;Klaus-Peter&quot;,&quot;non-dropping-particle&quot;:&quot;&quot;,&quot;parse-names&quot;:false,&quot;suffix&quot;:&quot;&quot;},{&quot;dropping-particle&quot;:&quot;&quot;,&quot;family&quot;:&quot;Gooley&quot;,&quot;given&quot;:&quot;Rebecca M.&quot;,&quot;non-dropping-particle&quot;:&quot;&quot;,&quot;parse-names&quot;:false,&quot;suffix&quot;:&quot;&quot;},{&quot;dropping-particle&quot;:&quot;&quot;,&quot;family&quot;:&quot;Dobrynin&quot;,&quot;given&quot;:&quot;Pavel&quot;,&quot;non-dropping-particle&quot;:&quot;&quot;,&quot;parse-names&quot;:false,&quot;suffix&quot;:&quot;&quot;},{&quot;dropping-particle&quot;:&quot;&quot;,&quot;family&quot;:&quot;Fennessy&quot;,&quot;given&quot;:&quot;Julian&quot;,&quot;non-dropping-particle&quot;:&quot;&quot;,&quot;parse-names&quot;:false,&quot;suffix&quot;:&quot;&quot;},{&quot;dropping-particle&quot;:&quot;&quot;,&quot;family&quot;:&quot;Janke&quot;,&quot;given&quot;:&quot;Axel&quot;,&quot;non-dropping-particle&quot;:&quot;&quot;,&quot;parse-names&quot;:false,&quot;suffix&quot;:&quot;&quot;}],&quot;container-title&quot;:&quot;Current Biology&quot;,&quot;id&quot;:&quot;2f8d9059-3dd7-3942-b7a3-71c7e589bab1&quot;,&quot;issue&quot;:&quot;13&quot;,&quot;issued&quot;:{&quot;date-parts&quot;:[[&quot;2021&quot;]]},&quot;page&quot;:&quot;2929-2938.e5&quot;,&quot;title&quot;:&quot;Whole-genome analysis of giraffe supports four distinct species&quot;,&quot;type&quot;:&quot;article-journal&quot;,&quot;volume&quot;:&quot;31&quot;},&quot;uris&quot;:[&quot;http://www.mendeley.com/documents/?uuid=1a35e7ba-3db8-4594-83eb-6864248ca814&quot;],&quot;isTemporary&quot;:false,&quot;legacyDesktopId&quot;:&quot;1a35e7ba-3db8-4594-83eb-6864248ca814&quot;}],&quot;properties&quot;:{&quot;noteIndex&quot;:0},&quot;isEdited&quot;:false,&quot;manualOverride&quot;:{&quot;citeprocText&quot;:&quot;(2)&quot;,&quot;isManuallyOverridden&quot;:false,&quot;manualOverrideText&quot;:&quot;&quot;},&quot;citationTag&quot;:&quot;MENDELEY_CITATION_v3_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&quot;},{&quot;citationID&quot;:&quot;MENDELEY_CITATION_8a0fce29-8da2-49b1-8254-909d4f83b340&quot;,&quot;citationItems&quot;:[{&quot;id&quot;:&quot;fcaa2763-8d2d-38fd-92e1-21c13f0aeb74&quot;,&quot;itemData&quot;:{&quot;DOI&quot;:&quot;10.1016/j.crvi.2011.11.002&quot;,&quot;ISSN&quot;:&quot;16310691&quot;,&quot;abstract&quot;:&quot;The order Cetartiodactyla includes cetaceans (whales, dolphins and porpoises) that are found in all oceans and seas, as well as in some rivers, and artiodactyls (ruminants, pigs, peccaries, hippos, camels and llamas) that are present on all continents, except Antarctica and until recent invasions, Australia. There are currently 332 recognized cetartiodactyl species, which are classified into 132 genera and 22 families. Most phylogenetic studies have focused on deep relationships, and no comprehensive time-calibrated tree for the group has been published yet. In this study, 128 new complete mitochondrial genomes of Cetartiodactyla were sequenced and aligned with those extracted from nucleotide databases. Our alignment includes 14,902 unambiguously aligned nucleotide characters for 210 taxa, representing 183 species, 107 genera, and all cetartiodactyl families. Our mtDNA data produced a statistically robust tree, which is largely consistent with previous classifications. However, a few taxa were found to be para- or polyphyletic, including the family Balaenopteridae, as well as several genera and species. Accordingly, we propose several taxonomic changes in order to render the classification compatible with our molecular phylogeny. In some cases, the results can be interpreted as possible taxonomic misidentification or evidence for mtDNA introgression. The existence of three new cryptic species of Ruminantia should therefore be confirmed by further analyses using nuclear data. We estimate divergence times using Bayesian relaxed molecular clock models. The deepest nodes appeared very sensitive to prior assumptions leading to unreliable estimates, primarily because of the misleading effects of rate heterogeneity, saturation and divergent outgroups. In addition, we detected that Whippomorpha contains slow-evolving taxa, such as large whales and hippos, as well as fast-evolving taxa, such as river dolphins. Our results nevertheless indicate that the evolutionary history of cetartiodactyls was punctuated by four main phases of rapid radiation during the Cenozoic era: the sudden occurrence of the three extant lineages within Cetartiodactyla (Cetruminantia, Suina and Tylopoda); the basal diversification of Cetacea during the Early Oligocene; and two radiations that involve Cetacea and Pecora, one at the Oligocene/Miocene boundary and the other in the Middle Miocene. In addition, we show that the high species diversity now observed in the families Bovidae and Cer…&quot;,&quot;author&quot;:[{&quot;dropping-particle&quot;:&quot;&quot;,&quot;family&quot;:&quot;Hassanin&quot;,&quot;given&quot;:&quot;Alexandre&quot;,&quot;non-dropping-particle&quot;:&quot;&quot;,&quot;parse-names&quot;:false,&quot;suffix&quot;:&quot;&quot;},{&quot;dropping-particle&quot;:&quot;&quot;,&quot;family&quot;:&quot;Delsuc&quot;,&quot;given&quot;:&quot;Frédéric&quot;,&quot;non-dropping-particle&quot;:&quot;&quot;,&quot;parse-names&quot;:false,&quot;suffix&quot;:&quot;&quot;},{&quot;dropping-particle&quot;:&quot;&quot;,&quot;family&quot;:&quot;Ropiquet&quot;,&quot;given&quot;:&quot;Anne&quot;,&quot;non-dropping-particle&quot;:&quot;&quot;,&quot;parse-names&quot;:false,&quot;suffix&quot;:&quot;&quot;},{&quot;dropping-particle&quot;:&quot;&quot;,&quot;family&quot;:&quot;Hammer&quot;,&quot;given&quot;:&quot;Catrin&quot;,&quot;non-dropping-particle&quot;:&quot;&quot;,&quot;parse-names&quot;:false,&quot;suffix&quot;:&quot;&quot;},{&quot;dropping-particle&quot;:&quot;&quot;,&quot;family&quot;:&quot;Jansen van Vuuren&quot;,&quot;given&quot;:&quot;Bettine&quot;,&quot;non-dropping-particle&quot;:&quot;&quot;,&quot;parse-names&quot;:false,&quot;suffix&quot;:&quot;&quot;},{&quot;dropping-particle&quot;:&quot;&quot;,&quot;family&quot;:&quot;Matthee&quot;,&quot;given&quot;:&quot;Conrad&quot;,&quot;non-dropping-particle&quot;:&quot;&quot;,&quot;parse-names&quot;:false,&quot;suffix&quot;:&quot;&quot;},{&quot;dropping-particle&quot;:&quot;&quot;,&quot;family&quot;:&quot;Ruiz-Garcia&quot;,&quot;given&quot;:&quot;Manuel&quot;,&quot;non-dropping-particle&quot;:&quot;&quot;,&quot;parse-names&quot;:false,&quot;suffix&quot;:&quot;&quot;},{&quot;dropping-particle&quot;:&quot;&quot;,&quot;family&quot;:&quot;Catzeflis&quot;,&quot;given&quot;:&quot;François&quot;,&quot;non-dropping-particle&quot;:&quot;&quot;,&quot;parse-names&quot;:false,&quot;suffix&quot;:&quot;&quot;},{&quot;dropping-particle&quot;:&quot;&quot;,&quot;family&quot;:&quot;Areskoug&quot;,&quot;given&quot;:&quot;Veronika&quot;,&quot;non-dropping-particle&quot;:&quot;&quot;,&quot;parse-names&quot;:false,&quot;suffix&quot;:&quot;&quot;},{&quot;dropping-particle&quot;:&quot;&quot;,&quot;family&quot;:&quot;Nguyen&quot;,&quot;given&quot;:&quot;Trung Thanh&quot;,&quot;non-dropping-particle&quot;:&quot;&quot;,&quot;parse-names&quot;:false,&quot;suffix&quot;:&quot;&quot;},{&quot;dropping-particle&quot;:&quot;&quot;,&quot;family&quot;:&quot;Couloux&quot;,&quot;given&quot;:&quot;Arnaud&quot;,&quot;non-dropping-particle&quot;:&quot;&quot;,&quot;parse-names&quot;:false,&quot;suffix&quot;:&quot;&quot;}],&quot;container-title&quot;:&quot;Comptes Rendus Biologies&quot;,&quot;id&quot;:&quot;fcaa2763-8d2d-38fd-92e1-21c13f0aeb74&quot;,&quot;issue&quot;:&quot;1&quot;,&quot;issued&quot;:{&quot;date-parts&quot;:[[&quot;2012&quot;]]},&quot;page&quot;:&quot;32-50&quot;,&quot;title&quot;:&quot;Pattern and timing of diversification of Cetartiodactyla (Mammalia, Laurasiatheria), as revealed by a comprehensive analysis of mitochondrial genomes&quot;,&quot;type&quot;:&quot;article-journal&quot;,&quot;volume&quot;:&quot;335&quot;},&quot;uris&quot;:[&quot;http://www.mendeley.com/documents/?uuid=9416c9b3-9bda-4cfc-92da-11c376935f38&quot;],&quot;isTemporary&quot;:false,&quot;legacyDesktopId&quot;:&quot;9416c9b3-9bda-4cfc-92da-11c376935f38&quot;}],&quot;properties&quot;:{&quot;noteIndex&quot;:0},&quot;isEdited&quot;:false,&quot;manualOverride&quot;:{&quot;citeprocText&quot;:&quot;(3)&quot;,&quot;isManuallyOverridden&quot;:false,&quot;manualOverrideText&quot;:&quot;&quot;},&quot;citationTag&quot;:&quot;MENDELEY_CITATION_v3_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&quot;},{&quot;citationID&quot;:&quot;MENDELEY_CITATION_c4af85ef-d3c1-4295-a84e-00f9b985092f&quot;,&quot;citationItems&quot;:[{&quot;id&quot;:&quot;3f1fd528-c63c-341a-a0d7-33c321e1576b&quot;,&quot;itemData&quot;:{&quot;DOI&quot;:&quot;10.1038/ncomms11519&quot;,&quot;ISSN&quot;:&quot;2041-1723&quot;,&quot;abstract&quot;:&quot;The origins of giraffe’s imposing stature and associated cardiovascular adaptations are unknown. Okapi, which lacks these unique features, is giraffe’s closest relative and provides a useful comparison, to identify genetic variation underlying giraffe’s long neck and cardiovascular system. The genomes of giraffe and okapi were sequenced, and through comparative analyses genes and pathways were identified that exhibit unique genetic changes and likely contribute to giraffe’s unique features. Some of these genes are in the HOX, NOTCH and FGF signalling pathways, which regulate both skeletal and cardiovascular development, suggesting that giraffe’s stature and cardiovascular adaptations evolved in parallel through changes in a small number of genes. Mitochondrial metabolism and volatile fatty acids transport genes are also evolutionarily diverged in giraffe and may be related to its unusual diet that includes toxic plants. Unexpectedly, substantial evolutionary changes have occurred in giraffe and okapi in double-strand break repair and centrosome functions.&quot;,&quot;author&quot;:[{&quot;dropping-particle&quot;:&quot;&quot;,&quot;family&quot;:&quot;Agaba&quot;,&quot;given&quot;:&quot;Morris&quot;,&quot;non-dropping-particle&quot;:&quot;&quot;,&quot;parse-names&quot;:false,&quot;suffix&quot;:&quot;&quot;},{&quot;dropping-particle&quot;:&quot;&quot;,&quot;family&quot;:&quot;Ishengoma&quot;,&quot;given&quot;:&quot;Edson&quot;,&quot;non-dropping-particle&quot;:&quot;&quot;,&quot;parse-names&quot;:false,&quot;suffix&quot;:&quot;&quot;},{&quot;dropping-particle&quot;:&quot;&quot;,&quot;family&quot;:&quot;Miller&quot;,&quot;given&quot;:&quot;Webb C.&quot;,&quot;non-dropping-particle&quot;:&quot;&quot;,&quot;parse-names&quot;:false,&quot;suffix&quot;:&quot;&quot;},{&quot;dropping-particle&quot;:&quot;&quot;,&quot;family&quot;:&quot;McGrath&quot;,&quot;given&quot;:&quot;Barbara C.&quot;,&quot;non-dropping-particle&quot;:&quot;&quot;,&quot;parse-names&quot;:false,&quot;suffix&quot;:&quot;&quot;},{&quot;dropping-particle&quot;:&quot;&quot;,&quot;family&quot;:&quot;Hudson&quot;,&quot;given&quot;:&quot;Chelsea N.&quot;,&quot;non-dropping-particle&quot;:&quot;&quot;,&quot;parse-names&quot;:false,&quot;suffix&quot;:&quot;&quot;},{&quot;dropping-particle&quot;:&quot;&quot;,&quot;family&quot;:&quot;Bedoya Reina&quot;,&quot;given&quot;:&quot;Oscar C.&quot;,&quot;non-dropping-particle&quot;:&quot;&quot;,&quot;parse-names&quot;:false,&quot;suffix&quot;:&quot;&quot;},{&quot;dropping-particle&quot;:&quot;&quot;,&quot;family&quot;:&quot;Ratan&quot;,&quot;given&quot;:&quot;Aakrosh&quot;,&quot;non-dropping-particle&quot;:&quot;&quot;,&quot;parse-names&quot;:false,&quot;suffix&quot;:&quot;&quot;},{&quot;dropping-particle&quot;:&quot;&quot;,&quot;family&quot;:&quot;Burhans&quot;,&quot;given&quot;:&quot;Rico&quot;,&quot;non-dropping-particle&quot;:&quot;&quot;,&quot;parse-names&quot;:false,&quot;suffix&quot;:&quot;&quot;},{&quot;dropping-particle&quot;:&quot;&quot;,&quot;family&quot;:&quot;Chikhi&quot;,&quot;given&quot;:&quot;Rayan&quot;,&quot;non-dropping-particle&quot;:&quot;&quot;,&quot;parse-names&quot;:false,&quot;suffix&quot;:&quot;&quot;},{&quot;dropping-particle&quot;:&quot;&quot;,&quot;family&quot;:&quot;Medvedev&quot;,&quot;given&quot;:&quot;Paul&quot;,&quot;non-dropping-particle&quot;:&quot;&quot;,&quot;parse-names&quot;:false,&quot;suffix&quot;:&quot;&quot;},{&quot;dropping-particle&quot;:&quot;&quot;,&quot;family&quot;:&quot;Praul&quot;,&quot;given&quot;:&quot;Craig A.&quot;,&quot;non-dropping-particle&quot;:&quot;&quot;,&quot;parse-names&quot;:false,&quot;suffix&quot;:&quot;&quot;},{&quot;dropping-particle&quot;:&quot;&quot;,&quot;family&quot;:&quot;Wu-Cavener&quot;,&quot;given&quot;:&quot;Lan&quot;,&quot;non-dropping-particle&quot;:&quot;&quot;,&quot;parse-names&quot;:false,&quot;suffix&quot;:&quot;&quot;},{&quot;dropping-particle&quot;:&quot;&quot;,&quot;family&quot;:&quot;Wood&quot;,&quot;given&quot;:&quot;Brendan&quot;,&quot;non-dropping-particle&quot;:&quot;&quot;,&quot;parse-names&quot;:false,&quot;suffix&quot;:&quot;&quot;},{&quot;dropping-particle&quot;:&quot;&quot;,&quot;family&quot;:&quot;Robertson&quot;,&quot;given&quot;:&quot;Heather&quot;,&quot;non-dropping-particle&quot;:&quot;&quot;,&quot;parse-names&quot;:false,&quot;suffix&quot;:&quot;&quot;},{&quot;dropping-particle&quot;:&quot;&quot;,&quot;family&quot;:&quot;Penfold&quot;,&quot;given&quot;:&quot;Linda&quot;,&quot;non-dropping-particle&quot;:&quot;&quot;,&quot;parse-names&quot;:false,&quot;suffix&quot;:&quot;&quot;},{&quot;dropping-particle&quot;:&quot;&quot;,&quot;family&quot;:&quot;Cavener&quot;,&quot;given&quot;:&quot;Douglas R.&quot;,&quot;non-dropping-particle&quot;:&quot;&quot;,&quot;parse-names&quot;:false,&quot;suffix&quot;:&quot;&quot;}],&quot;container-title&quot;:&quot;Nature Communications&quot;,&quot;id&quot;:&quot;3f1fd528-c63c-341a-a0d7-33c321e1576b&quot;,&quot;issued&quot;:{&quot;date-parts&quot;:[[&quot;2016&quot;]]},&quot;page&quot;:&quot;11519&quot;,&quot;title&quot;:&quot;Giraffe genome sequence reveals clues to its unique morphology and physiology&quot;,&quot;type&quot;:&quot;article-journal&quot;,&quot;volume&quot;:&quot;7&quot;},&quot;uris&quot;:[&quot;http://www.mendeley.com/documents/?uuid=3f1fd528-c63c-341a-a0d7-33c321e1576b&quot;],&quot;isTemporary&quot;:false,&quot;legacyDesktopId&quot;:&quot;3f1fd528-c63c-341a-a0d7-33c321e1576b&quot;}],&quot;properties&quot;:{&quot;noteIndex&quot;:0},&quot;isEdited&quot;:false,&quot;manualOverride&quot;:{&quot;citeprocText&quot;:&quot;(4)&quot;,&quot;isManuallyOverridden&quot;:false,&quot;manualOverrideText&quot;:&quot;&quot;},&quot;citationTag&quot;:&quot;MENDELEY_CITATION_v3_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&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A0C8B-E517-4C96-8841-D354D163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2763</TotalTime>
  <Pages>10</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Coimbra</dc:creator>
  <cp:keywords/>
  <dc:description/>
  <cp:lastModifiedBy>Raphael Coimbra</cp:lastModifiedBy>
  <cp:revision>118</cp:revision>
  <cp:lastPrinted>2022-07-12T00:35:00Z</cp:lastPrinted>
  <dcterms:created xsi:type="dcterms:W3CDTF">2022-02-24T08:01:00Z</dcterms:created>
  <dcterms:modified xsi:type="dcterms:W3CDTF">2023-09-26T05:29:00Z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8cea7179-bcb7-3940-9035-b4af753c173c</vt:lpwstr>
  </property>
  <property fmtid="{D5CDD505-2E9C-101B-9397-08002B2CF9AE}" pid="4" name="Mendeley Citation Style_1">
    <vt:lpwstr>http://www.zotero.org/styles/nature</vt:lpwstr>
  </property>
  <property fmtid="{D5CDD505-2E9C-101B-9397-08002B2CF9AE}" pid="5" name="Mendeley Recent Style Id 0_1">
    <vt:lpwstr>http://www.zotero.org/styles/harvard-cite-them-right</vt:lpwstr>
  </property>
  <property fmtid="{D5CDD505-2E9C-101B-9397-08002B2CF9AE}" pid="6" name="Mendeley Recent Style Name 0_1">
    <vt:lpwstr>Cite Them Right 10th edition - Harvard</vt:lpwstr>
  </property>
  <property fmtid="{D5CDD505-2E9C-101B-9397-08002B2CF9AE}" pid="7" name="Mendeley Recent Style Id 1_1">
    <vt:lpwstr>http://www.zotero.org/styles/conservation-genetics</vt:lpwstr>
  </property>
  <property fmtid="{D5CDD505-2E9C-101B-9397-08002B2CF9AE}" pid="8" name="Mendeley Recent Style Name 1_1">
    <vt:lpwstr>Conservation Genetics</vt:lpwstr>
  </property>
  <property fmtid="{D5CDD505-2E9C-101B-9397-08002B2CF9AE}" pid="9" name="Mendeley Recent Style Id 2_1">
    <vt:lpwstr>http://www.zotero.org/styles/current-biology</vt:lpwstr>
  </property>
  <property fmtid="{D5CDD505-2E9C-101B-9397-08002B2CF9AE}" pid="10" name="Mendeley Recent Style Name 2_1">
    <vt:lpwstr>Current Biology</vt:lpwstr>
  </property>
  <property fmtid="{D5CDD505-2E9C-101B-9397-08002B2CF9AE}" pid="11" name="Mendeley Recent Style Id 3_1">
    <vt:lpwstr>http://www.zotero.org/styles/genes</vt:lpwstr>
  </property>
  <property fmtid="{D5CDD505-2E9C-101B-9397-08002B2CF9AE}" pid="12" name="Mendeley Recent Style Name 3_1">
    <vt:lpwstr>Genes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