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</w:t>
      </w:r>
      <w:proofErr w:type="spellStart"/>
      <w:r w:rsidRPr="00FC5EFB">
        <w:rPr>
          <w:rFonts w:cs="Arial"/>
          <w:color w:val="auto"/>
          <w:sz w:val="24"/>
          <w:szCs w:val="24"/>
        </w:rPr>
        <w:t>Deascription</w:t>
      </w:r>
      <w:proofErr w:type="spellEnd"/>
      <w:r w:rsidRPr="00FC5EFB">
        <w:rPr>
          <w:rFonts w:cs="Arial"/>
          <w:color w:val="auto"/>
          <w:sz w:val="24"/>
          <w:szCs w:val="24"/>
        </w:rPr>
        <w:t>: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 xml:space="preserve">. </w:t>
      </w:r>
      <w:r w:rsidRPr="00FC5EFB">
        <w:rPr>
          <w:rFonts w:cs="Arial"/>
          <w:color w:val="auto"/>
          <w:sz w:val="24"/>
          <w:szCs w:val="24"/>
          <w:lang w:eastAsia="en-GB"/>
        </w:rPr>
        <w:t>Credibility assessment of trials included in the NMA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ADDIN EN.CITE &lt;EndNote&gt;&lt;Cite&gt;&lt;Author&gt;Higgins&lt;/Author&gt;&lt;Year&gt;2011&lt;/Year&gt;&lt;RecNum&gt;30&lt;/RecNum&gt;&lt;DisplayText&gt;[1]&lt;/DisplayText&gt;&lt;record&gt;&lt;rec-number&gt;30&lt;/rec-number&gt;&lt;foreign-keys&gt;&lt;key app="EN" db-id="ezr5tpev5w2f2nervr1pr2t6vxdf9arerxta" timestamp="1613743022"&gt;30&lt;/key&gt;&lt;/foreign-keys&gt;&lt;ref-type name="Journal Article"&gt;17&lt;/ref-type&gt;&lt;contributors&gt;&lt;authors&gt;&lt;author&gt;Higgins, Julian P T&lt;/author&gt;&lt;author&gt;Altman, Douglas G&lt;/author&gt;&lt;author&gt;Gøtzsche, Peter C&lt;/author&gt;&lt;author&gt;Jüni, Peter&lt;/author&gt;&lt;author&gt;Moher, David&lt;/author&gt;&lt;author&gt;Oxman, Andrew D&lt;/author&gt;&lt;author&gt;Savović, Jelena&lt;/author&gt;&lt;author&gt;Schulz, Kenneth F&lt;/author&gt;&lt;author&gt;Weeks, Laura&lt;/author&gt;&lt;author&gt;Sterne, Jonathan A C&lt;/author&gt;&lt;/authors&gt;&lt;/contributors&gt;&lt;titles&gt;&lt;title&gt;The Cochrane Collaboration’s tool for assessing risk of bias in randomised trials&lt;/title&gt;&lt;secondary-title&gt;BMJ&lt;/secondary-title&gt;&lt;/titles&gt;&lt;periodical&gt;&lt;full-title&gt;BMJ&lt;/full-title&gt;&lt;/periodical&gt;&lt;pages&gt;d5928&lt;/pages&gt;&lt;volume&gt;343&lt;/volume&gt;&lt;dates&gt;&lt;year&gt;2011&lt;/year&gt;&lt;/dates&gt;&lt;urls&gt;&lt;related-urls&gt;&lt;url&gt;https://www.bmj.com/content/bmj/343/bmj.d5928.full.pdf&lt;/url&gt;&lt;/related-urls&gt;&lt;/urls&gt;&lt;electronic-resource-num&gt;10.1136/bmj.d5928&lt;/electronic-resource-num&gt;&lt;/record&gt;&lt;/Cite&gt;&lt;/EndNote&gt;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[1]</w:t>
      </w:r>
      <w:r w:rsidRPr="00FC5EFB">
        <w:rPr>
          <w:rFonts w:cs="Arial"/>
          <w:color w:val="auto"/>
          <w:sz w:val="24"/>
          <w:szCs w:val="24"/>
        </w:rPr>
        <w:fldChar w:fldCharType="end"/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bookmarkStart w:id="0" w:name="_Toc54855273"/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2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Input data for the NMA of the risk of myocardial infarction</w:t>
      </w:r>
      <w:bookmarkEnd w:id="0"/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bookmarkStart w:id="1" w:name="_Toc54855261"/>
      <w:bookmarkStart w:id="2" w:name="_Ref51144210"/>
      <w:bookmarkStart w:id="3" w:name="_Toc54855265"/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3</w:t>
      </w:r>
      <w:r w:rsidRPr="00FC5EFB">
        <w:rPr>
          <w:rFonts w:cs="Arial"/>
          <w:color w:val="auto"/>
          <w:sz w:val="24"/>
          <w:szCs w:val="24"/>
        </w:rPr>
        <w:fldChar w:fldCharType="end"/>
      </w:r>
      <w:bookmarkEnd w:id="2"/>
      <w:r w:rsidRPr="00FC5EFB">
        <w:rPr>
          <w:rFonts w:cs="Arial"/>
          <w:color w:val="auto"/>
          <w:sz w:val="24"/>
          <w:szCs w:val="24"/>
        </w:rPr>
        <w:t>. Input data for the NMA of the risk of ischaemic stroke</w:t>
      </w:r>
      <w:bookmarkEnd w:id="3"/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4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Input data for the NMA of the risk of cardiovascular death</w:t>
      </w:r>
      <w:bookmarkEnd w:id="1"/>
    </w:p>
    <w:p w:rsidR="00FC5EFB" w:rsidRPr="00FC5EFB" w:rsidRDefault="00FC5EFB" w:rsidP="00FC5EFB">
      <w:pPr>
        <w:pStyle w:val="Caption"/>
        <w:rPr>
          <w:rFonts w:cs="Arial"/>
          <w:bCs w:val="0"/>
          <w:color w:val="auto"/>
          <w:sz w:val="24"/>
          <w:szCs w:val="24"/>
        </w:rPr>
      </w:pPr>
      <w:bookmarkStart w:id="4" w:name="_Toc54855249"/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5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 xml:space="preserve">. Input data for the NMA of the risk of all-cause </w:t>
      </w:r>
      <w:bookmarkEnd w:id="4"/>
      <w:r w:rsidRPr="00FC5EFB">
        <w:rPr>
          <w:rFonts w:cs="Arial"/>
          <w:color w:val="auto"/>
          <w:sz w:val="24"/>
          <w:szCs w:val="24"/>
        </w:rPr>
        <w:t>mortality</w:t>
      </w:r>
    </w:p>
    <w:p w:rsidR="00FC5EFB" w:rsidRPr="00FC5EFB" w:rsidRDefault="00FC5EFB" w:rsidP="00FC5EFB">
      <w:pPr>
        <w:pStyle w:val="Caption"/>
        <w:rPr>
          <w:rFonts w:cs="Arial"/>
          <w:bCs w:val="0"/>
          <w:color w:val="auto"/>
          <w:sz w:val="24"/>
          <w:szCs w:val="24"/>
        </w:rPr>
      </w:pPr>
      <w:bookmarkStart w:id="5" w:name="_Ref51144017"/>
      <w:bookmarkStart w:id="6" w:name="_Toc54855257"/>
      <w:r w:rsidRPr="00FC5EFB">
        <w:rPr>
          <w:rFonts w:cs="Arial"/>
          <w:color w:val="auto"/>
          <w:sz w:val="24"/>
          <w:szCs w:val="24"/>
        </w:rPr>
        <w:t xml:space="preserve">Supplementary Table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Supplementary_Table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6</w:t>
      </w:r>
      <w:r w:rsidRPr="00FC5EFB">
        <w:rPr>
          <w:rFonts w:cs="Arial"/>
          <w:color w:val="auto"/>
          <w:sz w:val="24"/>
          <w:szCs w:val="24"/>
        </w:rPr>
        <w:fldChar w:fldCharType="end"/>
      </w:r>
      <w:bookmarkEnd w:id="5"/>
      <w:r w:rsidRPr="00FC5EFB">
        <w:rPr>
          <w:rFonts w:cs="Arial"/>
          <w:color w:val="auto"/>
          <w:sz w:val="24"/>
          <w:szCs w:val="24"/>
        </w:rPr>
        <w:t>. Input data for the NMA of the risk of any stroke</w:t>
      </w:r>
      <w:bookmarkEnd w:id="6"/>
    </w:p>
    <w:p w:rsidR="00FC5EFB" w:rsidRPr="00FC5EFB" w:rsidRDefault="00FC5EFB" w:rsidP="00FC5EFB">
      <w:pPr>
        <w:rPr>
          <w:rFonts w:ascii="Arial" w:hAnsi="Arial" w:cs="Arial"/>
          <w:b/>
          <w:sz w:val="24"/>
          <w:szCs w:val="24"/>
        </w:rPr>
      </w:pPr>
      <w:r w:rsidRPr="00FC5EFB">
        <w:rPr>
          <w:rFonts w:ascii="Arial" w:hAnsi="Arial" w:cs="Arial"/>
          <w:b/>
          <w:sz w:val="24"/>
          <w:szCs w:val="24"/>
        </w:rPr>
        <w:t xml:space="preserve">Supplementary Table </w:t>
      </w:r>
      <w:r w:rsidRPr="00FC5EFB">
        <w:rPr>
          <w:rFonts w:ascii="Arial" w:hAnsi="Arial" w:cs="Arial"/>
          <w:b/>
          <w:sz w:val="24"/>
          <w:szCs w:val="24"/>
        </w:rPr>
        <w:fldChar w:fldCharType="begin"/>
      </w:r>
      <w:r w:rsidRPr="00FC5EFB">
        <w:rPr>
          <w:rFonts w:ascii="Arial" w:hAnsi="Arial" w:cs="Arial"/>
          <w:b/>
          <w:sz w:val="24"/>
          <w:szCs w:val="24"/>
        </w:rPr>
        <w:instrText xml:space="preserve"> SEQ Supplementary_Table \* ARABIC </w:instrText>
      </w:r>
      <w:r w:rsidRPr="00FC5EFB">
        <w:rPr>
          <w:rFonts w:ascii="Arial" w:hAnsi="Arial" w:cs="Arial"/>
          <w:b/>
          <w:sz w:val="24"/>
          <w:szCs w:val="24"/>
        </w:rPr>
        <w:fldChar w:fldCharType="separate"/>
      </w:r>
      <w:r w:rsidRPr="00FC5EFB">
        <w:rPr>
          <w:rFonts w:ascii="Arial" w:hAnsi="Arial" w:cs="Arial"/>
          <w:b/>
          <w:noProof/>
          <w:sz w:val="24"/>
          <w:szCs w:val="24"/>
        </w:rPr>
        <w:t>7</w:t>
      </w:r>
      <w:r w:rsidRPr="00FC5EFB">
        <w:rPr>
          <w:rFonts w:ascii="Arial" w:hAnsi="Arial" w:cs="Arial"/>
          <w:b/>
          <w:sz w:val="24"/>
          <w:szCs w:val="24"/>
        </w:rPr>
        <w:fldChar w:fldCharType="end"/>
      </w:r>
      <w:r w:rsidRPr="00FC5EFB">
        <w:rPr>
          <w:rFonts w:ascii="Arial" w:hAnsi="Arial" w:cs="Arial"/>
          <w:b/>
          <w:sz w:val="24"/>
          <w:szCs w:val="24"/>
        </w:rPr>
        <w:t>. Input data for the NMA of the risk of major bleeding</w:t>
      </w: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  <w:bookmarkStart w:id="7" w:name="_Toc54855277"/>
      <w:r w:rsidRPr="00FC5EFB">
        <w:rPr>
          <w:rFonts w:ascii="Arial" w:hAnsi="Arial" w:cs="Arial"/>
          <w:b/>
          <w:sz w:val="24"/>
          <w:szCs w:val="24"/>
        </w:rPr>
        <w:t xml:space="preserve">Supplementary Table </w:t>
      </w:r>
      <w:r w:rsidRPr="00FC5EFB">
        <w:rPr>
          <w:rFonts w:ascii="Arial" w:hAnsi="Arial" w:cs="Arial"/>
          <w:b/>
          <w:sz w:val="24"/>
          <w:szCs w:val="24"/>
        </w:rPr>
        <w:fldChar w:fldCharType="begin"/>
      </w:r>
      <w:r w:rsidRPr="00FC5EFB">
        <w:rPr>
          <w:rFonts w:ascii="Arial" w:hAnsi="Arial" w:cs="Arial"/>
          <w:b/>
          <w:sz w:val="24"/>
          <w:szCs w:val="24"/>
        </w:rPr>
        <w:instrText xml:space="preserve"> SEQ Supplementary_Table \* ARABIC </w:instrText>
      </w:r>
      <w:r w:rsidRPr="00FC5EFB">
        <w:rPr>
          <w:rFonts w:ascii="Arial" w:hAnsi="Arial" w:cs="Arial"/>
          <w:b/>
          <w:sz w:val="24"/>
          <w:szCs w:val="24"/>
        </w:rPr>
        <w:fldChar w:fldCharType="separate"/>
      </w:r>
      <w:r w:rsidRPr="00FC5EFB">
        <w:rPr>
          <w:rFonts w:ascii="Arial" w:hAnsi="Arial" w:cs="Arial"/>
          <w:b/>
          <w:noProof/>
          <w:sz w:val="24"/>
          <w:szCs w:val="24"/>
        </w:rPr>
        <w:t>8</w:t>
      </w:r>
      <w:r w:rsidRPr="00FC5EFB">
        <w:rPr>
          <w:rFonts w:ascii="Arial" w:hAnsi="Arial" w:cs="Arial"/>
          <w:b/>
          <w:sz w:val="24"/>
          <w:szCs w:val="24"/>
        </w:rPr>
        <w:fldChar w:fldCharType="end"/>
      </w:r>
      <w:r w:rsidRPr="00FC5EFB">
        <w:rPr>
          <w:rFonts w:ascii="Arial" w:hAnsi="Arial" w:cs="Arial"/>
          <w:b/>
          <w:sz w:val="24"/>
          <w:szCs w:val="24"/>
        </w:rPr>
        <w:t xml:space="preserve">. Input data for the NMA of the risk of </w:t>
      </w:r>
      <w:r>
        <w:rPr>
          <w:rFonts w:ascii="Arial" w:hAnsi="Arial" w:cs="Arial"/>
          <w:b/>
          <w:sz w:val="24"/>
          <w:szCs w:val="24"/>
        </w:rPr>
        <w:t>revascularization</w:t>
      </w:r>
      <w:bookmarkStart w:id="8" w:name="_GoBack"/>
      <w:bookmarkEnd w:id="7"/>
      <w:bookmarkEnd w:id="8"/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amputations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2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amputation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bookmarkStart w:id="9" w:name="_Ref51073389"/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3</w:t>
      </w:r>
      <w:r w:rsidRPr="00FC5EFB">
        <w:rPr>
          <w:rFonts w:cs="Arial"/>
          <w:color w:val="auto"/>
          <w:sz w:val="24"/>
          <w:szCs w:val="24"/>
        </w:rPr>
        <w:fldChar w:fldCharType="end"/>
      </w:r>
      <w:bookmarkEnd w:id="9"/>
      <w:r w:rsidRPr="00FC5EFB">
        <w:rPr>
          <w:rFonts w:cs="Arial"/>
          <w:color w:val="auto"/>
          <w:sz w:val="24"/>
          <w:szCs w:val="24"/>
        </w:rPr>
        <w:t>. Networks of evidence for the risk of myocardial infarction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4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myocardial infarction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bookmarkStart w:id="10" w:name="_Ref51145752"/>
      <w:bookmarkStart w:id="11" w:name="_Toc51221361"/>
      <w:bookmarkStart w:id="12" w:name="_Toc51327299"/>
      <w:bookmarkStart w:id="13" w:name="_Toc54855296"/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5</w:t>
      </w:r>
      <w:r w:rsidRPr="00FC5EFB">
        <w:rPr>
          <w:rFonts w:cs="Arial"/>
          <w:color w:val="auto"/>
          <w:sz w:val="24"/>
          <w:szCs w:val="24"/>
        </w:rPr>
        <w:fldChar w:fldCharType="end"/>
      </w:r>
      <w:bookmarkEnd w:id="10"/>
      <w:r w:rsidRPr="00FC5EFB">
        <w:rPr>
          <w:rFonts w:cs="Arial"/>
          <w:color w:val="auto"/>
          <w:sz w:val="24"/>
          <w:szCs w:val="24"/>
        </w:rPr>
        <w:t xml:space="preserve">. Networks of evidence for the risk of ischaemic stroke </w:t>
      </w:r>
      <w:bookmarkEnd w:id="11"/>
      <w:bookmarkEnd w:id="12"/>
      <w:bookmarkEnd w:id="13"/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6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ischaemic stroke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7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cardiovascular death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8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cardiovascular death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9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all-cause mortality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10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all-cause mortality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11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any stroke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12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any stroke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lastRenderedPageBreak/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13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major bleeding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14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major bleeding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15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Networks of evidence for the risk of revascularisation</w:t>
      </w:r>
    </w:p>
    <w:p w:rsidR="00FC5EFB" w:rsidRPr="00FC5EFB" w:rsidRDefault="00FC5EFB" w:rsidP="00FC5EFB">
      <w:pPr>
        <w:pStyle w:val="Caption"/>
        <w:rPr>
          <w:rFonts w:cs="Arial"/>
          <w:color w:val="auto"/>
          <w:sz w:val="24"/>
          <w:szCs w:val="24"/>
        </w:rPr>
      </w:pPr>
      <w:r w:rsidRPr="00FC5EFB">
        <w:rPr>
          <w:rFonts w:cs="Arial"/>
          <w:color w:val="auto"/>
          <w:sz w:val="24"/>
          <w:szCs w:val="24"/>
        </w:rPr>
        <w:t xml:space="preserve">Supplementary Figure </w:t>
      </w:r>
      <w:r w:rsidRPr="00FC5EFB">
        <w:rPr>
          <w:rFonts w:cs="Arial"/>
          <w:color w:val="auto"/>
          <w:sz w:val="24"/>
          <w:szCs w:val="24"/>
        </w:rPr>
        <w:fldChar w:fldCharType="begin"/>
      </w:r>
      <w:r w:rsidRPr="00FC5EFB">
        <w:rPr>
          <w:rFonts w:cs="Arial"/>
          <w:color w:val="auto"/>
          <w:sz w:val="24"/>
          <w:szCs w:val="24"/>
        </w:rPr>
        <w:instrText xml:space="preserve"> SEQ Supplementary_Figure \* ARABIC </w:instrText>
      </w:r>
      <w:r w:rsidRPr="00FC5EFB">
        <w:rPr>
          <w:rFonts w:cs="Arial"/>
          <w:color w:val="auto"/>
          <w:sz w:val="24"/>
          <w:szCs w:val="24"/>
        </w:rPr>
        <w:fldChar w:fldCharType="separate"/>
      </w:r>
      <w:r w:rsidRPr="00FC5EFB">
        <w:rPr>
          <w:rFonts w:cs="Arial"/>
          <w:noProof/>
          <w:color w:val="auto"/>
          <w:sz w:val="24"/>
          <w:szCs w:val="24"/>
        </w:rPr>
        <w:t>16</w:t>
      </w:r>
      <w:r w:rsidRPr="00FC5EFB">
        <w:rPr>
          <w:rFonts w:cs="Arial"/>
          <w:color w:val="auto"/>
          <w:sz w:val="24"/>
          <w:szCs w:val="24"/>
        </w:rPr>
        <w:fldChar w:fldCharType="end"/>
      </w:r>
      <w:r w:rsidRPr="00FC5EFB">
        <w:rPr>
          <w:rFonts w:cs="Arial"/>
          <w:color w:val="auto"/>
          <w:sz w:val="24"/>
          <w:szCs w:val="24"/>
        </w:rPr>
        <w:t>. Forest plots comparing RIV plus ASA versus comparators regarding revascularisation</w:t>
      </w: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Default="00FC5EFB" w:rsidP="00FC5EFB">
      <w:pPr>
        <w:rPr>
          <w:rFonts w:ascii="Arial" w:hAnsi="Arial" w:cs="Arial"/>
          <w:b/>
          <w:sz w:val="24"/>
          <w:szCs w:val="24"/>
        </w:rPr>
      </w:pPr>
    </w:p>
    <w:p w:rsidR="00FC5EFB" w:rsidRPr="00FC5EFB" w:rsidRDefault="00FC5EFB" w:rsidP="00FC5EFB">
      <w:pPr>
        <w:rPr>
          <w:rFonts w:ascii="Arial" w:hAnsi="Arial" w:cs="Arial"/>
          <w:b/>
          <w:sz w:val="24"/>
          <w:szCs w:val="24"/>
          <w:lang w:val="en-GB"/>
        </w:rPr>
      </w:pPr>
    </w:p>
    <w:p w:rsidR="00FC5EFB" w:rsidRPr="00FC5EFB" w:rsidRDefault="00FC5EFB">
      <w:pPr>
        <w:rPr>
          <w:rFonts w:ascii="Arial" w:hAnsi="Arial" w:cs="Arial"/>
          <w:b/>
          <w:sz w:val="24"/>
          <w:szCs w:val="24"/>
          <w:lang w:val="en-GB"/>
        </w:rPr>
      </w:pPr>
      <w:r w:rsidRPr="00FC5EFB"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FC5EFB" w:rsidRPr="00FC5EFB" w:rsidRDefault="00FC5EFB" w:rsidP="00FC5EFB">
      <w:pPr>
        <w:rPr>
          <w:rFonts w:ascii="Arial" w:hAnsi="Arial" w:cs="Arial"/>
          <w:b/>
          <w:sz w:val="24"/>
          <w:szCs w:val="24"/>
          <w:lang w:val="en-GB"/>
        </w:rPr>
      </w:pPr>
    </w:p>
    <w:p w:rsidR="00181939" w:rsidRPr="00FC5EFB" w:rsidRDefault="00181939" w:rsidP="00FC5EFB">
      <w:pPr>
        <w:rPr>
          <w:rFonts w:ascii="Arial" w:hAnsi="Arial" w:cs="Arial"/>
          <w:b/>
          <w:sz w:val="24"/>
          <w:szCs w:val="24"/>
        </w:rPr>
      </w:pPr>
    </w:p>
    <w:sectPr w:rsidR="00181939" w:rsidRPr="00FC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FB"/>
    <w:rsid w:val="00181939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F0BB-F0F6-4089-8F40-03C40B0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2"/>
    <w:basedOn w:val="Normal"/>
    <w:next w:val="Normal"/>
    <w:link w:val="CaptionChar"/>
    <w:qFormat/>
    <w:rsid w:val="00FC5EFB"/>
    <w:pPr>
      <w:spacing w:before="120" w:after="200" w:line="240" w:lineRule="auto"/>
      <w:jc w:val="both"/>
    </w:pPr>
    <w:rPr>
      <w:rFonts w:ascii="Arial" w:eastAsia="Calibri" w:hAnsi="Arial" w:cs="Times New Roman"/>
      <w:b/>
      <w:bCs/>
      <w:color w:val="71787D"/>
      <w:spacing w:val="-10"/>
      <w:szCs w:val="18"/>
      <w:lang w:val="en-GB"/>
    </w:rPr>
  </w:style>
  <w:style w:type="character" w:customStyle="1" w:styleId="CaptionChar">
    <w:name w:val="Caption Char"/>
    <w:aliases w:val="Caption2 Char"/>
    <w:link w:val="Caption"/>
    <w:uiPriority w:val="35"/>
    <w:locked/>
    <w:rsid w:val="00FC5EFB"/>
    <w:rPr>
      <w:rFonts w:ascii="Arial" w:eastAsia="Calibri" w:hAnsi="Arial" w:cs="Times New Roman"/>
      <w:b/>
      <w:bCs/>
      <w:color w:val="71787D"/>
      <w:spacing w:val="-1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Subrarajini S.</dc:creator>
  <cp:keywords/>
  <dc:description/>
  <cp:lastModifiedBy>Subrarajini S.</cp:lastModifiedBy>
  <cp:revision>1</cp:revision>
  <dcterms:created xsi:type="dcterms:W3CDTF">2021-08-03T05:20:00Z</dcterms:created>
  <dcterms:modified xsi:type="dcterms:W3CDTF">2021-08-03T05:26:00Z</dcterms:modified>
</cp:coreProperties>
</file>