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1D96" w14:textId="091CEA13" w:rsidR="00032967" w:rsidRPr="00E91FCF" w:rsidRDefault="00E91FCF" w:rsidP="00E91FCF">
      <w:pPr>
        <w:jc w:val="center"/>
        <w:rPr>
          <w:rFonts w:ascii="Arial" w:eastAsia="Times New Roman" w:hAnsi="Arial"/>
          <w:b/>
          <w:bCs/>
          <w:sz w:val="40"/>
          <w:szCs w:val="32"/>
          <w:lang w:val="en-US"/>
        </w:rPr>
      </w:pPr>
      <w:r w:rsidRPr="00E91FCF">
        <w:rPr>
          <w:rFonts w:ascii="Arial" w:hAnsi="Arial"/>
          <w:b/>
          <w:bCs/>
          <w:sz w:val="32"/>
          <w:szCs w:val="32"/>
          <w:lang w:val="en-US"/>
        </w:rPr>
        <w:t>A novel approach to measure brain-to-brain spatial and temporal alignment during positive empathy</w:t>
      </w:r>
    </w:p>
    <w:p w14:paraId="5F19EF8A" w14:textId="77777777" w:rsidR="00032967" w:rsidRPr="0055248C" w:rsidRDefault="00032967" w:rsidP="00032967">
      <w:pPr>
        <w:spacing w:line="392" w:lineRule="exact"/>
        <w:rPr>
          <w:rFonts w:ascii="Times New Roman" w:eastAsia="Times New Roman" w:hAnsi="Times New Roman"/>
          <w:sz w:val="24"/>
          <w:lang w:val="en-US"/>
        </w:rPr>
      </w:pPr>
    </w:p>
    <w:p w14:paraId="01075821" w14:textId="77777777" w:rsidR="00032967" w:rsidRPr="0055248C" w:rsidRDefault="00032967" w:rsidP="00032967">
      <w:pPr>
        <w:spacing w:line="0" w:lineRule="atLeast"/>
        <w:ind w:left="200"/>
        <w:jc w:val="both"/>
        <w:rPr>
          <w:rFonts w:ascii="Arial" w:eastAsia="Arial" w:hAnsi="Arial"/>
          <w:sz w:val="31"/>
          <w:vertAlign w:val="superscript"/>
        </w:rPr>
      </w:pPr>
      <w:r w:rsidRPr="0055248C">
        <w:rPr>
          <w:rFonts w:ascii="Arial" w:eastAsia="Arial" w:hAnsi="Arial"/>
          <w:sz w:val="23"/>
        </w:rPr>
        <w:t>J. Toppi</w:t>
      </w:r>
      <w:r w:rsidRPr="0055248C">
        <w:rPr>
          <w:rFonts w:ascii="Arial" w:eastAsia="Arial" w:hAnsi="Arial"/>
          <w:sz w:val="31"/>
          <w:vertAlign w:val="superscript"/>
        </w:rPr>
        <w:t>1,2</w:t>
      </w:r>
      <w:r w:rsidRPr="0055248C">
        <w:rPr>
          <w:rFonts w:ascii="Arial" w:eastAsia="Arial" w:hAnsi="Arial"/>
          <w:sz w:val="23"/>
        </w:rPr>
        <w:t>, M. Siniatchkin</w:t>
      </w:r>
      <w:r w:rsidRPr="0055248C">
        <w:rPr>
          <w:rFonts w:ascii="Arial" w:eastAsia="Arial" w:hAnsi="Arial"/>
          <w:sz w:val="31"/>
          <w:vertAlign w:val="superscript"/>
        </w:rPr>
        <w:t>3,4</w:t>
      </w:r>
      <w:r w:rsidRPr="0055248C">
        <w:rPr>
          <w:rFonts w:ascii="Arial" w:eastAsia="Arial" w:hAnsi="Arial"/>
          <w:sz w:val="23"/>
        </w:rPr>
        <w:t>, P. Vogel</w:t>
      </w:r>
      <w:r w:rsidRPr="0055248C">
        <w:rPr>
          <w:rFonts w:ascii="Arial" w:eastAsia="Arial" w:hAnsi="Arial"/>
          <w:sz w:val="31"/>
          <w:vertAlign w:val="superscript"/>
        </w:rPr>
        <w:t>4,5</w:t>
      </w:r>
      <w:r w:rsidRPr="0055248C">
        <w:rPr>
          <w:rFonts w:ascii="Arial" w:eastAsia="Arial" w:hAnsi="Arial"/>
          <w:sz w:val="23"/>
        </w:rPr>
        <w:t>, C. M. Freitag</w:t>
      </w:r>
      <w:r w:rsidRPr="0055248C">
        <w:rPr>
          <w:rFonts w:ascii="Arial" w:eastAsia="Arial" w:hAnsi="Arial"/>
          <w:sz w:val="31"/>
          <w:vertAlign w:val="superscript"/>
        </w:rPr>
        <w:t>4</w:t>
      </w:r>
      <w:r w:rsidRPr="0055248C">
        <w:rPr>
          <w:rFonts w:ascii="Arial" w:eastAsia="Arial" w:hAnsi="Arial"/>
          <w:sz w:val="23"/>
        </w:rPr>
        <w:t>, L. Astolfi*</w:t>
      </w:r>
      <w:r w:rsidRPr="0055248C">
        <w:rPr>
          <w:rFonts w:ascii="Arial" w:eastAsia="Arial" w:hAnsi="Arial"/>
          <w:sz w:val="23"/>
          <w:vertAlign w:val="superscript"/>
        </w:rPr>
        <w:t>$</w:t>
      </w:r>
      <w:r w:rsidRPr="0055248C">
        <w:rPr>
          <w:rFonts w:ascii="Arial" w:eastAsia="Arial" w:hAnsi="Arial"/>
          <w:sz w:val="31"/>
          <w:vertAlign w:val="superscript"/>
        </w:rPr>
        <w:t>1,2</w:t>
      </w:r>
      <w:r w:rsidRPr="0055248C">
        <w:rPr>
          <w:rFonts w:ascii="Arial" w:eastAsia="Arial" w:hAnsi="Arial"/>
          <w:sz w:val="23"/>
        </w:rPr>
        <w:t>, A. Ciaramidaro</w:t>
      </w:r>
      <w:r w:rsidRPr="0055248C">
        <w:rPr>
          <w:rFonts w:ascii="Arial" w:eastAsia="Arial" w:hAnsi="Arial"/>
          <w:sz w:val="23"/>
          <w:vertAlign w:val="superscript"/>
        </w:rPr>
        <w:t>$</w:t>
      </w:r>
      <w:r w:rsidRPr="0055248C">
        <w:rPr>
          <w:rFonts w:ascii="Arial" w:eastAsia="Arial" w:hAnsi="Arial"/>
          <w:sz w:val="31"/>
          <w:vertAlign w:val="superscript"/>
        </w:rPr>
        <w:t>4,6</w:t>
      </w:r>
    </w:p>
    <w:p w14:paraId="11CC990C" w14:textId="77777777" w:rsidR="00032967" w:rsidRPr="0055248C" w:rsidRDefault="00032967" w:rsidP="00032967">
      <w:pPr>
        <w:spacing w:line="210" w:lineRule="exact"/>
        <w:jc w:val="both"/>
        <w:rPr>
          <w:rFonts w:ascii="Times New Roman" w:eastAsia="Times New Roman" w:hAnsi="Times New Roman"/>
          <w:sz w:val="24"/>
        </w:rPr>
      </w:pPr>
    </w:p>
    <w:p w14:paraId="71181788" w14:textId="77777777" w:rsidR="00032967" w:rsidRPr="0055248C" w:rsidRDefault="00032967" w:rsidP="00032967">
      <w:pPr>
        <w:spacing w:line="0" w:lineRule="atLeast"/>
        <w:jc w:val="both"/>
        <w:rPr>
          <w:rFonts w:ascii="Arial" w:eastAsia="Arial" w:hAnsi="Arial"/>
          <w:i/>
          <w:sz w:val="22"/>
          <w:lang w:val="en-US"/>
        </w:rPr>
      </w:pPr>
      <w:r w:rsidRPr="0055248C">
        <w:rPr>
          <w:rFonts w:ascii="Arial" w:eastAsia="Arial" w:hAnsi="Arial"/>
          <w:i/>
          <w:sz w:val="22"/>
          <w:vertAlign w:val="superscript"/>
          <w:lang w:val="en-US"/>
        </w:rPr>
        <w:t>$</w:t>
      </w:r>
      <w:r w:rsidRPr="0055248C">
        <w:rPr>
          <w:rFonts w:ascii="Arial" w:eastAsia="Arial" w:hAnsi="Arial"/>
          <w:i/>
          <w:sz w:val="22"/>
          <w:lang w:val="en-US"/>
        </w:rPr>
        <w:t>equally supervised this work</w:t>
      </w:r>
    </w:p>
    <w:p w14:paraId="444BAE43" w14:textId="77777777" w:rsidR="00032967" w:rsidRPr="0055248C" w:rsidRDefault="00032967" w:rsidP="00032967">
      <w:pPr>
        <w:spacing w:line="291" w:lineRule="exact"/>
        <w:jc w:val="both"/>
        <w:rPr>
          <w:rFonts w:ascii="Times New Roman" w:eastAsia="Times New Roman" w:hAnsi="Times New Roman"/>
          <w:sz w:val="24"/>
          <w:lang w:val="en-US"/>
        </w:rPr>
      </w:pPr>
    </w:p>
    <w:p w14:paraId="26690726" w14:textId="77777777" w:rsidR="00032967" w:rsidRPr="0055248C" w:rsidRDefault="00032967" w:rsidP="00032967">
      <w:pPr>
        <w:spacing w:line="0" w:lineRule="atLeast"/>
        <w:jc w:val="both"/>
        <w:rPr>
          <w:rFonts w:ascii="Arial" w:eastAsia="Arial" w:hAnsi="Arial"/>
          <w:i/>
          <w:szCs w:val="22"/>
          <w:lang w:val="en-US"/>
        </w:rPr>
      </w:pPr>
      <w:r w:rsidRPr="0055248C">
        <w:rPr>
          <w:rFonts w:ascii="Arial" w:eastAsia="Arial" w:hAnsi="Arial"/>
          <w:i/>
          <w:sz w:val="28"/>
          <w:szCs w:val="22"/>
          <w:vertAlign w:val="superscript"/>
          <w:lang w:val="en-US"/>
        </w:rPr>
        <w:t>1</w:t>
      </w:r>
      <w:r w:rsidRPr="0055248C">
        <w:rPr>
          <w:rFonts w:ascii="Arial" w:eastAsia="Arial" w:hAnsi="Arial"/>
          <w:i/>
          <w:szCs w:val="22"/>
          <w:lang w:val="en-US"/>
        </w:rPr>
        <w:t xml:space="preserve">Dept. of Computer, Control and Management Engineering A. </w:t>
      </w:r>
      <w:proofErr w:type="spellStart"/>
      <w:r w:rsidRPr="0055248C">
        <w:rPr>
          <w:rFonts w:ascii="Arial" w:eastAsia="Arial" w:hAnsi="Arial"/>
          <w:i/>
          <w:szCs w:val="22"/>
          <w:lang w:val="en-US"/>
        </w:rPr>
        <w:t>Ruberti</w:t>
      </w:r>
      <w:proofErr w:type="spellEnd"/>
      <w:r w:rsidRPr="0055248C">
        <w:rPr>
          <w:rFonts w:ascii="Arial" w:eastAsia="Arial" w:hAnsi="Arial"/>
          <w:i/>
          <w:szCs w:val="22"/>
          <w:lang w:val="en-US"/>
        </w:rPr>
        <w:t>, Sapienza University of Rome, Rome, Italy</w:t>
      </w:r>
    </w:p>
    <w:p w14:paraId="2644093C" w14:textId="77777777" w:rsidR="00032967" w:rsidRPr="0055248C" w:rsidRDefault="00032967" w:rsidP="00032967">
      <w:pPr>
        <w:spacing w:line="91" w:lineRule="exact"/>
        <w:jc w:val="both"/>
        <w:rPr>
          <w:rFonts w:ascii="Times New Roman" w:eastAsia="Times New Roman" w:hAnsi="Times New Roman"/>
          <w:sz w:val="28"/>
          <w:szCs w:val="22"/>
          <w:lang w:val="en-US"/>
        </w:rPr>
      </w:pPr>
    </w:p>
    <w:p w14:paraId="1B2300C4" w14:textId="77777777" w:rsidR="00032967" w:rsidRPr="0055248C" w:rsidRDefault="00032967" w:rsidP="00032967">
      <w:pPr>
        <w:spacing w:line="0" w:lineRule="atLeast"/>
        <w:jc w:val="both"/>
        <w:rPr>
          <w:rFonts w:ascii="Arial" w:eastAsia="Arial" w:hAnsi="Arial"/>
          <w:i/>
          <w:szCs w:val="22"/>
        </w:rPr>
      </w:pPr>
      <w:r w:rsidRPr="0055248C">
        <w:rPr>
          <w:rFonts w:ascii="Arial" w:eastAsia="Arial" w:hAnsi="Arial"/>
          <w:i/>
          <w:sz w:val="28"/>
          <w:szCs w:val="22"/>
          <w:vertAlign w:val="superscript"/>
        </w:rPr>
        <w:t>2</w:t>
      </w:r>
      <w:r w:rsidRPr="0055248C">
        <w:rPr>
          <w:rFonts w:ascii="Arial" w:eastAsia="Arial" w:hAnsi="Arial"/>
          <w:i/>
          <w:szCs w:val="22"/>
        </w:rPr>
        <w:t xml:space="preserve">IRCCS Fondazione Santa Lucia, Rome, </w:t>
      </w:r>
      <w:proofErr w:type="spellStart"/>
      <w:r w:rsidRPr="0055248C">
        <w:rPr>
          <w:rFonts w:ascii="Arial" w:eastAsia="Arial" w:hAnsi="Arial"/>
          <w:i/>
          <w:szCs w:val="22"/>
        </w:rPr>
        <w:t>Italy</w:t>
      </w:r>
      <w:proofErr w:type="spellEnd"/>
    </w:p>
    <w:p w14:paraId="28E11AFF" w14:textId="77777777" w:rsidR="00032967" w:rsidRPr="0055248C" w:rsidRDefault="00032967" w:rsidP="00032967">
      <w:pPr>
        <w:spacing w:line="94" w:lineRule="exact"/>
        <w:jc w:val="both"/>
        <w:rPr>
          <w:rFonts w:ascii="Times New Roman" w:eastAsia="Times New Roman" w:hAnsi="Times New Roman"/>
          <w:sz w:val="28"/>
          <w:szCs w:val="22"/>
        </w:rPr>
      </w:pPr>
    </w:p>
    <w:p w14:paraId="5ED58087" w14:textId="77777777" w:rsidR="00032967" w:rsidRPr="0055248C" w:rsidRDefault="00032967" w:rsidP="00032967">
      <w:pPr>
        <w:spacing w:line="202" w:lineRule="auto"/>
        <w:jc w:val="both"/>
        <w:rPr>
          <w:rFonts w:ascii="Arial" w:eastAsia="Arial" w:hAnsi="Arial"/>
          <w:i/>
          <w:szCs w:val="22"/>
          <w:lang w:val="en-US"/>
        </w:rPr>
      </w:pPr>
      <w:r w:rsidRPr="0055248C">
        <w:rPr>
          <w:rFonts w:ascii="Arial" w:eastAsia="Arial" w:hAnsi="Arial"/>
          <w:i/>
          <w:sz w:val="28"/>
          <w:szCs w:val="22"/>
          <w:vertAlign w:val="superscript"/>
          <w:lang w:val="en-US"/>
        </w:rPr>
        <w:t>3</w:t>
      </w:r>
      <w:r w:rsidRPr="0055248C">
        <w:rPr>
          <w:rFonts w:ascii="Arial" w:eastAsia="Arial" w:hAnsi="Arial"/>
          <w:i/>
          <w:szCs w:val="22"/>
          <w:lang w:val="en-US"/>
        </w:rPr>
        <w:t>Department of Child and Adolescent Psychiatry and Psychotherapy, Protestant Hospital Bethel, University Clinics OWL, Campus Bethel, Bielefeld University, Bielefeld, Germany.</w:t>
      </w:r>
    </w:p>
    <w:p w14:paraId="3FB0975B" w14:textId="77777777" w:rsidR="00032967" w:rsidRPr="0055248C" w:rsidRDefault="00032967" w:rsidP="00032967">
      <w:pPr>
        <w:spacing w:line="168" w:lineRule="exact"/>
        <w:jc w:val="both"/>
        <w:rPr>
          <w:rFonts w:ascii="Times New Roman" w:eastAsia="Times New Roman" w:hAnsi="Times New Roman"/>
          <w:sz w:val="28"/>
          <w:szCs w:val="22"/>
          <w:lang w:val="en-US"/>
        </w:rPr>
      </w:pPr>
    </w:p>
    <w:p w14:paraId="74AB4F81" w14:textId="77777777" w:rsidR="00032967" w:rsidRPr="0055248C" w:rsidRDefault="00032967" w:rsidP="00032967">
      <w:pPr>
        <w:spacing w:line="202" w:lineRule="auto"/>
        <w:jc w:val="both"/>
        <w:rPr>
          <w:rFonts w:ascii="Arial" w:eastAsia="Arial" w:hAnsi="Arial"/>
          <w:i/>
          <w:szCs w:val="22"/>
          <w:lang w:val="en-US"/>
        </w:rPr>
      </w:pPr>
      <w:r w:rsidRPr="0055248C">
        <w:rPr>
          <w:rFonts w:ascii="Arial" w:eastAsia="Arial" w:hAnsi="Arial"/>
          <w:i/>
          <w:sz w:val="28"/>
          <w:szCs w:val="22"/>
          <w:vertAlign w:val="superscript"/>
          <w:lang w:val="en-US"/>
        </w:rPr>
        <w:t>4</w:t>
      </w:r>
      <w:r w:rsidRPr="0055248C">
        <w:rPr>
          <w:rFonts w:ascii="Arial" w:eastAsia="Arial" w:hAnsi="Arial"/>
          <w:i/>
          <w:szCs w:val="22"/>
          <w:lang w:val="en-US"/>
        </w:rPr>
        <w:t>Department of Child and Adolescent Psychiatry, Psychosomatics and Psychotherapy, University Hospital Frankfurt, Goethe University, Frankfurt, Germany</w:t>
      </w:r>
    </w:p>
    <w:p w14:paraId="6B15F2B5" w14:textId="77777777" w:rsidR="00032967" w:rsidRPr="0055248C" w:rsidRDefault="00032967" w:rsidP="00032967">
      <w:pPr>
        <w:spacing w:line="165" w:lineRule="exact"/>
        <w:jc w:val="both"/>
        <w:rPr>
          <w:rFonts w:ascii="Times New Roman" w:eastAsia="Times New Roman" w:hAnsi="Times New Roman"/>
          <w:sz w:val="28"/>
          <w:szCs w:val="22"/>
          <w:lang w:val="en-US"/>
        </w:rPr>
      </w:pPr>
    </w:p>
    <w:p w14:paraId="440D0ADB" w14:textId="77777777" w:rsidR="00032967" w:rsidRPr="0055248C" w:rsidRDefault="00032967" w:rsidP="00032967">
      <w:pPr>
        <w:spacing w:line="0" w:lineRule="atLeast"/>
        <w:jc w:val="both"/>
        <w:rPr>
          <w:rFonts w:ascii="Arial" w:eastAsia="Arial" w:hAnsi="Arial"/>
          <w:i/>
          <w:szCs w:val="22"/>
          <w:lang w:val="en-US"/>
        </w:rPr>
      </w:pPr>
      <w:r w:rsidRPr="0055248C">
        <w:rPr>
          <w:rFonts w:ascii="Arial" w:eastAsia="Arial" w:hAnsi="Arial"/>
          <w:i/>
          <w:sz w:val="28"/>
          <w:szCs w:val="22"/>
          <w:vertAlign w:val="superscript"/>
          <w:lang w:val="en-US"/>
        </w:rPr>
        <w:t>5</w:t>
      </w:r>
      <w:r w:rsidRPr="0055248C">
        <w:rPr>
          <w:rFonts w:ascii="Arial" w:eastAsia="Arial" w:hAnsi="Arial"/>
          <w:i/>
          <w:szCs w:val="22"/>
          <w:lang w:val="en-US"/>
        </w:rPr>
        <w:t>Institute of Neurophysiology, Neuroscience Center, Goethe University Frankfurt/M, Germany</w:t>
      </w:r>
    </w:p>
    <w:p w14:paraId="43664C33" w14:textId="77777777" w:rsidR="00032967" w:rsidRPr="0055248C" w:rsidRDefault="00032967" w:rsidP="00032967">
      <w:pPr>
        <w:spacing w:line="91" w:lineRule="exact"/>
        <w:jc w:val="both"/>
        <w:rPr>
          <w:rFonts w:ascii="Times New Roman" w:eastAsia="Times New Roman" w:hAnsi="Times New Roman"/>
          <w:sz w:val="28"/>
          <w:szCs w:val="22"/>
          <w:lang w:val="en-US"/>
        </w:rPr>
      </w:pPr>
    </w:p>
    <w:p w14:paraId="468615CC" w14:textId="77777777" w:rsidR="00032967" w:rsidRPr="0055248C" w:rsidRDefault="00032967" w:rsidP="00032967">
      <w:pPr>
        <w:spacing w:line="0" w:lineRule="atLeast"/>
        <w:jc w:val="both"/>
        <w:rPr>
          <w:rFonts w:ascii="Arial" w:eastAsia="Arial" w:hAnsi="Arial"/>
          <w:i/>
          <w:szCs w:val="22"/>
          <w:lang w:val="en-US"/>
        </w:rPr>
      </w:pPr>
      <w:r w:rsidRPr="0055248C">
        <w:rPr>
          <w:rFonts w:ascii="Arial" w:eastAsia="Arial" w:hAnsi="Arial"/>
          <w:i/>
          <w:sz w:val="28"/>
          <w:szCs w:val="22"/>
          <w:vertAlign w:val="superscript"/>
          <w:lang w:val="en-US"/>
        </w:rPr>
        <w:t>6</w:t>
      </w:r>
      <w:r w:rsidRPr="0055248C">
        <w:rPr>
          <w:rFonts w:ascii="Arial" w:eastAsia="Arial" w:hAnsi="Arial"/>
          <w:i/>
          <w:szCs w:val="22"/>
          <w:lang w:val="en-US"/>
        </w:rPr>
        <w:t>Department of Education and Human Sciences, University of Modena and Reggio Emilia, Reggio Emilia, Italy</w:t>
      </w:r>
    </w:p>
    <w:p w14:paraId="20FF01B6" w14:textId="77777777" w:rsidR="00032967" w:rsidRPr="0055248C" w:rsidRDefault="00032967" w:rsidP="00032967">
      <w:pPr>
        <w:spacing w:line="169" w:lineRule="exact"/>
        <w:rPr>
          <w:rFonts w:ascii="Times New Roman" w:eastAsia="Times New Roman" w:hAnsi="Times New Roman"/>
          <w:sz w:val="24"/>
          <w:lang w:val="en-US"/>
        </w:rPr>
      </w:pPr>
    </w:p>
    <w:p w14:paraId="71F16B58" w14:textId="77777777" w:rsidR="00032967" w:rsidRPr="0055248C" w:rsidRDefault="00032967" w:rsidP="00032967">
      <w:pPr>
        <w:spacing w:line="0" w:lineRule="atLeast"/>
        <w:rPr>
          <w:rFonts w:ascii="Arial" w:eastAsia="Arial" w:hAnsi="Arial"/>
          <w:b/>
          <w:sz w:val="28"/>
          <w:lang w:val="en-US"/>
        </w:rPr>
      </w:pPr>
    </w:p>
    <w:p w14:paraId="3DEC4768" w14:textId="7AA3B67F" w:rsidR="0041791A" w:rsidRPr="0055248C" w:rsidRDefault="0041791A" w:rsidP="00032967">
      <w:pPr>
        <w:keepNext/>
        <w:keepLines/>
        <w:spacing w:before="240" w:line="300" w:lineRule="auto"/>
        <w:ind w:left="432" w:hanging="432"/>
        <w:jc w:val="center"/>
        <w:outlineLvl w:val="0"/>
        <w:rPr>
          <w:rFonts w:ascii="Arial" w:eastAsia="Arial" w:hAnsi="Arial"/>
          <w:i/>
          <w:iCs/>
          <w:sz w:val="18"/>
          <w:szCs w:val="18"/>
          <w:lang w:val="en-US" w:eastAsia="it-IT"/>
        </w:rPr>
      </w:pPr>
      <w:r w:rsidRPr="0055248C">
        <w:rPr>
          <w:rFonts w:ascii="Arial" w:eastAsia="Arial" w:hAnsi="Arial"/>
          <w:b/>
          <w:sz w:val="28"/>
          <w:szCs w:val="28"/>
          <w:lang w:val="en-US" w:eastAsia="it-IT"/>
        </w:rPr>
        <w:t>Supplementary Information</w:t>
      </w:r>
      <w:bookmarkStart w:id="0" w:name="_Toc64903381"/>
    </w:p>
    <w:p w14:paraId="75E6C1DB" w14:textId="77777777" w:rsidR="00D9185B" w:rsidRPr="0055248C" w:rsidRDefault="00D9185B" w:rsidP="00D9185B">
      <w:pPr>
        <w:keepNext/>
        <w:keepLines/>
        <w:spacing w:before="40" w:line="300" w:lineRule="auto"/>
        <w:ind w:left="576" w:hanging="576"/>
        <w:jc w:val="both"/>
        <w:outlineLvl w:val="1"/>
        <w:rPr>
          <w:rFonts w:ascii="Arial" w:eastAsia="Arial" w:hAnsi="Arial"/>
          <w:i/>
          <w:iCs/>
          <w:sz w:val="18"/>
          <w:szCs w:val="18"/>
          <w:lang w:val="en-US" w:eastAsia="it-IT"/>
        </w:rPr>
      </w:pPr>
    </w:p>
    <w:p w14:paraId="2A031281" w14:textId="565AD694" w:rsidR="00D9185B" w:rsidRPr="0055248C" w:rsidRDefault="00D9185B" w:rsidP="00D9185B">
      <w:pPr>
        <w:keepNext/>
        <w:keepLines/>
        <w:spacing w:before="40" w:line="300" w:lineRule="auto"/>
        <w:ind w:left="576" w:hanging="576"/>
        <w:jc w:val="both"/>
        <w:outlineLvl w:val="1"/>
        <w:rPr>
          <w:rFonts w:ascii="Arial" w:eastAsia="Arial" w:hAnsi="Arial"/>
          <w:b/>
          <w:sz w:val="24"/>
          <w:szCs w:val="24"/>
          <w:lang w:val="en-US" w:eastAsia="it-IT"/>
        </w:rPr>
      </w:pPr>
      <w:r w:rsidRPr="0055248C">
        <w:rPr>
          <w:rFonts w:ascii="Arial" w:eastAsia="Arial" w:hAnsi="Arial"/>
          <w:b/>
          <w:sz w:val="24"/>
          <w:szCs w:val="24"/>
          <w:lang w:val="en-US" w:eastAsia="it-IT"/>
        </w:rPr>
        <w:t>Analysis of Behavioral data</w:t>
      </w:r>
    </w:p>
    <w:p w14:paraId="52E9A359" w14:textId="77777777" w:rsidR="00D9185B" w:rsidRPr="0055248C" w:rsidRDefault="00D9185B" w:rsidP="00D9185B">
      <w:pPr>
        <w:spacing w:after="120"/>
        <w:jc w:val="both"/>
        <w:rPr>
          <w:rFonts w:ascii="Arial" w:eastAsia="Arial" w:hAnsi="Arial"/>
          <w:sz w:val="24"/>
          <w:szCs w:val="24"/>
          <w:lang w:val="en-US" w:eastAsia="it-IT"/>
        </w:rPr>
      </w:pPr>
      <w:r w:rsidRPr="0055248C">
        <w:rPr>
          <w:rFonts w:ascii="Arial" w:eastAsia="Arial" w:hAnsi="Arial"/>
          <w:sz w:val="24"/>
          <w:szCs w:val="24"/>
          <w:lang w:val="en-US" w:eastAsia="it-IT"/>
        </w:rPr>
        <w:t xml:space="preserve">We recorded the punishment score assigned by the observer to the dictator in all the experimental conditions. Such score was then subjected to a two-way repeated measures ANOVA, considering as main within factors the AGENCY (2 levels: Agent, PC) and the FAIRNESS (3 levels: fair, unfair, </w:t>
      </w:r>
      <w:proofErr w:type="spellStart"/>
      <w:r w:rsidRPr="0055248C">
        <w:rPr>
          <w:rFonts w:ascii="Arial" w:eastAsia="Arial" w:hAnsi="Arial"/>
          <w:sz w:val="24"/>
          <w:szCs w:val="24"/>
          <w:lang w:val="en-US" w:eastAsia="it-IT"/>
        </w:rPr>
        <w:t>hyperunfair</w:t>
      </w:r>
      <w:proofErr w:type="spellEnd"/>
      <w:r w:rsidRPr="0055248C">
        <w:rPr>
          <w:rFonts w:ascii="Arial" w:eastAsia="Arial" w:hAnsi="Arial"/>
          <w:sz w:val="24"/>
          <w:szCs w:val="24"/>
          <w:lang w:val="en-US" w:eastAsia="it-IT"/>
        </w:rPr>
        <w:t>). The ANOVA was conducted on the 21 dyads enrolled in the study.</w:t>
      </w:r>
    </w:p>
    <w:p w14:paraId="682C67EB" w14:textId="77777777" w:rsidR="00D9185B" w:rsidRPr="0055248C" w:rsidRDefault="00D9185B" w:rsidP="00D9185B">
      <w:pPr>
        <w:keepNext/>
        <w:keepLines/>
        <w:spacing w:before="40" w:line="300" w:lineRule="auto"/>
        <w:ind w:left="576" w:hanging="576"/>
        <w:jc w:val="both"/>
        <w:outlineLvl w:val="1"/>
        <w:rPr>
          <w:rFonts w:ascii="Arial" w:eastAsia="Arial" w:hAnsi="Arial"/>
          <w:b/>
          <w:sz w:val="24"/>
          <w:szCs w:val="24"/>
          <w:lang w:val="en-US" w:eastAsia="it-IT"/>
        </w:rPr>
      </w:pPr>
      <w:bookmarkStart w:id="1" w:name="_Toc64903393"/>
      <w:r w:rsidRPr="0055248C">
        <w:rPr>
          <w:rFonts w:ascii="Arial" w:eastAsia="Arial" w:hAnsi="Arial"/>
          <w:b/>
          <w:sz w:val="24"/>
          <w:szCs w:val="24"/>
          <w:lang w:val="en-US" w:eastAsia="it-IT"/>
        </w:rPr>
        <w:t>Behavioral results</w:t>
      </w:r>
      <w:bookmarkEnd w:id="1"/>
    </w:p>
    <w:p w14:paraId="0A9B935E" w14:textId="539D37D7" w:rsidR="00D9185B" w:rsidRPr="0055248C" w:rsidRDefault="00D9185B" w:rsidP="00D9185B">
      <w:pPr>
        <w:spacing w:after="160"/>
        <w:jc w:val="both"/>
        <w:rPr>
          <w:rFonts w:ascii="Arial" w:eastAsia="Arial" w:hAnsi="Arial"/>
          <w:sz w:val="24"/>
          <w:szCs w:val="22"/>
          <w:lang w:val="en-US" w:eastAsia="it-IT"/>
        </w:rPr>
      </w:pPr>
      <w:r w:rsidRPr="0055248C">
        <w:rPr>
          <w:rFonts w:ascii="Arial" w:eastAsia="Arial" w:hAnsi="Arial"/>
          <w:sz w:val="24"/>
          <w:szCs w:val="22"/>
          <w:lang w:val="en-US" w:eastAsia="it-IT"/>
        </w:rPr>
        <w:t xml:space="preserve">Punishment score obtained as average across observer group is reported in </w:t>
      </w:r>
      <w:r w:rsidR="00801166" w:rsidRPr="0055248C">
        <w:rPr>
          <w:rFonts w:ascii="Arial" w:eastAsia="Arial" w:hAnsi="Arial"/>
          <w:sz w:val="24"/>
          <w:szCs w:val="22"/>
          <w:lang w:val="en-US" w:eastAsia="it-IT"/>
        </w:rPr>
        <w:t>T</w:t>
      </w:r>
      <w:r w:rsidRPr="0055248C">
        <w:rPr>
          <w:rFonts w:ascii="Arial" w:eastAsia="Arial" w:hAnsi="Arial"/>
          <w:sz w:val="24"/>
          <w:szCs w:val="22"/>
          <w:lang w:val="en-US" w:eastAsia="it-IT"/>
        </w:rPr>
        <w:t>ab</w:t>
      </w:r>
      <w:r w:rsidR="00801166" w:rsidRPr="0055248C">
        <w:rPr>
          <w:rFonts w:ascii="Arial" w:eastAsia="Arial" w:hAnsi="Arial"/>
          <w:sz w:val="24"/>
          <w:szCs w:val="22"/>
          <w:lang w:val="en-US" w:eastAsia="it-IT"/>
        </w:rPr>
        <w:t xml:space="preserve">le </w:t>
      </w:r>
      <w:r w:rsidRPr="0055248C">
        <w:rPr>
          <w:rFonts w:ascii="Arial" w:eastAsia="Arial" w:hAnsi="Arial"/>
          <w:sz w:val="24"/>
          <w:szCs w:val="22"/>
          <w:lang w:val="en-US" w:eastAsia="it-IT"/>
        </w:rPr>
        <w:t xml:space="preserve">S1 for the different experimental conditions. As expected, we found an increase of the punishment score across the three level of fairness, with </w:t>
      </w:r>
      <w:proofErr w:type="spellStart"/>
      <w:r w:rsidRPr="0055248C">
        <w:rPr>
          <w:rFonts w:ascii="Arial" w:eastAsia="Arial" w:hAnsi="Arial"/>
          <w:sz w:val="24"/>
          <w:szCs w:val="22"/>
          <w:lang w:val="en-US" w:eastAsia="it-IT"/>
        </w:rPr>
        <w:t>hyperunfair</w:t>
      </w:r>
      <w:proofErr w:type="spellEnd"/>
      <w:r w:rsidRPr="0055248C">
        <w:rPr>
          <w:rFonts w:ascii="Arial" w:eastAsia="Arial" w:hAnsi="Arial"/>
          <w:sz w:val="24"/>
          <w:szCs w:val="22"/>
          <w:lang w:val="en-US" w:eastAsia="it-IT"/>
        </w:rPr>
        <w:t xml:space="preserve"> condition showing the highest values (factor FAIRNESS: </w:t>
      </w:r>
      <w:proofErr w:type="spellStart"/>
      <w:r w:rsidRPr="0055248C">
        <w:rPr>
          <w:rFonts w:ascii="Arial" w:eastAsia="Arial" w:hAnsi="Arial"/>
          <w:sz w:val="24"/>
          <w:szCs w:val="22"/>
          <w:lang w:val="en-US" w:eastAsia="it-IT"/>
        </w:rPr>
        <w:t>d.f.</w:t>
      </w:r>
      <w:proofErr w:type="spellEnd"/>
      <w:r w:rsidRPr="0055248C">
        <w:rPr>
          <w:rFonts w:ascii="Arial" w:eastAsia="Arial" w:hAnsi="Arial"/>
          <w:sz w:val="24"/>
          <w:szCs w:val="22"/>
          <w:lang w:val="en-US" w:eastAsia="it-IT"/>
        </w:rPr>
        <w:t xml:space="preserve"> = (2.40), p &lt; 0.00001, F = 92.44). Moreover, the punishment score was higher in Agent than in PC condition in both unfair conditions (interaction factor AGENCY X FAIRNESS, </w:t>
      </w:r>
      <w:proofErr w:type="spellStart"/>
      <w:r w:rsidRPr="0055248C">
        <w:rPr>
          <w:rFonts w:ascii="Arial" w:eastAsia="Arial" w:hAnsi="Arial"/>
          <w:sz w:val="24"/>
          <w:szCs w:val="22"/>
          <w:lang w:val="en-US" w:eastAsia="it-IT"/>
        </w:rPr>
        <w:t>d.f.</w:t>
      </w:r>
      <w:proofErr w:type="spellEnd"/>
      <w:r w:rsidRPr="0055248C">
        <w:rPr>
          <w:rFonts w:ascii="Arial" w:eastAsia="Arial" w:hAnsi="Arial"/>
          <w:sz w:val="24"/>
          <w:szCs w:val="22"/>
          <w:lang w:val="en-US" w:eastAsia="it-IT"/>
        </w:rPr>
        <w:t xml:space="preserve"> = (2.40), p = 0.019, F = 4.37).</w:t>
      </w:r>
    </w:p>
    <w:p w14:paraId="0D712D55" w14:textId="02AECCF5" w:rsidR="00D9185B" w:rsidRPr="0055248C" w:rsidRDefault="00D9185B" w:rsidP="00D9185B">
      <w:pPr>
        <w:jc w:val="both"/>
        <w:rPr>
          <w:rFonts w:ascii="Arial" w:eastAsia="Arial" w:hAnsi="Arial"/>
          <w:sz w:val="16"/>
          <w:szCs w:val="16"/>
          <w:lang w:val="en-US" w:eastAsia="it-IT"/>
        </w:rPr>
      </w:pPr>
    </w:p>
    <w:p w14:paraId="06F98BE1" w14:textId="2E77E50C" w:rsidR="00032967" w:rsidRPr="0055248C" w:rsidRDefault="00032967" w:rsidP="00D9185B">
      <w:pPr>
        <w:jc w:val="both"/>
        <w:rPr>
          <w:rFonts w:ascii="Arial" w:eastAsia="Arial" w:hAnsi="Arial"/>
          <w:sz w:val="16"/>
          <w:szCs w:val="16"/>
          <w:lang w:val="en-US" w:eastAsia="it-IT"/>
        </w:rPr>
      </w:pPr>
    </w:p>
    <w:p w14:paraId="489AD192" w14:textId="77777777" w:rsidR="00032967" w:rsidRPr="0055248C" w:rsidRDefault="00032967" w:rsidP="00D9185B">
      <w:pPr>
        <w:jc w:val="both"/>
        <w:rPr>
          <w:rFonts w:ascii="Arial" w:eastAsia="Arial" w:hAnsi="Arial"/>
          <w:sz w:val="16"/>
          <w:szCs w:val="16"/>
          <w:lang w:val="en-US" w:eastAsia="it-IT"/>
        </w:rPr>
      </w:pPr>
    </w:p>
    <w:p w14:paraId="49E4C17D" w14:textId="61CFE9BD" w:rsidR="00D9185B" w:rsidRPr="0055248C" w:rsidRDefault="00D9185B" w:rsidP="00EB4A81">
      <w:pPr>
        <w:jc w:val="both"/>
        <w:rPr>
          <w:rFonts w:ascii="Arial" w:eastAsia="Arial" w:hAnsi="Arial"/>
          <w:i/>
          <w:iCs/>
          <w:lang w:val="en-US" w:eastAsia="it-IT"/>
        </w:rPr>
      </w:pPr>
    </w:p>
    <w:tbl>
      <w:tblPr>
        <w:tblStyle w:val="Grigliatabella"/>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1908"/>
        <w:gridCol w:w="1936"/>
        <w:gridCol w:w="2078"/>
        <w:gridCol w:w="1786"/>
      </w:tblGrid>
      <w:tr w:rsidR="0055248C" w:rsidRPr="0055248C" w14:paraId="6B88D1E9" w14:textId="77777777" w:rsidTr="00EB4A81">
        <w:tc>
          <w:tcPr>
            <w:tcW w:w="1930" w:type="dxa"/>
            <w:tcBorders>
              <w:top w:val="single" w:sz="4" w:space="0" w:color="auto"/>
              <w:bottom w:val="single" w:sz="4" w:space="0" w:color="auto"/>
            </w:tcBorders>
          </w:tcPr>
          <w:p w14:paraId="67DFA74F" w14:textId="77777777" w:rsidR="00D9185B" w:rsidRPr="0055248C" w:rsidRDefault="00D9185B" w:rsidP="0070215F">
            <w:pPr>
              <w:rPr>
                <w:rFonts w:ascii="Arial" w:hAnsi="Arial"/>
                <w:b/>
                <w:bCs/>
              </w:rPr>
            </w:pPr>
          </w:p>
        </w:tc>
        <w:tc>
          <w:tcPr>
            <w:tcW w:w="1908" w:type="dxa"/>
            <w:tcBorders>
              <w:top w:val="single" w:sz="4" w:space="0" w:color="auto"/>
              <w:bottom w:val="single" w:sz="4" w:space="0" w:color="auto"/>
            </w:tcBorders>
          </w:tcPr>
          <w:p w14:paraId="0A2265CF" w14:textId="77777777" w:rsidR="00D9185B" w:rsidRPr="0055248C" w:rsidRDefault="00D9185B" w:rsidP="0070215F">
            <w:pPr>
              <w:jc w:val="center"/>
              <w:rPr>
                <w:rFonts w:ascii="Arial" w:hAnsi="Arial"/>
                <w:b/>
                <w:bCs/>
              </w:rPr>
            </w:pPr>
            <w:r w:rsidRPr="0055248C">
              <w:rPr>
                <w:rFonts w:ascii="Arial" w:hAnsi="Arial"/>
                <w:b/>
                <w:bCs/>
              </w:rPr>
              <w:t>fair</w:t>
            </w:r>
          </w:p>
        </w:tc>
        <w:tc>
          <w:tcPr>
            <w:tcW w:w="1936" w:type="dxa"/>
            <w:tcBorders>
              <w:top w:val="single" w:sz="4" w:space="0" w:color="auto"/>
              <w:bottom w:val="single" w:sz="4" w:space="0" w:color="auto"/>
            </w:tcBorders>
          </w:tcPr>
          <w:p w14:paraId="64A85D16" w14:textId="77777777" w:rsidR="00D9185B" w:rsidRPr="0055248C" w:rsidRDefault="00D9185B" w:rsidP="0070215F">
            <w:pPr>
              <w:jc w:val="center"/>
              <w:rPr>
                <w:rFonts w:ascii="Arial" w:hAnsi="Arial"/>
                <w:b/>
                <w:bCs/>
              </w:rPr>
            </w:pPr>
            <w:r w:rsidRPr="0055248C">
              <w:rPr>
                <w:rFonts w:ascii="Arial" w:hAnsi="Arial"/>
                <w:b/>
                <w:bCs/>
              </w:rPr>
              <w:t>unfair</w:t>
            </w:r>
          </w:p>
        </w:tc>
        <w:tc>
          <w:tcPr>
            <w:tcW w:w="2078" w:type="dxa"/>
            <w:tcBorders>
              <w:top w:val="single" w:sz="4" w:space="0" w:color="auto"/>
              <w:bottom w:val="single" w:sz="4" w:space="0" w:color="auto"/>
            </w:tcBorders>
          </w:tcPr>
          <w:p w14:paraId="2A07F93F" w14:textId="77777777" w:rsidR="00D9185B" w:rsidRPr="0055248C" w:rsidRDefault="00D9185B" w:rsidP="0070215F">
            <w:pPr>
              <w:jc w:val="center"/>
              <w:rPr>
                <w:rFonts w:ascii="Arial" w:hAnsi="Arial"/>
                <w:b/>
                <w:bCs/>
              </w:rPr>
            </w:pPr>
            <w:proofErr w:type="spellStart"/>
            <w:r w:rsidRPr="0055248C">
              <w:rPr>
                <w:rFonts w:ascii="Arial" w:hAnsi="Arial"/>
                <w:b/>
                <w:bCs/>
              </w:rPr>
              <w:t>hyperunfair</w:t>
            </w:r>
            <w:proofErr w:type="spellEnd"/>
          </w:p>
        </w:tc>
        <w:tc>
          <w:tcPr>
            <w:tcW w:w="1786" w:type="dxa"/>
            <w:tcBorders>
              <w:top w:val="single" w:sz="4" w:space="0" w:color="auto"/>
              <w:bottom w:val="single" w:sz="4" w:space="0" w:color="auto"/>
            </w:tcBorders>
          </w:tcPr>
          <w:p w14:paraId="0EF1C114" w14:textId="77777777" w:rsidR="00D9185B" w:rsidRPr="0055248C" w:rsidRDefault="00D9185B" w:rsidP="0070215F">
            <w:pPr>
              <w:jc w:val="center"/>
              <w:rPr>
                <w:rFonts w:ascii="Arial" w:hAnsi="Arial"/>
                <w:b/>
                <w:bCs/>
              </w:rPr>
            </w:pPr>
            <w:r w:rsidRPr="0055248C">
              <w:rPr>
                <w:rFonts w:ascii="Arial" w:hAnsi="Arial"/>
                <w:b/>
                <w:bCs/>
              </w:rPr>
              <w:t>significance</w:t>
            </w:r>
          </w:p>
        </w:tc>
      </w:tr>
      <w:tr w:rsidR="0055248C" w:rsidRPr="0055248C" w14:paraId="143D07BF" w14:textId="77777777" w:rsidTr="00EB4A81">
        <w:tc>
          <w:tcPr>
            <w:tcW w:w="1930" w:type="dxa"/>
            <w:tcBorders>
              <w:top w:val="single" w:sz="4" w:space="0" w:color="auto"/>
              <w:bottom w:val="single" w:sz="4" w:space="0" w:color="auto"/>
            </w:tcBorders>
          </w:tcPr>
          <w:p w14:paraId="7AE9D9F1" w14:textId="77777777" w:rsidR="00D9185B" w:rsidRPr="0055248C" w:rsidRDefault="00D9185B" w:rsidP="0070215F">
            <w:pPr>
              <w:rPr>
                <w:rFonts w:ascii="Arial" w:hAnsi="Arial"/>
                <w:b/>
                <w:bCs/>
              </w:rPr>
            </w:pPr>
            <w:r w:rsidRPr="0055248C">
              <w:rPr>
                <w:rFonts w:ascii="Arial" w:hAnsi="Arial"/>
                <w:b/>
                <w:bCs/>
              </w:rPr>
              <w:t>Agent</w:t>
            </w:r>
          </w:p>
        </w:tc>
        <w:tc>
          <w:tcPr>
            <w:tcW w:w="1908" w:type="dxa"/>
            <w:tcBorders>
              <w:top w:val="single" w:sz="4" w:space="0" w:color="auto"/>
              <w:bottom w:val="single" w:sz="4" w:space="0" w:color="auto"/>
            </w:tcBorders>
          </w:tcPr>
          <w:p w14:paraId="785AEDF4" w14:textId="77777777" w:rsidR="00D9185B" w:rsidRPr="0055248C" w:rsidRDefault="00D9185B" w:rsidP="0070215F">
            <w:pPr>
              <w:jc w:val="center"/>
              <w:rPr>
                <w:rFonts w:ascii="Arial" w:hAnsi="Arial"/>
              </w:rPr>
            </w:pPr>
            <w:r w:rsidRPr="0055248C">
              <w:rPr>
                <w:rFonts w:ascii="Arial" w:hAnsi="Arial"/>
              </w:rPr>
              <w:t>0.3 (0.41)</w:t>
            </w:r>
          </w:p>
        </w:tc>
        <w:tc>
          <w:tcPr>
            <w:tcW w:w="1936" w:type="dxa"/>
            <w:tcBorders>
              <w:top w:val="single" w:sz="4" w:space="0" w:color="auto"/>
              <w:bottom w:val="single" w:sz="4" w:space="0" w:color="auto"/>
            </w:tcBorders>
          </w:tcPr>
          <w:p w14:paraId="5367B023" w14:textId="77777777" w:rsidR="00D9185B" w:rsidRPr="0055248C" w:rsidRDefault="00D9185B" w:rsidP="0070215F">
            <w:pPr>
              <w:jc w:val="center"/>
              <w:rPr>
                <w:rFonts w:ascii="Arial" w:hAnsi="Arial"/>
              </w:rPr>
            </w:pPr>
            <w:r w:rsidRPr="0055248C">
              <w:rPr>
                <w:rFonts w:ascii="Arial" w:hAnsi="Arial"/>
              </w:rPr>
              <w:t>1.83 (0.73)</w:t>
            </w:r>
          </w:p>
        </w:tc>
        <w:tc>
          <w:tcPr>
            <w:tcW w:w="2078" w:type="dxa"/>
            <w:tcBorders>
              <w:top w:val="single" w:sz="4" w:space="0" w:color="auto"/>
              <w:bottom w:val="single" w:sz="4" w:space="0" w:color="auto"/>
            </w:tcBorders>
          </w:tcPr>
          <w:p w14:paraId="4BDD0A5A" w14:textId="77777777" w:rsidR="00D9185B" w:rsidRPr="0055248C" w:rsidRDefault="00D9185B" w:rsidP="0070215F">
            <w:pPr>
              <w:jc w:val="center"/>
              <w:rPr>
                <w:rFonts w:ascii="Arial" w:hAnsi="Arial"/>
              </w:rPr>
            </w:pPr>
            <w:r w:rsidRPr="0055248C">
              <w:rPr>
                <w:rFonts w:ascii="Arial" w:hAnsi="Arial"/>
              </w:rPr>
              <w:t>2.93 (1.18)</w:t>
            </w:r>
          </w:p>
        </w:tc>
        <w:tc>
          <w:tcPr>
            <w:tcW w:w="1786" w:type="dxa"/>
            <w:tcBorders>
              <w:top w:val="single" w:sz="4" w:space="0" w:color="auto"/>
              <w:bottom w:val="single" w:sz="4" w:space="0" w:color="auto"/>
            </w:tcBorders>
          </w:tcPr>
          <w:p w14:paraId="79E2FE27" w14:textId="77777777" w:rsidR="00D9185B" w:rsidRPr="0055248C" w:rsidRDefault="00D9185B" w:rsidP="0070215F">
            <w:pPr>
              <w:jc w:val="center"/>
              <w:rPr>
                <w:rFonts w:ascii="Arial" w:hAnsi="Arial"/>
              </w:rPr>
            </w:pPr>
            <w:r w:rsidRPr="0055248C">
              <w:rPr>
                <w:rFonts w:ascii="Arial" w:hAnsi="Arial"/>
              </w:rPr>
              <w:t>F&lt;U&lt;HU</w:t>
            </w:r>
          </w:p>
        </w:tc>
      </w:tr>
      <w:tr w:rsidR="0055248C" w:rsidRPr="0055248C" w14:paraId="5FBECF3F" w14:textId="77777777" w:rsidTr="00EB4A81">
        <w:tc>
          <w:tcPr>
            <w:tcW w:w="1930" w:type="dxa"/>
            <w:tcBorders>
              <w:top w:val="single" w:sz="4" w:space="0" w:color="auto"/>
              <w:bottom w:val="single" w:sz="4" w:space="0" w:color="auto"/>
            </w:tcBorders>
          </w:tcPr>
          <w:p w14:paraId="045EDB52" w14:textId="77777777" w:rsidR="00D9185B" w:rsidRPr="0055248C" w:rsidRDefault="00D9185B" w:rsidP="0070215F">
            <w:pPr>
              <w:rPr>
                <w:rFonts w:ascii="Arial" w:hAnsi="Arial"/>
                <w:b/>
                <w:bCs/>
              </w:rPr>
            </w:pPr>
            <w:r w:rsidRPr="0055248C">
              <w:rPr>
                <w:rFonts w:ascii="Arial" w:hAnsi="Arial"/>
                <w:b/>
                <w:bCs/>
              </w:rPr>
              <w:t>PC</w:t>
            </w:r>
          </w:p>
        </w:tc>
        <w:tc>
          <w:tcPr>
            <w:tcW w:w="1908" w:type="dxa"/>
            <w:tcBorders>
              <w:top w:val="single" w:sz="4" w:space="0" w:color="auto"/>
              <w:bottom w:val="single" w:sz="4" w:space="0" w:color="auto"/>
            </w:tcBorders>
          </w:tcPr>
          <w:p w14:paraId="46107D5B" w14:textId="77777777" w:rsidR="00D9185B" w:rsidRPr="0055248C" w:rsidRDefault="00D9185B" w:rsidP="0070215F">
            <w:pPr>
              <w:jc w:val="center"/>
              <w:rPr>
                <w:rFonts w:ascii="Arial" w:hAnsi="Arial"/>
              </w:rPr>
            </w:pPr>
            <w:r w:rsidRPr="0055248C">
              <w:rPr>
                <w:rFonts w:ascii="Arial" w:hAnsi="Arial"/>
              </w:rPr>
              <w:t>0.36 (0.46)</w:t>
            </w:r>
          </w:p>
        </w:tc>
        <w:tc>
          <w:tcPr>
            <w:tcW w:w="1936" w:type="dxa"/>
            <w:tcBorders>
              <w:top w:val="single" w:sz="4" w:space="0" w:color="auto"/>
              <w:bottom w:val="single" w:sz="4" w:space="0" w:color="auto"/>
            </w:tcBorders>
          </w:tcPr>
          <w:p w14:paraId="01A5D81D" w14:textId="77777777" w:rsidR="00D9185B" w:rsidRPr="0055248C" w:rsidRDefault="00D9185B" w:rsidP="0070215F">
            <w:pPr>
              <w:jc w:val="center"/>
              <w:rPr>
                <w:rFonts w:ascii="Arial" w:hAnsi="Arial"/>
              </w:rPr>
            </w:pPr>
            <w:r w:rsidRPr="0055248C">
              <w:rPr>
                <w:rFonts w:ascii="Arial" w:hAnsi="Arial"/>
              </w:rPr>
              <w:t>1.64 (0.58)</w:t>
            </w:r>
          </w:p>
        </w:tc>
        <w:tc>
          <w:tcPr>
            <w:tcW w:w="2078" w:type="dxa"/>
            <w:tcBorders>
              <w:top w:val="single" w:sz="4" w:space="0" w:color="auto"/>
              <w:bottom w:val="single" w:sz="4" w:space="0" w:color="auto"/>
            </w:tcBorders>
          </w:tcPr>
          <w:p w14:paraId="52609206" w14:textId="77777777" w:rsidR="00D9185B" w:rsidRPr="0055248C" w:rsidRDefault="00D9185B" w:rsidP="0070215F">
            <w:pPr>
              <w:jc w:val="center"/>
              <w:rPr>
                <w:rFonts w:ascii="Arial" w:hAnsi="Arial"/>
              </w:rPr>
            </w:pPr>
            <w:r w:rsidRPr="0055248C">
              <w:rPr>
                <w:rFonts w:ascii="Arial" w:hAnsi="Arial"/>
              </w:rPr>
              <w:t>2.72 (1.14)</w:t>
            </w:r>
          </w:p>
        </w:tc>
        <w:tc>
          <w:tcPr>
            <w:tcW w:w="1786" w:type="dxa"/>
            <w:tcBorders>
              <w:top w:val="single" w:sz="4" w:space="0" w:color="auto"/>
              <w:bottom w:val="single" w:sz="4" w:space="0" w:color="auto"/>
            </w:tcBorders>
          </w:tcPr>
          <w:p w14:paraId="5DCEC094" w14:textId="77777777" w:rsidR="00D9185B" w:rsidRPr="0055248C" w:rsidRDefault="00D9185B" w:rsidP="0070215F">
            <w:pPr>
              <w:jc w:val="center"/>
              <w:rPr>
                <w:rFonts w:ascii="Arial" w:hAnsi="Arial"/>
              </w:rPr>
            </w:pPr>
            <w:r w:rsidRPr="0055248C">
              <w:rPr>
                <w:rFonts w:ascii="Arial" w:hAnsi="Arial"/>
              </w:rPr>
              <w:t>F&lt;U&lt;HU</w:t>
            </w:r>
          </w:p>
        </w:tc>
      </w:tr>
      <w:tr w:rsidR="0055248C" w:rsidRPr="0055248C" w14:paraId="496E0623" w14:textId="77777777" w:rsidTr="00EB4A81">
        <w:tc>
          <w:tcPr>
            <w:tcW w:w="1930" w:type="dxa"/>
            <w:tcBorders>
              <w:top w:val="single" w:sz="4" w:space="0" w:color="auto"/>
              <w:bottom w:val="single" w:sz="4" w:space="0" w:color="auto"/>
            </w:tcBorders>
          </w:tcPr>
          <w:p w14:paraId="362189CA" w14:textId="77777777" w:rsidR="00D9185B" w:rsidRPr="0055248C" w:rsidRDefault="00D9185B" w:rsidP="0070215F">
            <w:pPr>
              <w:rPr>
                <w:rFonts w:ascii="Arial" w:hAnsi="Arial"/>
                <w:b/>
                <w:bCs/>
              </w:rPr>
            </w:pPr>
            <w:r w:rsidRPr="0055248C">
              <w:rPr>
                <w:rFonts w:ascii="Arial" w:hAnsi="Arial"/>
                <w:b/>
                <w:bCs/>
              </w:rPr>
              <w:t>significance</w:t>
            </w:r>
          </w:p>
        </w:tc>
        <w:tc>
          <w:tcPr>
            <w:tcW w:w="1908" w:type="dxa"/>
            <w:tcBorders>
              <w:top w:val="single" w:sz="4" w:space="0" w:color="auto"/>
              <w:bottom w:val="single" w:sz="4" w:space="0" w:color="auto"/>
            </w:tcBorders>
          </w:tcPr>
          <w:p w14:paraId="3FAFE56C" w14:textId="77777777" w:rsidR="00D9185B" w:rsidRPr="0055248C" w:rsidRDefault="00D9185B" w:rsidP="0070215F">
            <w:pPr>
              <w:jc w:val="center"/>
              <w:rPr>
                <w:rFonts w:ascii="Arial" w:hAnsi="Arial"/>
              </w:rPr>
            </w:pPr>
            <w:r w:rsidRPr="0055248C">
              <w:rPr>
                <w:rFonts w:ascii="Arial" w:hAnsi="Arial"/>
              </w:rPr>
              <w:t>x</w:t>
            </w:r>
          </w:p>
        </w:tc>
        <w:tc>
          <w:tcPr>
            <w:tcW w:w="1936" w:type="dxa"/>
            <w:tcBorders>
              <w:top w:val="single" w:sz="4" w:space="0" w:color="auto"/>
              <w:bottom w:val="single" w:sz="4" w:space="0" w:color="auto"/>
            </w:tcBorders>
          </w:tcPr>
          <w:p w14:paraId="5A012E4F" w14:textId="77777777" w:rsidR="00D9185B" w:rsidRPr="0055248C" w:rsidRDefault="00D9185B" w:rsidP="0070215F">
            <w:pPr>
              <w:jc w:val="center"/>
              <w:rPr>
                <w:rFonts w:ascii="Arial" w:hAnsi="Arial"/>
              </w:rPr>
            </w:pPr>
            <w:r w:rsidRPr="0055248C">
              <w:rPr>
                <w:rFonts w:ascii="Arial" w:hAnsi="Arial"/>
              </w:rPr>
              <w:t>Ag&gt;PC</w:t>
            </w:r>
          </w:p>
        </w:tc>
        <w:tc>
          <w:tcPr>
            <w:tcW w:w="2078" w:type="dxa"/>
            <w:tcBorders>
              <w:top w:val="single" w:sz="4" w:space="0" w:color="auto"/>
              <w:bottom w:val="single" w:sz="4" w:space="0" w:color="auto"/>
            </w:tcBorders>
          </w:tcPr>
          <w:p w14:paraId="7A5A70E0" w14:textId="77777777" w:rsidR="00D9185B" w:rsidRPr="0055248C" w:rsidRDefault="00D9185B" w:rsidP="0070215F">
            <w:pPr>
              <w:jc w:val="center"/>
              <w:rPr>
                <w:rFonts w:ascii="Arial" w:hAnsi="Arial"/>
              </w:rPr>
            </w:pPr>
            <w:r w:rsidRPr="0055248C">
              <w:rPr>
                <w:rFonts w:ascii="Arial" w:hAnsi="Arial"/>
              </w:rPr>
              <w:t>Ag&gt;PC</w:t>
            </w:r>
          </w:p>
        </w:tc>
        <w:tc>
          <w:tcPr>
            <w:tcW w:w="1786" w:type="dxa"/>
            <w:tcBorders>
              <w:top w:val="single" w:sz="4" w:space="0" w:color="auto"/>
              <w:bottom w:val="single" w:sz="4" w:space="0" w:color="auto"/>
            </w:tcBorders>
          </w:tcPr>
          <w:p w14:paraId="7AA93BF4" w14:textId="77777777" w:rsidR="00D9185B" w:rsidRPr="0055248C" w:rsidRDefault="00D9185B" w:rsidP="0070215F">
            <w:pPr>
              <w:jc w:val="center"/>
              <w:rPr>
                <w:rFonts w:ascii="Arial" w:hAnsi="Arial"/>
              </w:rPr>
            </w:pPr>
          </w:p>
        </w:tc>
      </w:tr>
    </w:tbl>
    <w:p w14:paraId="1CEE485B" w14:textId="0046EB21" w:rsidR="00D9185B" w:rsidRPr="0055248C" w:rsidRDefault="00EB4A81" w:rsidP="00EB4A81">
      <w:pPr>
        <w:jc w:val="center"/>
        <w:rPr>
          <w:rFonts w:ascii="Arial" w:eastAsia="Arial" w:hAnsi="Arial"/>
          <w:sz w:val="24"/>
          <w:szCs w:val="22"/>
          <w:lang w:val="en-US" w:eastAsia="it-IT"/>
        </w:rPr>
      </w:pPr>
      <w:r w:rsidRPr="0055248C">
        <w:rPr>
          <w:rFonts w:ascii="Arial" w:eastAsia="Arial" w:hAnsi="Arial"/>
          <w:i/>
          <w:iCs/>
          <w:lang w:val="en-US" w:eastAsia="it-IT"/>
        </w:rPr>
        <w:t xml:space="preserve">Table S1. Punishment score averaged across observer group reported separately for the different experimental conditions (fair(F), unfair (U), </w:t>
      </w:r>
      <w:proofErr w:type="spellStart"/>
      <w:r w:rsidRPr="0055248C">
        <w:rPr>
          <w:rFonts w:ascii="Arial" w:eastAsia="Arial" w:hAnsi="Arial"/>
          <w:i/>
          <w:iCs/>
          <w:lang w:val="en-US" w:eastAsia="it-IT"/>
        </w:rPr>
        <w:t>hyperunfair</w:t>
      </w:r>
      <w:proofErr w:type="spellEnd"/>
      <w:r w:rsidRPr="0055248C">
        <w:rPr>
          <w:rFonts w:ascii="Arial" w:eastAsia="Arial" w:hAnsi="Arial"/>
          <w:i/>
          <w:iCs/>
          <w:lang w:val="en-US" w:eastAsia="it-IT"/>
        </w:rPr>
        <w:t xml:space="preserve"> (HU) in both Agent (Ag) and PC (PC) conditions). Values in the brackets refers to standard deviation. The results of the ANOVA on punishment score highlighted an increase of the punishment score across the three level of fairness, with </w:t>
      </w:r>
      <w:proofErr w:type="spellStart"/>
      <w:r w:rsidRPr="0055248C">
        <w:rPr>
          <w:rFonts w:ascii="Arial" w:eastAsia="Arial" w:hAnsi="Arial"/>
          <w:i/>
          <w:iCs/>
          <w:lang w:val="en-US" w:eastAsia="it-IT"/>
        </w:rPr>
        <w:t>hyperunfair</w:t>
      </w:r>
      <w:proofErr w:type="spellEnd"/>
      <w:r w:rsidRPr="0055248C">
        <w:rPr>
          <w:rFonts w:ascii="Arial" w:eastAsia="Arial" w:hAnsi="Arial"/>
          <w:i/>
          <w:iCs/>
          <w:lang w:val="en-US" w:eastAsia="it-IT"/>
        </w:rPr>
        <w:t xml:space="preserve"> condition showing the highest values. The punishment score was higher in Agent than in PC condition in both unfair conditions.</w:t>
      </w:r>
    </w:p>
    <w:p w14:paraId="7C5A8427" w14:textId="77777777" w:rsidR="00D9185B" w:rsidRPr="0055248C" w:rsidRDefault="00D9185B" w:rsidP="00D9185B">
      <w:pPr>
        <w:rPr>
          <w:sz w:val="18"/>
          <w:szCs w:val="18"/>
          <w:lang w:val="en-US"/>
        </w:rPr>
      </w:pPr>
    </w:p>
    <w:p w14:paraId="2C7C2C89" w14:textId="037FA842" w:rsidR="0041791A" w:rsidRPr="0055248C" w:rsidRDefault="0041791A" w:rsidP="0041791A">
      <w:pPr>
        <w:spacing w:after="160"/>
        <w:jc w:val="center"/>
        <w:rPr>
          <w:rFonts w:ascii="Arial" w:eastAsia="Arial" w:hAnsi="Arial"/>
          <w:i/>
          <w:iCs/>
          <w:sz w:val="18"/>
          <w:szCs w:val="18"/>
          <w:lang w:val="en-US" w:eastAsia="it-IT"/>
        </w:rPr>
      </w:pPr>
    </w:p>
    <w:p w14:paraId="2B625DC6" w14:textId="0BB03CC9" w:rsidR="00D9185B" w:rsidRPr="0055248C" w:rsidRDefault="00032967" w:rsidP="00032967">
      <w:pPr>
        <w:keepNext/>
        <w:keepLines/>
        <w:spacing w:before="40" w:line="300" w:lineRule="auto"/>
        <w:ind w:left="576" w:hanging="576"/>
        <w:jc w:val="both"/>
        <w:outlineLvl w:val="1"/>
        <w:rPr>
          <w:rFonts w:ascii="Arial" w:eastAsia="Arial" w:hAnsi="Arial"/>
          <w:i/>
          <w:iCs/>
          <w:sz w:val="18"/>
          <w:szCs w:val="18"/>
          <w:lang w:val="en-US" w:eastAsia="it-IT"/>
        </w:rPr>
      </w:pPr>
      <w:r w:rsidRPr="0055248C">
        <w:rPr>
          <w:rFonts w:ascii="Arial" w:eastAsia="Arial" w:hAnsi="Arial"/>
          <w:b/>
          <w:sz w:val="24"/>
          <w:szCs w:val="24"/>
          <w:lang w:val="en-US" w:eastAsia="it-IT"/>
        </w:rPr>
        <w:t>List of the ROIs used in the EEG source localization</w:t>
      </w:r>
    </w:p>
    <w:p w14:paraId="32C54FBF" w14:textId="3FAE86D5" w:rsidR="0041791A" w:rsidRPr="0055248C" w:rsidRDefault="0041791A" w:rsidP="00EB4A81">
      <w:pPr>
        <w:spacing w:line="240" w:lineRule="auto"/>
        <w:jc w:val="center"/>
        <w:rPr>
          <w:rFonts w:ascii="Arial" w:eastAsia="Arial" w:hAnsi="Arial"/>
          <w:i/>
          <w:iCs/>
          <w:sz w:val="32"/>
          <w:szCs w:val="28"/>
          <w:lang w:val="en-US" w:eastAsia="it-IT"/>
        </w:rPr>
      </w:pPr>
    </w:p>
    <w:tbl>
      <w:tblPr>
        <w:tblStyle w:val="Grigliatabella"/>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2033"/>
        <w:gridCol w:w="1076"/>
        <w:gridCol w:w="1076"/>
        <w:gridCol w:w="962"/>
        <w:gridCol w:w="116"/>
      </w:tblGrid>
      <w:tr w:rsidR="0055248C" w:rsidRPr="0055248C" w14:paraId="5363DBCB" w14:textId="77777777" w:rsidTr="0070215F">
        <w:trPr>
          <w:gridAfter w:val="1"/>
          <w:wAfter w:w="59" w:type="pct"/>
        </w:trPr>
        <w:tc>
          <w:tcPr>
            <w:tcW w:w="2314" w:type="pct"/>
            <w:vMerge w:val="restart"/>
            <w:tcBorders>
              <w:top w:val="single" w:sz="4" w:space="0" w:color="auto"/>
            </w:tcBorders>
            <w:vAlign w:val="center"/>
          </w:tcPr>
          <w:p w14:paraId="56913345" w14:textId="77777777" w:rsidR="0041791A" w:rsidRPr="0055248C" w:rsidRDefault="0041791A" w:rsidP="0070215F">
            <w:pPr>
              <w:keepNext/>
              <w:keepLines/>
              <w:spacing w:before="40" w:line="300" w:lineRule="auto"/>
              <w:outlineLvl w:val="1"/>
              <w:rPr>
                <w:rFonts w:ascii="Arial" w:hAnsi="Arial"/>
                <w:b/>
                <w:sz w:val="24"/>
                <w:szCs w:val="24"/>
              </w:rPr>
            </w:pPr>
            <w:r w:rsidRPr="0055248C">
              <w:rPr>
                <w:rFonts w:ascii="Arial" w:hAnsi="Arial"/>
                <w:b/>
              </w:rPr>
              <w:t>ROIs name</w:t>
            </w:r>
          </w:p>
        </w:tc>
        <w:tc>
          <w:tcPr>
            <w:tcW w:w="1038" w:type="pct"/>
            <w:vMerge w:val="restart"/>
            <w:tcBorders>
              <w:top w:val="single" w:sz="4" w:space="0" w:color="auto"/>
            </w:tcBorders>
            <w:vAlign w:val="center"/>
          </w:tcPr>
          <w:p w14:paraId="1B68B297" w14:textId="77777777" w:rsidR="0041791A" w:rsidRPr="0055248C" w:rsidRDefault="0041791A" w:rsidP="0070215F">
            <w:pPr>
              <w:keepNext/>
              <w:keepLines/>
              <w:spacing w:before="40" w:line="300" w:lineRule="auto"/>
              <w:outlineLvl w:val="1"/>
              <w:rPr>
                <w:rFonts w:ascii="Arial" w:hAnsi="Arial"/>
                <w:b/>
                <w:sz w:val="24"/>
                <w:szCs w:val="24"/>
              </w:rPr>
            </w:pPr>
            <w:r w:rsidRPr="0055248C">
              <w:rPr>
                <w:rFonts w:ascii="Arial" w:hAnsi="Arial"/>
                <w:b/>
              </w:rPr>
              <w:t>ROIs acronym</w:t>
            </w:r>
          </w:p>
        </w:tc>
        <w:tc>
          <w:tcPr>
            <w:tcW w:w="1589" w:type="pct"/>
            <w:gridSpan w:val="3"/>
            <w:tcBorders>
              <w:top w:val="single" w:sz="4" w:space="0" w:color="auto"/>
              <w:bottom w:val="single" w:sz="4" w:space="0" w:color="auto"/>
            </w:tcBorders>
            <w:vAlign w:val="center"/>
          </w:tcPr>
          <w:p w14:paraId="1A97FA23" w14:textId="77777777" w:rsidR="0041791A" w:rsidRPr="0055248C" w:rsidRDefault="0041791A" w:rsidP="0070215F">
            <w:pPr>
              <w:keepNext/>
              <w:keepLines/>
              <w:spacing w:before="40" w:line="300" w:lineRule="auto"/>
              <w:jc w:val="center"/>
              <w:outlineLvl w:val="1"/>
              <w:rPr>
                <w:rFonts w:ascii="Arial" w:hAnsi="Arial"/>
                <w:b/>
                <w:sz w:val="24"/>
                <w:szCs w:val="24"/>
              </w:rPr>
            </w:pPr>
            <w:r w:rsidRPr="0055248C">
              <w:rPr>
                <w:rFonts w:ascii="Arial" w:hAnsi="Arial"/>
                <w:b/>
              </w:rPr>
              <w:t>MNI coordinates</w:t>
            </w:r>
          </w:p>
        </w:tc>
      </w:tr>
      <w:tr w:rsidR="0055248C" w:rsidRPr="0055248C" w14:paraId="3A3FBB72" w14:textId="77777777" w:rsidTr="0070215F">
        <w:tc>
          <w:tcPr>
            <w:tcW w:w="2314" w:type="pct"/>
            <w:vMerge/>
            <w:tcBorders>
              <w:bottom w:val="single" w:sz="4" w:space="0" w:color="auto"/>
            </w:tcBorders>
          </w:tcPr>
          <w:p w14:paraId="38F3D4BC" w14:textId="77777777" w:rsidR="0041791A" w:rsidRPr="0055248C" w:rsidRDefault="0041791A" w:rsidP="0070215F">
            <w:pPr>
              <w:keepNext/>
              <w:keepLines/>
              <w:spacing w:before="40" w:line="300" w:lineRule="auto"/>
              <w:outlineLvl w:val="1"/>
              <w:rPr>
                <w:rFonts w:ascii="Arial" w:hAnsi="Arial"/>
                <w:b/>
              </w:rPr>
            </w:pPr>
          </w:p>
        </w:tc>
        <w:tc>
          <w:tcPr>
            <w:tcW w:w="1038" w:type="pct"/>
            <w:vMerge/>
            <w:tcBorders>
              <w:bottom w:val="single" w:sz="4" w:space="0" w:color="auto"/>
            </w:tcBorders>
            <w:vAlign w:val="center"/>
          </w:tcPr>
          <w:p w14:paraId="7D350FE7" w14:textId="77777777" w:rsidR="0041791A" w:rsidRPr="0055248C" w:rsidRDefault="0041791A" w:rsidP="0070215F">
            <w:pPr>
              <w:keepNext/>
              <w:keepLines/>
              <w:spacing w:before="40" w:line="300" w:lineRule="auto"/>
              <w:outlineLvl w:val="1"/>
              <w:rPr>
                <w:rFonts w:ascii="Arial" w:hAnsi="Arial"/>
                <w:b/>
              </w:rPr>
            </w:pPr>
          </w:p>
        </w:tc>
        <w:tc>
          <w:tcPr>
            <w:tcW w:w="549" w:type="pct"/>
            <w:tcBorders>
              <w:top w:val="single" w:sz="4" w:space="0" w:color="auto"/>
              <w:bottom w:val="single" w:sz="4" w:space="0" w:color="auto"/>
            </w:tcBorders>
            <w:vAlign w:val="center"/>
          </w:tcPr>
          <w:p w14:paraId="77B0086D" w14:textId="77777777" w:rsidR="0041791A" w:rsidRPr="0055248C" w:rsidRDefault="0041791A" w:rsidP="0070215F">
            <w:pPr>
              <w:keepNext/>
              <w:keepLines/>
              <w:spacing w:before="40" w:line="300" w:lineRule="auto"/>
              <w:jc w:val="center"/>
              <w:outlineLvl w:val="1"/>
              <w:rPr>
                <w:rFonts w:ascii="Arial" w:hAnsi="Arial"/>
                <w:b/>
              </w:rPr>
            </w:pPr>
            <w:r w:rsidRPr="0055248C">
              <w:rPr>
                <w:rFonts w:ascii="Arial" w:hAnsi="Arial"/>
                <w:b/>
              </w:rPr>
              <w:t>x</w:t>
            </w:r>
          </w:p>
        </w:tc>
        <w:tc>
          <w:tcPr>
            <w:tcW w:w="549" w:type="pct"/>
            <w:tcBorders>
              <w:top w:val="single" w:sz="4" w:space="0" w:color="auto"/>
              <w:bottom w:val="single" w:sz="4" w:space="0" w:color="auto"/>
            </w:tcBorders>
            <w:vAlign w:val="center"/>
          </w:tcPr>
          <w:p w14:paraId="37403303" w14:textId="77777777" w:rsidR="0041791A" w:rsidRPr="0055248C" w:rsidRDefault="0041791A" w:rsidP="0070215F">
            <w:pPr>
              <w:keepNext/>
              <w:keepLines/>
              <w:spacing w:before="40" w:line="300" w:lineRule="auto"/>
              <w:jc w:val="center"/>
              <w:outlineLvl w:val="1"/>
              <w:rPr>
                <w:rFonts w:ascii="Arial" w:hAnsi="Arial"/>
                <w:b/>
                <w:sz w:val="24"/>
                <w:szCs w:val="24"/>
              </w:rPr>
            </w:pPr>
            <w:r w:rsidRPr="0055248C">
              <w:rPr>
                <w:rFonts w:ascii="Arial" w:hAnsi="Arial"/>
                <w:b/>
              </w:rPr>
              <w:t>y</w:t>
            </w:r>
          </w:p>
        </w:tc>
        <w:tc>
          <w:tcPr>
            <w:tcW w:w="550" w:type="pct"/>
            <w:gridSpan w:val="2"/>
            <w:tcBorders>
              <w:top w:val="single" w:sz="4" w:space="0" w:color="auto"/>
              <w:bottom w:val="single" w:sz="4" w:space="0" w:color="auto"/>
            </w:tcBorders>
            <w:vAlign w:val="center"/>
          </w:tcPr>
          <w:p w14:paraId="34F1C5D8" w14:textId="77777777" w:rsidR="0041791A" w:rsidRPr="0055248C" w:rsidRDefault="0041791A" w:rsidP="0070215F">
            <w:pPr>
              <w:keepNext/>
              <w:keepLines/>
              <w:spacing w:before="40" w:line="300" w:lineRule="auto"/>
              <w:jc w:val="center"/>
              <w:outlineLvl w:val="1"/>
              <w:rPr>
                <w:rFonts w:ascii="Arial" w:hAnsi="Arial"/>
                <w:b/>
                <w:sz w:val="24"/>
                <w:szCs w:val="24"/>
              </w:rPr>
            </w:pPr>
            <w:r w:rsidRPr="0055248C">
              <w:rPr>
                <w:rFonts w:ascii="Arial" w:hAnsi="Arial"/>
                <w:b/>
              </w:rPr>
              <w:t>z</w:t>
            </w:r>
          </w:p>
        </w:tc>
      </w:tr>
      <w:tr w:rsidR="0055248C" w:rsidRPr="0055248C" w14:paraId="47AA0463" w14:textId="77777777" w:rsidTr="0070215F">
        <w:tc>
          <w:tcPr>
            <w:tcW w:w="2314" w:type="pct"/>
            <w:tcBorders>
              <w:top w:val="single" w:sz="4" w:space="0" w:color="auto"/>
              <w:bottom w:val="single" w:sz="4" w:space="0" w:color="auto"/>
            </w:tcBorders>
            <w:vAlign w:val="center"/>
          </w:tcPr>
          <w:p w14:paraId="3A06E54C"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Temporoparietal Junction</w:t>
            </w:r>
          </w:p>
        </w:tc>
        <w:tc>
          <w:tcPr>
            <w:tcW w:w="1038" w:type="pct"/>
            <w:tcBorders>
              <w:top w:val="single" w:sz="4" w:space="0" w:color="auto"/>
              <w:bottom w:val="single" w:sz="4" w:space="0" w:color="auto"/>
            </w:tcBorders>
            <w:vAlign w:val="center"/>
          </w:tcPr>
          <w:p w14:paraId="35976921"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TPJ</w:t>
            </w:r>
          </w:p>
        </w:tc>
        <w:tc>
          <w:tcPr>
            <w:tcW w:w="549" w:type="pct"/>
            <w:tcBorders>
              <w:top w:val="single" w:sz="4" w:space="0" w:color="auto"/>
              <w:bottom w:val="single" w:sz="4" w:space="0" w:color="auto"/>
            </w:tcBorders>
            <w:vAlign w:val="center"/>
          </w:tcPr>
          <w:p w14:paraId="0CA8ECA3"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56</w:t>
            </w:r>
          </w:p>
        </w:tc>
        <w:tc>
          <w:tcPr>
            <w:tcW w:w="549" w:type="pct"/>
            <w:tcBorders>
              <w:top w:val="single" w:sz="4" w:space="0" w:color="auto"/>
              <w:bottom w:val="single" w:sz="4" w:space="0" w:color="auto"/>
            </w:tcBorders>
            <w:vAlign w:val="center"/>
          </w:tcPr>
          <w:p w14:paraId="478ACDEE"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-58</w:t>
            </w:r>
          </w:p>
        </w:tc>
        <w:tc>
          <w:tcPr>
            <w:tcW w:w="550" w:type="pct"/>
            <w:gridSpan w:val="2"/>
            <w:tcBorders>
              <w:top w:val="single" w:sz="4" w:space="0" w:color="auto"/>
              <w:bottom w:val="single" w:sz="4" w:space="0" w:color="auto"/>
            </w:tcBorders>
            <w:vAlign w:val="center"/>
          </w:tcPr>
          <w:p w14:paraId="330AFD73"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24</w:t>
            </w:r>
          </w:p>
        </w:tc>
      </w:tr>
      <w:tr w:rsidR="0055248C" w:rsidRPr="0055248C" w14:paraId="7FA111A4" w14:textId="77777777" w:rsidTr="0070215F">
        <w:tc>
          <w:tcPr>
            <w:tcW w:w="2314" w:type="pct"/>
            <w:tcBorders>
              <w:top w:val="single" w:sz="4" w:space="0" w:color="auto"/>
              <w:bottom w:val="single" w:sz="4" w:space="0" w:color="auto"/>
            </w:tcBorders>
            <w:vAlign w:val="center"/>
          </w:tcPr>
          <w:p w14:paraId="60771B1C"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Right posterior Superior Temporal Sulcus</w:t>
            </w:r>
          </w:p>
        </w:tc>
        <w:tc>
          <w:tcPr>
            <w:tcW w:w="1038" w:type="pct"/>
            <w:tcBorders>
              <w:top w:val="single" w:sz="4" w:space="0" w:color="auto"/>
              <w:bottom w:val="single" w:sz="4" w:space="0" w:color="auto"/>
            </w:tcBorders>
            <w:vAlign w:val="center"/>
          </w:tcPr>
          <w:p w14:paraId="5457F682" w14:textId="77777777" w:rsidR="0041791A" w:rsidRPr="0055248C" w:rsidRDefault="0041791A" w:rsidP="0070215F">
            <w:pPr>
              <w:keepNext/>
              <w:keepLines/>
              <w:spacing w:before="40" w:line="300" w:lineRule="auto"/>
              <w:outlineLvl w:val="1"/>
              <w:rPr>
                <w:rFonts w:ascii="Arial" w:hAnsi="Arial"/>
                <w:bCs/>
              </w:rPr>
            </w:pPr>
            <w:proofErr w:type="spellStart"/>
            <w:r w:rsidRPr="0055248C">
              <w:rPr>
                <w:rFonts w:ascii="Arial" w:hAnsi="Arial"/>
                <w:bCs/>
              </w:rPr>
              <w:t>pSTS_R</w:t>
            </w:r>
            <w:proofErr w:type="spellEnd"/>
          </w:p>
        </w:tc>
        <w:tc>
          <w:tcPr>
            <w:tcW w:w="549" w:type="pct"/>
            <w:tcBorders>
              <w:top w:val="single" w:sz="4" w:space="0" w:color="auto"/>
              <w:bottom w:val="single" w:sz="4" w:space="0" w:color="auto"/>
            </w:tcBorders>
            <w:vAlign w:val="center"/>
          </w:tcPr>
          <w:p w14:paraId="4D98C44C"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63</w:t>
            </w:r>
          </w:p>
        </w:tc>
        <w:tc>
          <w:tcPr>
            <w:tcW w:w="549" w:type="pct"/>
            <w:tcBorders>
              <w:top w:val="single" w:sz="4" w:space="0" w:color="auto"/>
              <w:bottom w:val="single" w:sz="4" w:space="0" w:color="auto"/>
            </w:tcBorders>
            <w:vAlign w:val="center"/>
          </w:tcPr>
          <w:p w14:paraId="78AF8719"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-48</w:t>
            </w:r>
          </w:p>
        </w:tc>
        <w:tc>
          <w:tcPr>
            <w:tcW w:w="550" w:type="pct"/>
            <w:gridSpan w:val="2"/>
            <w:tcBorders>
              <w:top w:val="single" w:sz="4" w:space="0" w:color="auto"/>
              <w:bottom w:val="single" w:sz="4" w:space="0" w:color="auto"/>
            </w:tcBorders>
            <w:vAlign w:val="center"/>
          </w:tcPr>
          <w:p w14:paraId="00DED514"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12</w:t>
            </w:r>
          </w:p>
        </w:tc>
      </w:tr>
      <w:tr w:rsidR="0055248C" w:rsidRPr="0055248C" w14:paraId="32CDC02C" w14:textId="77777777" w:rsidTr="0070215F">
        <w:tc>
          <w:tcPr>
            <w:tcW w:w="2314" w:type="pct"/>
            <w:tcBorders>
              <w:top w:val="single" w:sz="4" w:space="0" w:color="auto"/>
              <w:bottom w:val="single" w:sz="4" w:space="0" w:color="auto"/>
            </w:tcBorders>
            <w:vAlign w:val="center"/>
          </w:tcPr>
          <w:p w14:paraId="612EB551"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Left posterior Superior Temporal Sulcus</w:t>
            </w:r>
          </w:p>
        </w:tc>
        <w:tc>
          <w:tcPr>
            <w:tcW w:w="1038" w:type="pct"/>
            <w:tcBorders>
              <w:top w:val="single" w:sz="4" w:space="0" w:color="auto"/>
              <w:bottom w:val="single" w:sz="4" w:space="0" w:color="auto"/>
            </w:tcBorders>
            <w:vAlign w:val="center"/>
          </w:tcPr>
          <w:p w14:paraId="57EEC9A7" w14:textId="77777777" w:rsidR="0041791A" w:rsidRPr="0055248C" w:rsidRDefault="0041791A" w:rsidP="0070215F">
            <w:pPr>
              <w:keepNext/>
              <w:keepLines/>
              <w:spacing w:before="40" w:line="300" w:lineRule="auto"/>
              <w:outlineLvl w:val="1"/>
              <w:rPr>
                <w:rFonts w:ascii="Arial" w:hAnsi="Arial"/>
                <w:bCs/>
              </w:rPr>
            </w:pPr>
            <w:proofErr w:type="spellStart"/>
            <w:r w:rsidRPr="0055248C">
              <w:rPr>
                <w:rFonts w:ascii="Arial" w:hAnsi="Arial"/>
                <w:bCs/>
              </w:rPr>
              <w:t>pSTS_L</w:t>
            </w:r>
            <w:proofErr w:type="spellEnd"/>
          </w:p>
        </w:tc>
        <w:tc>
          <w:tcPr>
            <w:tcW w:w="549" w:type="pct"/>
            <w:tcBorders>
              <w:top w:val="single" w:sz="4" w:space="0" w:color="auto"/>
              <w:bottom w:val="single" w:sz="4" w:space="0" w:color="auto"/>
            </w:tcBorders>
            <w:vAlign w:val="center"/>
          </w:tcPr>
          <w:p w14:paraId="7EBAF4B7"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-51</w:t>
            </w:r>
          </w:p>
        </w:tc>
        <w:tc>
          <w:tcPr>
            <w:tcW w:w="549" w:type="pct"/>
            <w:tcBorders>
              <w:top w:val="single" w:sz="4" w:space="0" w:color="auto"/>
              <w:bottom w:val="single" w:sz="4" w:space="0" w:color="auto"/>
            </w:tcBorders>
            <w:vAlign w:val="center"/>
          </w:tcPr>
          <w:p w14:paraId="654B03A5"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-63</w:t>
            </w:r>
          </w:p>
        </w:tc>
        <w:tc>
          <w:tcPr>
            <w:tcW w:w="550" w:type="pct"/>
            <w:gridSpan w:val="2"/>
            <w:tcBorders>
              <w:top w:val="single" w:sz="4" w:space="0" w:color="auto"/>
              <w:bottom w:val="single" w:sz="4" w:space="0" w:color="auto"/>
            </w:tcBorders>
            <w:vAlign w:val="center"/>
          </w:tcPr>
          <w:p w14:paraId="09D7B1D4"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24</w:t>
            </w:r>
          </w:p>
        </w:tc>
      </w:tr>
      <w:tr w:rsidR="0055248C" w:rsidRPr="0055248C" w14:paraId="32166696" w14:textId="77777777" w:rsidTr="0070215F">
        <w:tc>
          <w:tcPr>
            <w:tcW w:w="2314" w:type="pct"/>
            <w:tcBorders>
              <w:top w:val="single" w:sz="4" w:space="0" w:color="auto"/>
              <w:bottom w:val="single" w:sz="4" w:space="0" w:color="auto"/>
            </w:tcBorders>
            <w:vAlign w:val="center"/>
          </w:tcPr>
          <w:p w14:paraId="1A522DA1"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Temporal Pole</w:t>
            </w:r>
          </w:p>
        </w:tc>
        <w:tc>
          <w:tcPr>
            <w:tcW w:w="1038" w:type="pct"/>
            <w:tcBorders>
              <w:top w:val="single" w:sz="4" w:space="0" w:color="auto"/>
              <w:bottom w:val="single" w:sz="4" w:space="0" w:color="auto"/>
            </w:tcBorders>
            <w:vAlign w:val="center"/>
          </w:tcPr>
          <w:p w14:paraId="5DAD4491"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TP</w:t>
            </w:r>
          </w:p>
        </w:tc>
        <w:tc>
          <w:tcPr>
            <w:tcW w:w="549" w:type="pct"/>
            <w:tcBorders>
              <w:top w:val="single" w:sz="4" w:space="0" w:color="auto"/>
              <w:bottom w:val="single" w:sz="4" w:space="0" w:color="auto"/>
            </w:tcBorders>
            <w:vAlign w:val="center"/>
          </w:tcPr>
          <w:p w14:paraId="5B2C48AA"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50</w:t>
            </w:r>
          </w:p>
        </w:tc>
        <w:tc>
          <w:tcPr>
            <w:tcW w:w="549" w:type="pct"/>
            <w:tcBorders>
              <w:top w:val="single" w:sz="4" w:space="0" w:color="auto"/>
              <w:bottom w:val="single" w:sz="4" w:space="0" w:color="auto"/>
            </w:tcBorders>
            <w:vAlign w:val="center"/>
          </w:tcPr>
          <w:p w14:paraId="4CEC815E"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10</w:t>
            </w:r>
          </w:p>
        </w:tc>
        <w:tc>
          <w:tcPr>
            <w:tcW w:w="550" w:type="pct"/>
            <w:gridSpan w:val="2"/>
            <w:tcBorders>
              <w:top w:val="single" w:sz="4" w:space="0" w:color="auto"/>
              <w:bottom w:val="single" w:sz="4" w:space="0" w:color="auto"/>
            </w:tcBorders>
            <w:vAlign w:val="center"/>
          </w:tcPr>
          <w:p w14:paraId="282BC44C"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-4</w:t>
            </w:r>
          </w:p>
        </w:tc>
      </w:tr>
      <w:tr w:rsidR="0055248C" w:rsidRPr="0055248C" w14:paraId="2A2FB628" w14:textId="77777777" w:rsidTr="0070215F">
        <w:tc>
          <w:tcPr>
            <w:tcW w:w="2314" w:type="pct"/>
            <w:tcBorders>
              <w:top w:val="single" w:sz="4" w:space="0" w:color="auto"/>
              <w:bottom w:val="single" w:sz="4" w:space="0" w:color="auto"/>
            </w:tcBorders>
            <w:vAlign w:val="center"/>
          </w:tcPr>
          <w:p w14:paraId="206A4D34" w14:textId="77777777" w:rsidR="0041791A" w:rsidRPr="0055248C" w:rsidRDefault="0041791A" w:rsidP="0070215F">
            <w:pPr>
              <w:keepNext/>
              <w:keepLines/>
              <w:spacing w:before="40" w:line="300" w:lineRule="auto"/>
              <w:outlineLvl w:val="1"/>
              <w:rPr>
                <w:rFonts w:ascii="Arial" w:hAnsi="Arial"/>
                <w:bCs/>
              </w:rPr>
            </w:pPr>
            <w:proofErr w:type="spellStart"/>
            <w:r w:rsidRPr="0055248C">
              <w:rPr>
                <w:rFonts w:ascii="Arial" w:hAnsi="Arial"/>
                <w:bCs/>
              </w:rPr>
              <w:t>Precuneo</w:t>
            </w:r>
            <w:proofErr w:type="spellEnd"/>
            <w:r w:rsidRPr="0055248C">
              <w:rPr>
                <w:rFonts w:ascii="Arial" w:hAnsi="Arial"/>
                <w:bCs/>
              </w:rPr>
              <w:t xml:space="preserve"> </w:t>
            </w:r>
          </w:p>
        </w:tc>
        <w:tc>
          <w:tcPr>
            <w:tcW w:w="1038" w:type="pct"/>
            <w:tcBorders>
              <w:top w:val="single" w:sz="4" w:space="0" w:color="auto"/>
              <w:bottom w:val="single" w:sz="4" w:space="0" w:color="auto"/>
            </w:tcBorders>
            <w:vAlign w:val="center"/>
          </w:tcPr>
          <w:p w14:paraId="29208D06" w14:textId="77777777" w:rsidR="0041791A" w:rsidRPr="0055248C" w:rsidRDefault="0041791A" w:rsidP="0070215F">
            <w:pPr>
              <w:keepNext/>
              <w:keepLines/>
              <w:spacing w:before="40" w:line="300" w:lineRule="auto"/>
              <w:outlineLvl w:val="1"/>
              <w:rPr>
                <w:rFonts w:ascii="Arial" w:hAnsi="Arial"/>
                <w:bCs/>
              </w:rPr>
            </w:pPr>
            <w:proofErr w:type="spellStart"/>
            <w:r w:rsidRPr="0055248C">
              <w:rPr>
                <w:rFonts w:ascii="Arial" w:hAnsi="Arial"/>
                <w:bCs/>
              </w:rPr>
              <w:t>Prec</w:t>
            </w:r>
            <w:proofErr w:type="spellEnd"/>
          </w:p>
        </w:tc>
        <w:tc>
          <w:tcPr>
            <w:tcW w:w="549" w:type="pct"/>
            <w:tcBorders>
              <w:top w:val="single" w:sz="4" w:space="0" w:color="auto"/>
              <w:bottom w:val="single" w:sz="4" w:space="0" w:color="auto"/>
            </w:tcBorders>
            <w:vAlign w:val="center"/>
          </w:tcPr>
          <w:p w14:paraId="60CEDD72"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12</w:t>
            </w:r>
          </w:p>
        </w:tc>
        <w:tc>
          <w:tcPr>
            <w:tcW w:w="549" w:type="pct"/>
            <w:tcBorders>
              <w:top w:val="single" w:sz="4" w:space="0" w:color="auto"/>
              <w:bottom w:val="single" w:sz="4" w:space="0" w:color="auto"/>
            </w:tcBorders>
            <w:vAlign w:val="center"/>
          </w:tcPr>
          <w:p w14:paraId="7B123614"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-44</w:t>
            </w:r>
          </w:p>
        </w:tc>
        <w:tc>
          <w:tcPr>
            <w:tcW w:w="550" w:type="pct"/>
            <w:gridSpan w:val="2"/>
            <w:tcBorders>
              <w:top w:val="single" w:sz="4" w:space="0" w:color="auto"/>
              <w:bottom w:val="single" w:sz="4" w:space="0" w:color="auto"/>
            </w:tcBorders>
            <w:vAlign w:val="center"/>
          </w:tcPr>
          <w:p w14:paraId="04B18B0A"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6</w:t>
            </w:r>
          </w:p>
        </w:tc>
      </w:tr>
      <w:tr w:rsidR="0055248C" w:rsidRPr="0055248C" w14:paraId="5A1EB552" w14:textId="77777777" w:rsidTr="0070215F">
        <w:tc>
          <w:tcPr>
            <w:tcW w:w="2314" w:type="pct"/>
            <w:tcBorders>
              <w:top w:val="single" w:sz="4" w:space="0" w:color="auto"/>
              <w:bottom w:val="single" w:sz="4" w:space="0" w:color="auto"/>
            </w:tcBorders>
            <w:vAlign w:val="center"/>
          </w:tcPr>
          <w:p w14:paraId="036BE6DD"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medial Prefrontal Cortex</w:t>
            </w:r>
          </w:p>
        </w:tc>
        <w:tc>
          <w:tcPr>
            <w:tcW w:w="1038" w:type="pct"/>
            <w:tcBorders>
              <w:top w:val="single" w:sz="4" w:space="0" w:color="auto"/>
              <w:bottom w:val="single" w:sz="4" w:space="0" w:color="auto"/>
            </w:tcBorders>
            <w:vAlign w:val="center"/>
          </w:tcPr>
          <w:p w14:paraId="5D8466F4" w14:textId="77777777" w:rsidR="0041791A" w:rsidRPr="0055248C" w:rsidRDefault="0041791A" w:rsidP="0070215F">
            <w:pPr>
              <w:keepNext/>
              <w:keepLines/>
              <w:spacing w:before="40" w:line="300" w:lineRule="auto"/>
              <w:outlineLvl w:val="1"/>
              <w:rPr>
                <w:rFonts w:ascii="Arial" w:hAnsi="Arial"/>
                <w:bCs/>
              </w:rPr>
            </w:pPr>
            <w:proofErr w:type="spellStart"/>
            <w:r w:rsidRPr="0055248C">
              <w:rPr>
                <w:rFonts w:ascii="Arial" w:hAnsi="Arial"/>
                <w:bCs/>
              </w:rPr>
              <w:t>mPFC</w:t>
            </w:r>
            <w:proofErr w:type="spellEnd"/>
          </w:p>
        </w:tc>
        <w:tc>
          <w:tcPr>
            <w:tcW w:w="549" w:type="pct"/>
            <w:tcBorders>
              <w:top w:val="single" w:sz="4" w:space="0" w:color="auto"/>
              <w:bottom w:val="single" w:sz="4" w:space="0" w:color="auto"/>
            </w:tcBorders>
            <w:vAlign w:val="center"/>
          </w:tcPr>
          <w:p w14:paraId="3B6E8119"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-12</w:t>
            </w:r>
          </w:p>
        </w:tc>
        <w:tc>
          <w:tcPr>
            <w:tcW w:w="549" w:type="pct"/>
            <w:tcBorders>
              <w:top w:val="single" w:sz="4" w:space="0" w:color="auto"/>
              <w:bottom w:val="single" w:sz="4" w:space="0" w:color="auto"/>
            </w:tcBorders>
            <w:vAlign w:val="center"/>
          </w:tcPr>
          <w:p w14:paraId="195B697C"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55</w:t>
            </w:r>
          </w:p>
        </w:tc>
        <w:tc>
          <w:tcPr>
            <w:tcW w:w="550" w:type="pct"/>
            <w:gridSpan w:val="2"/>
            <w:tcBorders>
              <w:top w:val="single" w:sz="4" w:space="0" w:color="auto"/>
              <w:bottom w:val="single" w:sz="4" w:space="0" w:color="auto"/>
            </w:tcBorders>
            <w:vAlign w:val="center"/>
          </w:tcPr>
          <w:p w14:paraId="62EA85DF"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9</w:t>
            </w:r>
          </w:p>
        </w:tc>
      </w:tr>
      <w:tr w:rsidR="0055248C" w:rsidRPr="0055248C" w14:paraId="52DE0B8E" w14:textId="77777777" w:rsidTr="0070215F">
        <w:tc>
          <w:tcPr>
            <w:tcW w:w="2314" w:type="pct"/>
            <w:tcBorders>
              <w:top w:val="single" w:sz="4" w:space="0" w:color="auto"/>
              <w:bottom w:val="single" w:sz="4" w:space="0" w:color="auto"/>
            </w:tcBorders>
            <w:vAlign w:val="center"/>
          </w:tcPr>
          <w:p w14:paraId="671EE78C" w14:textId="77777777" w:rsidR="0041791A" w:rsidRPr="0055248C" w:rsidRDefault="0041791A" w:rsidP="0070215F">
            <w:pPr>
              <w:keepNext/>
              <w:keepLines/>
              <w:spacing w:before="40" w:line="300" w:lineRule="auto"/>
              <w:outlineLvl w:val="1"/>
              <w:rPr>
                <w:rFonts w:ascii="Arial" w:hAnsi="Arial"/>
                <w:bCs/>
              </w:rPr>
            </w:pPr>
            <w:proofErr w:type="spellStart"/>
            <w:r w:rsidRPr="0055248C">
              <w:rPr>
                <w:rFonts w:ascii="Arial" w:hAnsi="Arial"/>
                <w:bCs/>
              </w:rPr>
              <w:t>subgenual</w:t>
            </w:r>
            <w:proofErr w:type="spellEnd"/>
            <w:r w:rsidRPr="0055248C">
              <w:rPr>
                <w:rFonts w:ascii="Arial" w:hAnsi="Arial"/>
                <w:bCs/>
              </w:rPr>
              <w:t xml:space="preserve"> Anterior Cingulate Cortex</w:t>
            </w:r>
          </w:p>
        </w:tc>
        <w:tc>
          <w:tcPr>
            <w:tcW w:w="1038" w:type="pct"/>
            <w:tcBorders>
              <w:top w:val="single" w:sz="4" w:space="0" w:color="auto"/>
              <w:bottom w:val="single" w:sz="4" w:space="0" w:color="auto"/>
            </w:tcBorders>
            <w:vAlign w:val="center"/>
          </w:tcPr>
          <w:p w14:paraId="27A5E11E" w14:textId="77777777" w:rsidR="0041791A" w:rsidRPr="0055248C" w:rsidRDefault="0041791A" w:rsidP="0070215F">
            <w:pPr>
              <w:keepNext/>
              <w:keepLines/>
              <w:spacing w:before="40" w:line="300" w:lineRule="auto"/>
              <w:outlineLvl w:val="1"/>
              <w:rPr>
                <w:rFonts w:ascii="Arial" w:hAnsi="Arial"/>
                <w:bCs/>
              </w:rPr>
            </w:pPr>
            <w:proofErr w:type="spellStart"/>
            <w:r w:rsidRPr="0055248C">
              <w:rPr>
                <w:rFonts w:ascii="Arial" w:hAnsi="Arial"/>
                <w:bCs/>
              </w:rPr>
              <w:t>sgACC</w:t>
            </w:r>
            <w:proofErr w:type="spellEnd"/>
          </w:p>
        </w:tc>
        <w:tc>
          <w:tcPr>
            <w:tcW w:w="549" w:type="pct"/>
            <w:tcBorders>
              <w:top w:val="single" w:sz="4" w:space="0" w:color="auto"/>
              <w:bottom w:val="single" w:sz="4" w:space="0" w:color="auto"/>
            </w:tcBorders>
            <w:vAlign w:val="center"/>
          </w:tcPr>
          <w:p w14:paraId="21BA0E06"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4</w:t>
            </w:r>
          </w:p>
        </w:tc>
        <w:tc>
          <w:tcPr>
            <w:tcW w:w="549" w:type="pct"/>
            <w:tcBorders>
              <w:top w:val="single" w:sz="4" w:space="0" w:color="auto"/>
              <w:bottom w:val="single" w:sz="4" w:space="0" w:color="auto"/>
            </w:tcBorders>
            <w:vAlign w:val="center"/>
          </w:tcPr>
          <w:p w14:paraId="79B8B2A6"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32</w:t>
            </w:r>
          </w:p>
        </w:tc>
        <w:tc>
          <w:tcPr>
            <w:tcW w:w="550" w:type="pct"/>
            <w:gridSpan w:val="2"/>
            <w:tcBorders>
              <w:top w:val="single" w:sz="4" w:space="0" w:color="auto"/>
              <w:bottom w:val="single" w:sz="4" w:space="0" w:color="auto"/>
            </w:tcBorders>
            <w:vAlign w:val="center"/>
          </w:tcPr>
          <w:p w14:paraId="3DAA8C88"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-8</w:t>
            </w:r>
          </w:p>
        </w:tc>
      </w:tr>
      <w:tr w:rsidR="0055248C" w:rsidRPr="0055248C" w14:paraId="7D7C654D" w14:textId="77777777" w:rsidTr="0070215F">
        <w:tc>
          <w:tcPr>
            <w:tcW w:w="2314" w:type="pct"/>
            <w:tcBorders>
              <w:top w:val="single" w:sz="4" w:space="0" w:color="auto"/>
              <w:bottom w:val="single" w:sz="4" w:space="0" w:color="auto"/>
            </w:tcBorders>
            <w:vAlign w:val="center"/>
          </w:tcPr>
          <w:p w14:paraId="2B6E31BC"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Supramarginal Gyrus</w:t>
            </w:r>
          </w:p>
        </w:tc>
        <w:tc>
          <w:tcPr>
            <w:tcW w:w="1038" w:type="pct"/>
            <w:tcBorders>
              <w:top w:val="single" w:sz="4" w:space="0" w:color="auto"/>
              <w:bottom w:val="single" w:sz="4" w:space="0" w:color="auto"/>
            </w:tcBorders>
            <w:vAlign w:val="center"/>
          </w:tcPr>
          <w:p w14:paraId="3D76C965"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SMG</w:t>
            </w:r>
          </w:p>
        </w:tc>
        <w:tc>
          <w:tcPr>
            <w:tcW w:w="549" w:type="pct"/>
            <w:tcBorders>
              <w:top w:val="single" w:sz="4" w:space="0" w:color="auto"/>
              <w:bottom w:val="single" w:sz="4" w:space="0" w:color="auto"/>
            </w:tcBorders>
            <w:vAlign w:val="center"/>
          </w:tcPr>
          <w:p w14:paraId="11190834"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48</w:t>
            </w:r>
          </w:p>
        </w:tc>
        <w:tc>
          <w:tcPr>
            <w:tcW w:w="549" w:type="pct"/>
            <w:tcBorders>
              <w:top w:val="single" w:sz="4" w:space="0" w:color="auto"/>
              <w:bottom w:val="single" w:sz="4" w:space="0" w:color="auto"/>
            </w:tcBorders>
            <w:vAlign w:val="center"/>
          </w:tcPr>
          <w:p w14:paraId="085C6492"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-44</w:t>
            </w:r>
          </w:p>
        </w:tc>
        <w:tc>
          <w:tcPr>
            <w:tcW w:w="550" w:type="pct"/>
            <w:gridSpan w:val="2"/>
            <w:tcBorders>
              <w:top w:val="single" w:sz="4" w:space="0" w:color="auto"/>
              <w:bottom w:val="single" w:sz="4" w:space="0" w:color="auto"/>
            </w:tcBorders>
            <w:vAlign w:val="center"/>
          </w:tcPr>
          <w:p w14:paraId="5B8AF8EC"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29</w:t>
            </w:r>
          </w:p>
        </w:tc>
      </w:tr>
      <w:tr w:rsidR="0055248C" w:rsidRPr="0055248C" w14:paraId="567EEA64" w14:textId="77777777" w:rsidTr="0070215F">
        <w:tc>
          <w:tcPr>
            <w:tcW w:w="2314" w:type="pct"/>
            <w:tcBorders>
              <w:top w:val="single" w:sz="4" w:space="0" w:color="auto"/>
              <w:bottom w:val="single" w:sz="4" w:space="0" w:color="auto"/>
            </w:tcBorders>
            <w:vAlign w:val="center"/>
          </w:tcPr>
          <w:p w14:paraId="28472692"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Right Dorsolateral Prefrontal Cortex</w:t>
            </w:r>
          </w:p>
        </w:tc>
        <w:tc>
          <w:tcPr>
            <w:tcW w:w="1038" w:type="pct"/>
            <w:tcBorders>
              <w:top w:val="single" w:sz="4" w:space="0" w:color="auto"/>
              <w:bottom w:val="single" w:sz="4" w:space="0" w:color="auto"/>
            </w:tcBorders>
            <w:vAlign w:val="center"/>
          </w:tcPr>
          <w:p w14:paraId="4C9F8295"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DLPFC_R</w:t>
            </w:r>
          </w:p>
        </w:tc>
        <w:tc>
          <w:tcPr>
            <w:tcW w:w="549" w:type="pct"/>
            <w:tcBorders>
              <w:top w:val="single" w:sz="4" w:space="0" w:color="auto"/>
              <w:bottom w:val="single" w:sz="4" w:space="0" w:color="auto"/>
            </w:tcBorders>
            <w:vAlign w:val="center"/>
          </w:tcPr>
          <w:p w14:paraId="1E617C47"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42</w:t>
            </w:r>
          </w:p>
        </w:tc>
        <w:tc>
          <w:tcPr>
            <w:tcW w:w="549" w:type="pct"/>
            <w:tcBorders>
              <w:top w:val="single" w:sz="4" w:space="0" w:color="auto"/>
              <w:bottom w:val="single" w:sz="4" w:space="0" w:color="auto"/>
            </w:tcBorders>
            <w:vAlign w:val="center"/>
          </w:tcPr>
          <w:p w14:paraId="1CE963B9"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39</w:t>
            </w:r>
          </w:p>
        </w:tc>
        <w:tc>
          <w:tcPr>
            <w:tcW w:w="550" w:type="pct"/>
            <w:gridSpan w:val="2"/>
            <w:tcBorders>
              <w:top w:val="single" w:sz="4" w:space="0" w:color="auto"/>
              <w:bottom w:val="single" w:sz="4" w:space="0" w:color="auto"/>
            </w:tcBorders>
            <w:vAlign w:val="center"/>
          </w:tcPr>
          <w:p w14:paraId="40A35EF6"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24</w:t>
            </w:r>
          </w:p>
        </w:tc>
      </w:tr>
      <w:tr w:rsidR="0055248C" w:rsidRPr="0055248C" w14:paraId="78BECD9A" w14:textId="77777777" w:rsidTr="0070215F">
        <w:tc>
          <w:tcPr>
            <w:tcW w:w="2314" w:type="pct"/>
            <w:tcBorders>
              <w:top w:val="single" w:sz="4" w:space="0" w:color="auto"/>
              <w:bottom w:val="single" w:sz="4" w:space="0" w:color="auto"/>
            </w:tcBorders>
            <w:vAlign w:val="center"/>
          </w:tcPr>
          <w:p w14:paraId="5DF2F52A"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Left Dorsolateral Prefrontal Cortex</w:t>
            </w:r>
          </w:p>
        </w:tc>
        <w:tc>
          <w:tcPr>
            <w:tcW w:w="1038" w:type="pct"/>
            <w:tcBorders>
              <w:top w:val="single" w:sz="4" w:space="0" w:color="auto"/>
              <w:bottom w:val="single" w:sz="4" w:space="0" w:color="auto"/>
            </w:tcBorders>
            <w:vAlign w:val="center"/>
          </w:tcPr>
          <w:p w14:paraId="4CB4293E"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DLPFC_L</w:t>
            </w:r>
          </w:p>
        </w:tc>
        <w:tc>
          <w:tcPr>
            <w:tcW w:w="549" w:type="pct"/>
            <w:tcBorders>
              <w:top w:val="single" w:sz="4" w:space="0" w:color="auto"/>
              <w:bottom w:val="single" w:sz="4" w:space="0" w:color="auto"/>
            </w:tcBorders>
            <w:vAlign w:val="center"/>
          </w:tcPr>
          <w:p w14:paraId="369F1953"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-51</w:t>
            </w:r>
          </w:p>
        </w:tc>
        <w:tc>
          <w:tcPr>
            <w:tcW w:w="549" w:type="pct"/>
            <w:tcBorders>
              <w:top w:val="single" w:sz="4" w:space="0" w:color="auto"/>
              <w:bottom w:val="single" w:sz="4" w:space="0" w:color="auto"/>
            </w:tcBorders>
            <w:vAlign w:val="center"/>
          </w:tcPr>
          <w:p w14:paraId="109B4AEA"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39</w:t>
            </w:r>
          </w:p>
        </w:tc>
        <w:tc>
          <w:tcPr>
            <w:tcW w:w="550" w:type="pct"/>
            <w:gridSpan w:val="2"/>
            <w:tcBorders>
              <w:top w:val="single" w:sz="4" w:space="0" w:color="auto"/>
              <w:bottom w:val="single" w:sz="4" w:space="0" w:color="auto"/>
            </w:tcBorders>
            <w:vAlign w:val="center"/>
          </w:tcPr>
          <w:p w14:paraId="3095AA9B"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24</w:t>
            </w:r>
          </w:p>
        </w:tc>
      </w:tr>
      <w:tr w:rsidR="0055248C" w:rsidRPr="0055248C" w14:paraId="1B821448" w14:textId="77777777" w:rsidTr="0070215F">
        <w:tc>
          <w:tcPr>
            <w:tcW w:w="2314" w:type="pct"/>
            <w:tcBorders>
              <w:top w:val="single" w:sz="4" w:space="0" w:color="auto"/>
              <w:bottom w:val="single" w:sz="4" w:space="0" w:color="auto"/>
            </w:tcBorders>
            <w:vAlign w:val="center"/>
          </w:tcPr>
          <w:p w14:paraId="4AE29038" w14:textId="77777777" w:rsidR="0041791A" w:rsidRPr="0055248C" w:rsidRDefault="0041791A" w:rsidP="0070215F">
            <w:pPr>
              <w:keepNext/>
              <w:keepLines/>
              <w:spacing w:before="40" w:line="300" w:lineRule="auto"/>
              <w:outlineLvl w:val="1"/>
              <w:rPr>
                <w:rFonts w:ascii="Arial" w:hAnsi="Arial"/>
                <w:bCs/>
              </w:rPr>
            </w:pPr>
            <w:r w:rsidRPr="0055248C">
              <w:rPr>
                <w:rFonts w:ascii="Arial" w:hAnsi="Arial"/>
                <w:bCs/>
              </w:rPr>
              <w:t>anterior Middle Cingulate Cortex</w:t>
            </w:r>
          </w:p>
        </w:tc>
        <w:tc>
          <w:tcPr>
            <w:tcW w:w="1038" w:type="pct"/>
            <w:tcBorders>
              <w:top w:val="single" w:sz="4" w:space="0" w:color="auto"/>
              <w:bottom w:val="single" w:sz="4" w:space="0" w:color="auto"/>
            </w:tcBorders>
            <w:vAlign w:val="center"/>
          </w:tcPr>
          <w:p w14:paraId="70C3972C" w14:textId="77777777" w:rsidR="0041791A" w:rsidRPr="0055248C" w:rsidRDefault="0041791A" w:rsidP="0070215F">
            <w:pPr>
              <w:keepNext/>
              <w:keepLines/>
              <w:spacing w:before="40" w:line="300" w:lineRule="auto"/>
              <w:outlineLvl w:val="1"/>
              <w:rPr>
                <w:rFonts w:ascii="Arial" w:hAnsi="Arial"/>
                <w:bCs/>
              </w:rPr>
            </w:pPr>
            <w:proofErr w:type="spellStart"/>
            <w:r w:rsidRPr="0055248C">
              <w:rPr>
                <w:rFonts w:ascii="Arial" w:hAnsi="Arial"/>
                <w:bCs/>
              </w:rPr>
              <w:t>aMCC</w:t>
            </w:r>
            <w:proofErr w:type="spellEnd"/>
          </w:p>
        </w:tc>
        <w:tc>
          <w:tcPr>
            <w:tcW w:w="549" w:type="pct"/>
            <w:tcBorders>
              <w:top w:val="single" w:sz="4" w:space="0" w:color="auto"/>
              <w:bottom w:val="single" w:sz="4" w:space="0" w:color="auto"/>
            </w:tcBorders>
            <w:vAlign w:val="center"/>
          </w:tcPr>
          <w:p w14:paraId="1A8B633B"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6</w:t>
            </w:r>
          </w:p>
        </w:tc>
        <w:tc>
          <w:tcPr>
            <w:tcW w:w="549" w:type="pct"/>
            <w:tcBorders>
              <w:top w:val="single" w:sz="4" w:space="0" w:color="auto"/>
              <w:bottom w:val="single" w:sz="4" w:space="0" w:color="auto"/>
            </w:tcBorders>
            <w:vAlign w:val="center"/>
          </w:tcPr>
          <w:p w14:paraId="706A85CE"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18</w:t>
            </w:r>
          </w:p>
        </w:tc>
        <w:tc>
          <w:tcPr>
            <w:tcW w:w="550" w:type="pct"/>
            <w:gridSpan w:val="2"/>
            <w:tcBorders>
              <w:top w:val="single" w:sz="4" w:space="0" w:color="auto"/>
              <w:bottom w:val="single" w:sz="4" w:space="0" w:color="auto"/>
            </w:tcBorders>
            <w:vAlign w:val="center"/>
          </w:tcPr>
          <w:p w14:paraId="419C1297" w14:textId="77777777" w:rsidR="0041791A" w:rsidRPr="0055248C" w:rsidRDefault="0041791A" w:rsidP="0070215F">
            <w:pPr>
              <w:keepNext/>
              <w:keepLines/>
              <w:spacing w:before="40" w:line="300" w:lineRule="auto"/>
              <w:jc w:val="center"/>
              <w:outlineLvl w:val="1"/>
              <w:rPr>
                <w:rFonts w:ascii="Arial" w:hAnsi="Arial"/>
                <w:bCs/>
              </w:rPr>
            </w:pPr>
            <w:r w:rsidRPr="0055248C">
              <w:rPr>
                <w:rFonts w:ascii="Arial" w:hAnsi="Arial"/>
                <w:bCs/>
              </w:rPr>
              <w:t>30</w:t>
            </w:r>
          </w:p>
        </w:tc>
      </w:tr>
    </w:tbl>
    <w:p w14:paraId="6850D76F" w14:textId="27424CB9" w:rsidR="0041791A" w:rsidRPr="0055248C" w:rsidRDefault="00EB4A81" w:rsidP="00EB4A81">
      <w:pPr>
        <w:keepNext/>
        <w:keepLines/>
        <w:spacing w:before="40" w:line="300" w:lineRule="auto"/>
        <w:ind w:left="576" w:hanging="576"/>
        <w:jc w:val="center"/>
        <w:outlineLvl w:val="1"/>
        <w:rPr>
          <w:rFonts w:ascii="Arial" w:eastAsia="Arial" w:hAnsi="Arial"/>
          <w:b/>
          <w:sz w:val="24"/>
          <w:szCs w:val="24"/>
          <w:lang w:val="en-US" w:eastAsia="it-IT"/>
        </w:rPr>
      </w:pPr>
      <w:r w:rsidRPr="0055248C">
        <w:rPr>
          <w:rFonts w:ascii="Arial" w:eastAsia="Arial" w:hAnsi="Arial"/>
          <w:i/>
          <w:iCs/>
          <w:lang w:val="en-US" w:eastAsia="it-IT"/>
        </w:rPr>
        <w:t>Table S2. Names, acronyms and MNI coordinates of the ROIs used in this work. We specifically selected those related to positive and negative vicarious experience following</w:t>
      </w:r>
      <w:r w:rsidRPr="0055248C">
        <w:rPr>
          <w:rFonts w:ascii="Arial" w:eastAsia="Arial" w:hAnsi="Arial"/>
          <w:i/>
          <w:iCs/>
          <w:lang w:val="en-US" w:eastAsia="it-IT"/>
        </w:rPr>
        <w:fldChar w:fldCharType="begin"/>
      </w:r>
      <w:r w:rsidRPr="0055248C">
        <w:rPr>
          <w:rFonts w:ascii="Arial" w:eastAsia="Arial" w:hAnsi="Arial"/>
          <w:i/>
          <w:iCs/>
          <w:lang w:val="en-US" w:eastAsia="it-IT"/>
        </w:rPr>
        <w:instrText xml:space="preserve"> ADDIN ZOTERO_ITEM CSL_CITATION {"citationID":"0ty9kBqS","properties":{"formattedCitation":"\\super 1,2\\nosupersub{}","plainCitation":"1,2","noteIndex":0},"citationItems":[{"id":2792,"uris":["http://zotero.org/groups/435166/items/963KJVP5"],"itemData":{"id":2792,"type":"article-journal","abstract":"Empathy, compassion and Theory of Mind (ToM) are central topics in social psychology and neuroscience. While empathy enables the sharing of others’ emotions and may result in empathic distress, a maladaptive form of empathic resonance, or compassion, a feeling of warmth and concern for others, ToM provides cognitive understanding of someone else's thoughts or intentions. These socio-affective and socio-cognitive routes to understanding others are subserved by separable, independent brain networks. Nonetheless they are jointly required in many complex social situations. A process that is critical for both, empathy and ToM, is self-other distinction, which is implemented in different temporoparietal brain regions. Thus, adaptive social behavior is a result of dynamic interplay of socio-affective and socio-cognitive processes.","collection-title":"Emotion-cognition interactions","container-title":"Current Opinion in Behavioral Sciences","DOI":"10.1016/j.cobeha.2017.07.010","ISSN":"2352-1546","journalAbbreviation":"Current Opinion in Behavioral Sciences","language":"en","page":"1-6","source":"ScienceDirect","title":"On the interaction of social affect and cognition: empathy, compassion and theory of mind","title-short":"On the interaction of social affect and cognition","volume":"19","author":[{"family":"Preckel","given":"Katrin"},{"family":"Kanske","given":"Philipp"},{"family":"Singer","given":"Tania"}],"issued":{"date-parts":[["2018",2,1]]}},"label":"page"},{"id":2848,"uris":["http://zotero.org/groups/435166/items/MGIXVP6T"],"itemData":{"id":2848,"type":"article-journal","abstract":"Individuals experience reward not only when directly receiving positive outcomes (e.g., food or money), but also when observing others receive such outcomes. This latter phenomenon, known as vicarious reward, is a perennial topic of interest among psychologists and economists. More recently, neuroscientists have begun exploring the neuroanatomy underlying vicarious reward. Here we present a quantitative whole-brain meta-analysis of this emerging literature. We identified 25 functional neuroimaging studies that included contrasts between vicarious reward and a neutral control, and subjected these contrasts to an activation likelihood estimate (ALE) meta-analysis. This analysis revealed a consistent pattern of activation across studies, spanning structures typically associated with the computation of value (especially ventromedial prefrontal cortex) and mentalizing (including dorsomedial prefrontal cortex and superior temporal sulcus). We further quantitatively compared this activation pattern to activation foci from a previous meta-analysis of personal reward. Conjunction analyses yielded overlapping VMPFC activity in response to personal and vicarious reward. Contrast analyses identified preferential engagement of the nucleus accumbens in response to personal as compared to vicarious reward, and in mentalizing-related structures in response to vicarious as compared to personal reward. These data shed light on the common and unique components of the reward that individuals experience directly and through their social connections.","container-title":"NeuroImage","DOI":"10.1016/j.neuroimage.2014.12.056","ISSN":"1095-9572","journalAbbreviation":"Neuroimage","language":"eng","note":"PMID: 25554428\nPMCID: PMC4408229","page":"244-253","source":"PubMed","title":"Common and distinct neural correlates of personal and vicarious reward: A quantitative meta-analysis","title-short":"Common and distinct neural correlates of personal and vicarious reward","volume":"112","author":[{"family":"Morelli","given":"Sylvia A."},{"family":"Sacchet","given":"Matthew D."},{"family":"Zaki","given":"Jamil"}],"issued":{"date-parts":[["2015",5,15]]}},"label":"page"}],"schema":"https://github.com/citation-style-language/schema/raw/master/csl-citation.json"} </w:instrText>
      </w:r>
      <w:r w:rsidRPr="0055248C">
        <w:rPr>
          <w:rFonts w:ascii="Arial" w:eastAsia="Arial" w:hAnsi="Arial"/>
          <w:i/>
          <w:iCs/>
          <w:lang w:val="en-US" w:eastAsia="it-IT"/>
        </w:rPr>
        <w:fldChar w:fldCharType="separate"/>
      </w:r>
      <w:r w:rsidRPr="0055248C">
        <w:rPr>
          <w:rFonts w:ascii="Arial" w:hAnsi="Arial"/>
          <w:szCs w:val="28"/>
          <w:vertAlign w:val="superscript"/>
          <w:lang w:val="en-US"/>
        </w:rPr>
        <w:t>1,2</w:t>
      </w:r>
      <w:r w:rsidRPr="0055248C">
        <w:rPr>
          <w:rFonts w:ascii="Arial" w:eastAsia="Arial" w:hAnsi="Arial"/>
          <w:i/>
          <w:iCs/>
          <w:lang w:val="en-US" w:eastAsia="it-IT"/>
        </w:rPr>
        <w:fldChar w:fldCharType="end"/>
      </w:r>
      <w:r w:rsidRPr="0055248C">
        <w:rPr>
          <w:rFonts w:ascii="Arial" w:eastAsia="Arial" w:hAnsi="Arial"/>
          <w:i/>
          <w:iCs/>
          <w:lang w:val="en-US" w:eastAsia="it-IT"/>
        </w:rPr>
        <w:t>.</w:t>
      </w:r>
    </w:p>
    <w:bookmarkEnd w:id="0"/>
    <w:p w14:paraId="73387541" w14:textId="77777777" w:rsidR="00EB4A81" w:rsidRPr="0055248C" w:rsidRDefault="00EB4A81" w:rsidP="0041791A">
      <w:pPr>
        <w:keepNext/>
        <w:keepLines/>
        <w:spacing w:before="40" w:line="300" w:lineRule="auto"/>
        <w:ind w:left="576" w:hanging="576"/>
        <w:jc w:val="both"/>
        <w:outlineLvl w:val="1"/>
        <w:rPr>
          <w:rFonts w:ascii="Arial" w:eastAsia="Arial" w:hAnsi="Arial"/>
          <w:b/>
          <w:sz w:val="24"/>
          <w:szCs w:val="24"/>
          <w:lang w:val="en-US" w:eastAsia="it-IT"/>
        </w:rPr>
        <w:sectPr w:rsidR="00EB4A81" w:rsidRPr="0055248C">
          <w:pgSz w:w="11900" w:h="16838"/>
          <w:pgMar w:top="1423" w:right="1126" w:bottom="1440" w:left="1140" w:header="0" w:footer="0" w:gutter="0"/>
          <w:cols w:space="0" w:equalWidth="0">
            <w:col w:w="9640"/>
          </w:cols>
          <w:docGrid w:linePitch="360"/>
        </w:sectPr>
      </w:pPr>
    </w:p>
    <w:p w14:paraId="648AE88F" w14:textId="5257B97F" w:rsidR="00BD0E6A" w:rsidRPr="0055248C" w:rsidRDefault="00BD0E6A" w:rsidP="0041791A">
      <w:pPr>
        <w:keepNext/>
        <w:keepLines/>
        <w:spacing w:before="40" w:line="300" w:lineRule="auto"/>
        <w:ind w:left="576" w:hanging="576"/>
        <w:jc w:val="both"/>
        <w:outlineLvl w:val="1"/>
        <w:rPr>
          <w:rFonts w:ascii="Arial" w:eastAsia="Arial" w:hAnsi="Arial"/>
          <w:b/>
          <w:sz w:val="24"/>
          <w:szCs w:val="24"/>
          <w:lang w:val="en-US" w:eastAsia="it-IT"/>
        </w:rPr>
      </w:pPr>
      <w:r w:rsidRPr="0055248C">
        <w:rPr>
          <w:rFonts w:ascii="Arial" w:eastAsia="Arial" w:hAnsi="Arial"/>
          <w:b/>
          <w:sz w:val="24"/>
          <w:szCs w:val="24"/>
          <w:lang w:val="en-US" w:eastAsia="it-IT"/>
        </w:rPr>
        <w:lastRenderedPageBreak/>
        <w:t>Wavelet Coherence</w:t>
      </w:r>
    </w:p>
    <w:p w14:paraId="28B8A923" w14:textId="77777777" w:rsidR="00BD0E6A" w:rsidRPr="0055248C" w:rsidRDefault="00BD0E6A" w:rsidP="00C503F2">
      <w:pPr>
        <w:jc w:val="both"/>
        <w:rPr>
          <w:rFonts w:ascii="Arial" w:hAnsi="Arial"/>
          <w:sz w:val="24"/>
          <w:szCs w:val="24"/>
          <w:lang w:val="en-US"/>
        </w:rPr>
      </w:pPr>
      <w:r w:rsidRPr="0055248C">
        <w:rPr>
          <w:rFonts w:ascii="Arial" w:hAnsi="Arial"/>
          <w:sz w:val="24"/>
          <w:szCs w:val="24"/>
          <w:lang w:val="en-US"/>
        </w:rPr>
        <w:t xml:space="preserve">Let’s consider two zero-mean random processes </w:t>
      </w:r>
      <m:oMath>
        <m:r>
          <w:rPr>
            <w:rFonts w:ascii="Cambria Math" w:hAnsi="Cambria Math"/>
            <w:sz w:val="24"/>
            <w:szCs w:val="24"/>
            <w:lang w:val="en-US"/>
          </w:rPr>
          <m:t>x</m:t>
        </m:r>
      </m:oMath>
      <w:r w:rsidRPr="0055248C">
        <w:rPr>
          <w:rFonts w:ascii="Arial" w:hAnsi="Arial"/>
          <w:sz w:val="24"/>
          <w:szCs w:val="24"/>
          <w:lang w:val="en-US"/>
        </w:rPr>
        <w:t xml:space="preserve"> and </w:t>
      </w:r>
      <m:oMath>
        <m:r>
          <w:rPr>
            <w:rFonts w:ascii="Cambria Math" w:hAnsi="Cambria Math"/>
            <w:sz w:val="24"/>
            <w:szCs w:val="24"/>
            <w:lang w:val="en-US"/>
          </w:rPr>
          <m:t>y</m:t>
        </m:r>
      </m:oMath>
      <w:r w:rsidRPr="0055248C">
        <w:rPr>
          <w:rFonts w:ascii="Arial" w:hAnsi="Arial"/>
          <w:sz w:val="24"/>
          <w:szCs w:val="24"/>
          <w:lang w:val="en-US"/>
        </w:rPr>
        <w:t xml:space="preserve">, the coherence between </w:t>
      </w:r>
      <m:oMath>
        <m:r>
          <w:rPr>
            <w:rFonts w:ascii="Cambria Math" w:hAnsi="Cambria Math"/>
            <w:sz w:val="24"/>
            <w:szCs w:val="24"/>
            <w:lang w:val="en-US"/>
          </w:rPr>
          <m:t>x</m:t>
        </m:r>
      </m:oMath>
      <w:r w:rsidRPr="0055248C">
        <w:rPr>
          <w:rFonts w:ascii="Arial" w:hAnsi="Arial"/>
          <w:sz w:val="24"/>
          <w:szCs w:val="24"/>
          <w:lang w:val="en-US"/>
        </w:rPr>
        <w:t xml:space="preserve"> and </w:t>
      </w:r>
      <m:oMath>
        <m:r>
          <w:rPr>
            <w:rFonts w:ascii="Cambria Math" w:hAnsi="Cambria Math"/>
            <w:sz w:val="24"/>
            <w:szCs w:val="24"/>
            <w:lang w:val="en-US"/>
          </w:rPr>
          <m:t>y</m:t>
        </m:r>
      </m:oMath>
      <w:r w:rsidRPr="0055248C">
        <w:rPr>
          <w:rFonts w:ascii="Arial" w:hAnsi="Arial"/>
          <w:sz w:val="24"/>
          <w:szCs w:val="24"/>
          <w:lang w:val="en-US"/>
        </w:rPr>
        <w:t xml:space="preserve"> at the frequency of interest </w:t>
      </w:r>
      <m:oMath>
        <m:r>
          <w:rPr>
            <w:rFonts w:ascii="Cambria Math" w:hAnsi="Cambria Math"/>
            <w:sz w:val="24"/>
            <w:szCs w:val="24"/>
            <w:lang w:val="en-US"/>
          </w:rPr>
          <m:t>f</m:t>
        </m:r>
      </m:oMath>
      <w:r w:rsidRPr="0055248C">
        <w:rPr>
          <w:rFonts w:ascii="Arial" w:hAnsi="Arial"/>
          <w:sz w:val="24"/>
          <w:szCs w:val="24"/>
          <w:lang w:val="en-US"/>
        </w:rPr>
        <w:t xml:space="preserve"> is defined by</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836"/>
      </w:tblGrid>
      <w:tr w:rsidR="0055248C" w:rsidRPr="0055248C" w14:paraId="7F919228" w14:textId="77777777" w:rsidTr="005F097B">
        <w:tc>
          <w:tcPr>
            <w:tcW w:w="7792" w:type="dxa"/>
          </w:tcPr>
          <w:p w14:paraId="4F3D74C9" w14:textId="77777777" w:rsidR="00BD0E6A" w:rsidRPr="0055248C" w:rsidRDefault="00BD0E6A" w:rsidP="00C503F2">
            <w:pPr>
              <w:spacing w:after="120"/>
              <w:ind w:left="601"/>
              <w:rPr>
                <w:rFonts w:ascii="Arial" w:hAnsi="Arial"/>
                <w:sz w:val="24"/>
                <w:szCs w:val="24"/>
              </w:rPr>
            </w:pPr>
            <m:oMathPara>
              <m:oMathParaPr>
                <m:jc m:val="left"/>
              </m:oMathParaPr>
              <m:oMath>
                <m:r>
                  <w:rPr>
                    <w:rFonts w:ascii="Cambria Math" w:hAnsi="Cambria Math"/>
                    <w:sz w:val="24"/>
                    <w:szCs w:val="24"/>
                  </w:rPr>
                  <m:t>Coh(f)=</m:t>
                </m:r>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xy</m:t>
                            </m:r>
                          </m:sub>
                        </m:sSub>
                        <m:r>
                          <w:rPr>
                            <w:rFonts w:ascii="Cambria Math" w:hAnsi="Cambria Math"/>
                            <w:sz w:val="24"/>
                            <w:szCs w:val="24"/>
                          </w:rPr>
                          <m:t>(f)</m:t>
                        </m:r>
                      </m:e>
                    </m:d>
                  </m:num>
                  <m:den>
                    <m:sSup>
                      <m:sSupPr>
                        <m:ctrlPr>
                          <w:rPr>
                            <w:rFonts w:ascii="Cambria Math" w:hAnsi="Cambria Math"/>
                            <w:i/>
                            <w:sz w:val="24"/>
                            <w:szCs w:val="24"/>
                          </w:rPr>
                        </m:ctrlPr>
                      </m:sSupPr>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xx</m:t>
                                </m:r>
                              </m:sub>
                            </m:sSub>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yy</m:t>
                                </m:r>
                              </m:sub>
                            </m:sSub>
                            <m:r>
                              <w:rPr>
                                <w:rFonts w:ascii="Cambria Math" w:hAnsi="Cambria Math"/>
                                <w:sz w:val="24"/>
                                <w:szCs w:val="24"/>
                              </w:rPr>
                              <m:t>(f)</m:t>
                            </m:r>
                          </m:e>
                        </m:d>
                      </m:e>
                      <m:sup>
                        <m:r>
                          <w:rPr>
                            <w:rFonts w:ascii="Cambria Math" w:hAnsi="Cambria Math"/>
                            <w:sz w:val="24"/>
                            <w:szCs w:val="24"/>
                          </w:rPr>
                          <m:t>1/2</m:t>
                        </m:r>
                      </m:sup>
                    </m:sSup>
                  </m:den>
                </m:f>
              </m:oMath>
            </m:oMathPara>
          </w:p>
        </w:tc>
        <w:tc>
          <w:tcPr>
            <w:tcW w:w="1836" w:type="dxa"/>
            <w:vAlign w:val="center"/>
          </w:tcPr>
          <w:p w14:paraId="03B63165" w14:textId="77777777" w:rsidR="00BD0E6A" w:rsidRPr="0055248C" w:rsidRDefault="00BD0E6A" w:rsidP="00EB4A81">
            <w:pPr>
              <w:jc w:val="right"/>
              <w:rPr>
                <w:rFonts w:ascii="Arial" w:hAnsi="Arial"/>
                <w:sz w:val="24"/>
                <w:szCs w:val="24"/>
              </w:rPr>
            </w:pPr>
            <w:r w:rsidRPr="0055248C">
              <w:rPr>
                <w:rFonts w:ascii="Arial" w:hAnsi="Arial"/>
                <w:sz w:val="24"/>
                <w:szCs w:val="24"/>
              </w:rPr>
              <w:t>(1)</w:t>
            </w:r>
          </w:p>
        </w:tc>
      </w:tr>
    </w:tbl>
    <w:p w14:paraId="0EA0F7A7" w14:textId="77777777" w:rsidR="00BD0E6A" w:rsidRPr="0055248C" w:rsidRDefault="00BD0E6A" w:rsidP="00C503F2">
      <w:pPr>
        <w:jc w:val="both"/>
        <w:rPr>
          <w:rFonts w:ascii="Arial" w:eastAsiaTheme="minorEastAsia" w:hAnsi="Arial"/>
          <w:sz w:val="24"/>
          <w:szCs w:val="24"/>
          <w:lang w:val="en-US"/>
        </w:rPr>
      </w:pPr>
      <w:r w:rsidRPr="0055248C">
        <w:rPr>
          <w:rFonts w:ascii="Arial" w:hAnsi="Arial"/>
          <w:sz w:val="24"/>
          <w:szCs w:val="24"/>
          <w:lang w:val="en-US"/>
        </w:rPr>
        <w:t xml:space="preserve">where </w:t>
      </w:r>
      <m:oMath>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xy</m:t>
            </m:r>
          </m:sub>
        </m:sSub>
        <m:r>
          <w:rPr>
            <w:rFonts w:ascii="Cambria Math" w:hAnsi="Cambria Math"/>
            <w:sz w:val="24"/>
            <w:szCs w:val="24"/>
            <w:lang w:val="en-US"/>
          </w:rPr>
          <m:t>(f)</m:t>
        </m:r>
      </m:oMath>
      <w:r w:rsidRPr="0055248C">
        <w:rPr>
          <w:rFonts w:ascii="Arial" w:eastAsiaTheme="minorEastAsia" w:hAnsi="Arial"/>
          <w:sz w:val="24"/>
          <w:szCs w:val="24"/>
          <w:lang w:val="en-US"/>
        </w:rPr>
        <w:t xml:space="preserve"> is the cross-spectral density between the two processes </w:t>
      </w:r>
      <m:oMath>
        <m:r>
          <w:rPr>
            <w:rFonts w:ascii="Cambria Math" w:eastAsiaTheme="minorEastAsia" w:hAnsi="Cambria Math"/>
            <w:sz w:val="24"/>
            <w:szCs w:val="24"/>
            <w:lang w:val="en-US"/>
          </w:rPr>
          <m:t>x</m:t>
        </m:r>
      </m:oMath>
      <w:r w:rsidRPr="0055248C">
        <w:rPr>
          <w:rFonts w:ascii="Arial" w:eastAsiaTheme="minorEastAsia" w:hAnsi="Arial"/>
          <w:sz w:val="24"/>
          <w:szCs w:val="24"/>
          <w:lang w:val="en-US"/>
        </w:rPr>
        <w:t xml:space="preserve"> and </w:t>
      </w:r>
      <m:oMath>
        <m:r>
          <w:rPr>
            <w:rFonts w:ascii="Cambria Math" w:eastAsiaTheme="minorEastAsia" w:hAnsi="Cambria Math"/>
            <w:sz w:val="24"/>
            <w:szCs w:val="24"/>
            <w:lang w:val="en-US"/>
          </w:rPr>
          <m:t>y</m:t>
        </m:r>
      </m:oMath>
      <w:r w:rsidRPr="0055248C">
        <w:rPr>
          <w:rFonts w:ascii="Arial" w:eastAsiaTheme="minorEastAsia" w:hAnsi="Arial"/>
          <w:sz w:val="24"/>
          <w:szCs w:val="24"/>
          <w:lang w:val="en-US"/>
        </w:rPr>
        <w:t xml:space="preserve"> and it is computed as the Fourier transform of the cross-correlation function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R</m:t>
            </m:r>
          </m:e>
          <m:sub>
            <m:r>
              <w:rPr>
                <w:rFonts w:ascii="Cambria Math" w:eastAsiaTheme="minorEastAsia" w:hAnsi="Cambria Math"/>
                <w:sz w:val="24"/>
                <w:szCs w:val="24"/>
                <w:lang w:val="en-US"/>
              </w:rPr>
              <m:t>xy</m:t>
            </m:r>
          </m:sub>
        </m:sSub>
        <m:r>
          <w:rPr>
            <w:rFonts w:ascii="Cambria Math" w:eastAsiaTheme="minorEastAsia" w:hAnsi="Cambria Math"/>
            <w:sz w:val="24"/>
            <w:szCs w:val="24"/>
            <w:lang w:val="en-US"/>
          </w:rPr>
          <m:t>(τ)</m:t>
        </m:r>
      </m:oMath>
      <w:r w:rsidRPr="0055248C">
        <w:rPr>
          <w:rFonts w:ascii="Arial" w:eastAsiaTheme="minorEastAsia" w:hAnsi="Arial"/>
          <w:sz w:val="24"/>
          <w:szCs w:val="24"/>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836"/>
      </w:tblGrid>
      <w:tr w:rsidR="0055248C" w:rsidRPr="0055248C" w14:paraId="6F6842EE" w14:textId="77777777" w:rsidTr="005F097B">
        <w:tc>
          <w:tcPr>
            <w:tcW w:w="7792" w:type="dxa"/>
          </w:tcPr>
          <w:p w14:paraId="50498387" w14:textId="77777777" w:rsidR="00BD0E6A" w:rsidRPr="0055248C" w:rsidRDefault="00E91FCF" w:rsidP="00C503F2">
            <w:pPr>
              <w:ind w:left="603"/>
              <w:rPr>
                <w:rFonts w:ascii="Arial" w:hAnsi="Arial"/>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xy</m:t>
                    </m:r>
                  </m:sub>
                </m:sSub>
                <m:d>
                  <m:dPr>
                    <m:ctrlPr>
                      <w:rPr>
                        <w:rFonts w:ascii="Cambria Math" w:hAnsi="Cambria Math"/>
                        <w:i/>
                        <w:sz w:val="24"/>
                        <w:szCs w:val="24"/>
                      </w:rPr>
                    </m:ctrlPr>
                  </m:dPr>
                  <m:e>
                    <m:r>
                      <w:rPr>
                        <w:rFonts w:ascii="Cambria Math" w:hAnsi="Cambria Math"/>
                        <w:sz w:val="24"/>
                        <w:szCs w:val="24"/>
                      </w:rPr>
                      <m:t>f</m:t>
                    </m:r>
                  </m:e>
                </m:d>
                <m:r>
                  <w:rPr>
                    <w:rFonts w:ascii="Cambria Math" w:hAnsi="Cambria Math"/>
                    <w:sz w:val="24"/>
                    <w:szCs w:val="24"/>
                  </w:rPr>
                  <m:t>=</m:t>
                </m:r>
                <m:nary>
                  <m:naryPr>
                    <m:limLoc m:val="subSup"/>
                    <m:ctrlPr>
                      <w:rPr>
                        <w:rFonts w:ascii="Cambria Math" w:hAnsi="Cambria Math"/>
                        <w:i/>
                        <w:sz w:val="24"/>
                        <w:szCs w:val="24"/>
                      </w:rPr>
                    </m:ctrlPr>
                  </m:naryPr>
                  <m:sub>
                    <m:r>
                      <w:rPr>
                        <w:rFonts w:ascii="Cambria Math" w:hAnsi="Cambria Math"/>
                        <w:sz w:val="24"/>
                        <w:szCs w:val="24"/>
                      </w:rPr>
                      <m:t>-∞</m:t>
                    </m:r>
                  </m:sub>
                  <m:sup>
                    <m:r>
                      <w:rPr>
                        <w:rFonts w:ascii="Cambria Math" w:hAnsi="Cambria Math"/>
                        <w:sz w:val="24"/>
                        <w:szCs w:val="24"/>
                      </w:rPr>
                      <m:t>+∞</m:t>
                    </m:r>
                  </m:sup>
                  <m:e>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xy</m:t>
                        </m:r>
                      </m:sub>
                    </m:sSub>
                    <m:r>
                      <w:rPr>
                        <w:rFonts w:ascii="Cambria Math" w:eastAsiaTheme="minorEastAsia" w:hAnsi="Cambria Math"/>
                        <w:sz w:val="24"/>
                        <w:szCs w:val="24"/>
                      </w:rPr>
                      <m:t>(τ)</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-j2πfτ</m:t>
                        </m:r>
                      </m:sup>
                    </m:sSup>
                    <m:r>
                      <w:rPr>
                        <w:rFonts w:ascii="Cambria Math" w:eastAsiaTheme="minorEastAsia" w:hAnsi="Cambria Math"/>
                        <w:sz w:val="24"/>
                        <w:szCs w:val="24"/>
                      </w:rPr>
                      <m:t>dτ</m:t>
                    </m:r>
                  </m:e>
                </m:nary>
              </m:oMath>
            </m:oMathPara>
          </w:p>
        </w:tc>
        <w:tc>
          <w:tcPr>
            <w:tcW w:w="1836" w:type="dxa"/>
            <w:vAlign w:val="center"/>
          </w:tcPr>
          <w:p w14:paraId="2F47C549" w14:textId="77777777" w:rsidR="00BD0E6A" w:rsidRPr="0055248C" w:rsidRDefault="00BD0E6A" w:rsidP="00EB4A81">
            <w:pPr>
              <w:jc w:val="right"/>
              <w:rPr>
                <w:rFonts w:ascii="Arial" w:hAnsi="Arial"/>
                <w:sz w:val="24"/>
                <w:szCs w:val="24"/>
              </w:rPr>
            </w:pPr>
            <w:r w:rsidRPr="0055248C">
              <w:rPr>
                <w:rFonts w:ascii="Arial" w:hAnsi="Arial"/>
                <w:sz w:val="24"/>
                <w:szCs w:val="24"/>
              </w:rPr>
              <w:t>(2)</w:t>
            </w:r>
          </w:p>
        </w:tc>
      </w:tr>
    </w:tbl>
    <w:p w14:paraId="0DDC9442" w14:textId="77777777" w:rsidR="00BD0E6A" w:rsidRPr="0055248C" w:rsidRDefault="00BD0E6A" w:rsidP="00C503F2">
      <w:pPr>
        <w:jc w:val="both"/>
        <w:rPr>
          <w:rFonts w:ascii="Arial" w:hAnsi="Arial"/>
          <w:sz w:val="24"/>
          <w:szCs w:val="24"/>
          <w:lang w:val="en-US"/>
        </w:rPr>
      </w:pPr>
      <w:r w:rsidRPr="0055248C">
        <w:rPr>
          <w:rFonts w:ascii="Arial" w:hAnsi="Arial"/>
          <w:sz w:val="24"/>
          <w:szCs w:val="24"/>
          <w:lang w:val="en-US"/>
        </w:rPr>
        <w:t>with</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553"/>
      </w:tblGrid>
      <w:tr w:rsidR="0055248C" w:rsidRPr="0055248C" w14:paraId="59F6A683" w14:textId="77777777" w:rsidTr="005F097B">
        <w:tc>
          <w:tcPr>
            <w:tcW w:w="8075" w:type="dxa"/>
          </w:tcPr>
          <w:p w14:paraId="62305BC0" w14:textId="77777777" w:rsidR="00BD0E6A" w:rsidRPr="0055248C" w:rsidRDefault="00E91FCF" w:rsidP="00C503F2">
            <w:pPr>
              <w:spacing w:after="120"/>
              <w:ind w:left="601"/>
              <w:rPr>
                <w:rFonts w:ascii="Arial" w:hAnsi="Arial"/>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xy</m:t>
                    </m:r>
                  </m:sub>
                </m:sSub>
                <m:d>
                  <m:dPr>
                    <m:ctrlPr>
                      <w:rPr>
                        <w:rFonts w:ascii="Cambria Math" w:eastAsiaTheme="minorEastAsia" w:hAnsi="Cambria Math"/>
                        <w:i/>
                        <w:sz w:val="24"/>
                        <w:szCs w:val="24"/>
                      </w:rPr>
                    </m:ctrlPr>
                  </m:dPr>
                  <m:e>
                    <m:r>
                      <w:rPr>
                        <w:rFonts w:ascii="Cambria Math" w:eastAsiaTheme="minorEastAsia" w:hAnsi="Cambria Math"/>
                        <w:sz w:val="24"/>
                        <w:szCs w:val="24"/>
                      </w:rPr>
                      <m:t>τ</m:t>
                    </m:r>
                  </m:e>
                </m:d>
                <m:r>
                  <w:rPr>
                    <w:rFonts w:ascii="Cambria Math" w:eastAsiaTheme="minorEastAsia" w:hAnsi="Cambria Math"/>
                    <w:sz w:val="24"/>
                    <w:szCs w:val="24"/>
                  </w:rPr>
                  <m:t>=E[x</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y(t-τ)]</m:t>
                </m:r>
              </m:oMath>
            </m:oMathPara>
          </w:p>
        </w:tc>
        <w:tc>
          <w:tcPr>
            <w:tcW w:w="1553" w:type="dxa"/>
            <w:vAlign w:val="center"/>
          </w:tcPr>
          <w:p w14:paraId="743CC24B" w14:textId="77777777" w:rsidR="00BD0E6A" w:rsidRPr="0055248C" w:rsidRDefault="00BD0E6A" w:rsidP="00EB4A81">
            <w:pPr>
              <w:jc w:val="right"/>
              <w:rPr>
                <w:rFonts w:ascii="Arial" w:hAnsi="Arial"/>
                <w:sz w:val="24"/>
                <w:szCs w:val="24"/>
              </w:rPr>
            </w:pPr>
            <w:r w:rsidRPr="0055248C">
              <w:rPr>
                <w:rFonts w:ascii="Arial" w:hAnsi="Arial"/>
                <w:sz w:val="24"/>
                <w:szCs w:val="24"/>
              </w:rPr>
              <w:t>(3)</w:t>
            </w:r>
          </w:p>
        </w:tc>
      </w:tr>
    </w:tbl>
    <w:p w14:paraId="665EE5C0" w14:textId="19531748" w:rsidR="00BD0E6A" w:rsidRPr="0055248C" w:rsidRDefault="00BD0E6A" w:rsidP="00C503F2">
      <w:pPr>
        <w:jc w:val="both"/>
        <w:rPr>
          <w:rFonts w:ascii="Arial" w:eastAsiaTheme="minorEastAsia" w:hAnsi="Arial"/>
          <w:sz w:val="24"/>
          <w:szCs w:val="24"/>
          <w:lang w:val="en-US"/>
        </w:rPr>
      </w:pPr>
      <w:r w:rsidRPr="0055248C">
        <w:rPr>
          <w:rFonts w:ascii="Arial" w:hAnsi="Arial"/>
          <w:sz w:val="24"/>
          <w:szCs w:val="24"/>
          <w:lang w:val="en-US"/>
        </w:rPr>
        <w:t xml:space="preserve">where </w:t>
      </w:r>
      <m:oMath>
        <m:r>
          <w:rPr>
            <w:rFonts w:ascii="Cambria Math" w:hAnsi="Cambria Math"/>
            <w:sz w:val="24"/>
            <w:szCs w:val="24"/>
            <w:lang w:val="en-US"/>
          </w:rPr>
          <m:t>E[]</m:t>
        </m:r>
      </m:oMath>
      <w:r w:rsidRPr="0055248C">
        <w:rPr>
          <w:rFonts w:ascii="Arial" w:eastAsiaTheme="minorEastAsia" w:hAnsi="Arial"/>
          <w:sz w:val="24"/>
          <w:szCs w:val="24"/>
          <w:lang w:val="en-US"/>
        </w:rPr>
        <w:t xml:space="preserve"> is the expectation </w:t>
      </w:r>
      <w:proofErr w:type="gramStart"/>
      <w:r w:rsidRPr="0055248C">
        <w:rPr>
          <w:rFonts w:ascii="Arial" w:eastAsiaTheme="minorEastAsia" w:hAnsi="Arial"/>
          <w:sz w:val="24"/>
          <w:szCs w:val="24"/>
          <w:lang w:val="en-US"/>
        </w:rPr>
        <w:t>operator</w:t>
      </w:r>
      <w:r w:rsidR="00EB4A81" w:rsidRPr="0055248C">
        <w:rPr>
          <w:rFonts w:ascii="Arial" w:eastAsiaTheme="minorEastAsia" w:hAnsi="Arial"/>
          <w:sz w:val="24"/>
          <w:szCs w:val="24"/>
          <w:lang w:val="en-US"/>
        </w:rPr>
        <w:t>.</w:t>
      </w:r>
      <w:proofErr w:type="gramEnd"/>
    </w:p>
    <w:p w14:paraId="61A0E1BF" w14:textId="0954C268" w:rsidR="00BD0E6A" w:rsidRPr="0055248C" w:rsidRDefault="00BD0E6A" w:rsidP="00C503F2">
      <w:pPr>
        <w:jc w:val="both"/>
        <w:rPr>
          <w:rFonts w:ascii="Arial" w:hAnsi="Arial"/>
          <w:sz w:val="24"/>
          <w:szCs w:val="24"/>
          <w:lang w:val="en-US"/>
        </w:rPr>
      </w:pPr>
      <w:r w:rsidRPr="0055248C">
        <w:rPr>
          <w:rFonts w:ascii="Arial" w:hAnsi="Arial"/>
          <w:sz w:val="24"/>
          <w:szCs w:val="24"/>
          <w:lang w:val="en-US"/>
        </w:rPr>
        <w:t xml:space="preserve">When using Fourier analysis, as detailed above, </w:t>
      </w:r>
      <w:r w:rsidR="00731017" w:rsidRPr="0055248C">
        <w:rPr>
          <w:rFonts w:ascii="Arial" w:hAnsi="Arial"/>
          <w:sz w:val="24"/>
          <w:szCs w:val="24"/>
          <w:lang w:val="en-US"/>
        </w:rPr>
        <w:t xml:space="preserve">the </w:t>
      </w:r>
      <w:r w:rsidRPr="0055248C">
        <w:rPr>
          <w:rFonts w:ascii="Arial" w:hAnsi="Arial"/>
          <w:sz w:val="24"/>
          <w:szCs w:val="24"/>
          <w:lang w:val="en-US"/>
        </w:rPr>
        <w:t xml:space="preserve">temporal information is lost by definition, since the spectra, and therefore coherence, are assumed to remain constant. However, for particular experimental situations where the same stimulation is delivered several times to a subject (as in event-related potential protocols), a variant of the temporal-smoothing coherence estimation has been proposed to regain temporal information. To overcome the problems due to non-stationarity, it has been proposed to apply wavelet analysis for the estimation of coherence among non-stationary signals. In contrast to Fourier analysis, wavelet analysis allows to analyze signals with rapidly changing spectra by performing a time-frequency analysis of the signal. Wavelet analysis is like the windowed short-term Fourier transform, but the size of the window is adapted to the frequency of the signal in wavelet </w:t>
      </w:r>
      <w:r w:rsidR="00EB4A81" w:rsidRPr="0055248C">
        <w:rPr>
          <w:rFonts w:ascii="Arial" w:hAnsi="Arial"/>
          <w:sz w:val="24"/>
          <w:szCs w:val="24"/>
          <w:lang w:val="en-US"/>
        </w:rPr>
        <w:t>analysis,</w:t>
      </w:r>
      <w:r w:rsidRPr="0055248C">
        <w:rPr>
          <w:rFonts w:ascii="Arial" w:hAnsi="Arial"/>
          <w:sz w:val="24"/>
          <w:szCs w:val="24"/>
          <w:lang w:val="en-US"/>
        </w:rPr>
        <w:t xml:space="preserve"> and it is not fixed as in the short-term Fourier, resulting in a more accurate time-frequency resolution.</w:t>
      </w:r>
    </w:p>
    <w:p w14:paraId="740144E9" w14:textId="59E9B291" w:rsidR="00BD0E6A" w:rsidRPr="0055248C" w:rsidRDefault="00BD0E6A" w:rsidP="00C503F2">
      <w:pPr>
        <w:jc w:val="both"/>
        <w:rPr>
          <w:rFonts w:ascii="Arial" w:hAnsi="Arial"/>
          <w:sz w:val="24"/>
          <w:szCs w:val="24"/>
          <w:lang w:val="en-US"/>
        </w:rPr>
      </w:pPr>
      <w:r w:rsidRPr="0055248C">
        <w:rPr>
          <w:rFonts w:ascii="Arial" w:hAnsi="Arial"/>
          <w:sz w:val="24"/>
          <w:szCs w:val="24"/>
          <w:lang w:val="en-US"/>
        </w:rPr>
        <w:t xml:space="preserve">The wavelet transform of a signal </w:t>
      </w:r>
      <m:oMath>
        <m:r>
          <w:rPr>
            <w:rFonts w:ascii="Cambria Math" w:hAnsi="Cambria Math"/>
            <w:sz w:val="24"/>
            <w:szCs w:val="24"/>
            <w:lang w:val="en-US"/>
          </w:rPr>
          <m:t>x(u)</m:t>
        </m:r>
      </m:oMath>
      <w:r w:rsidRPr="0055248C">
        <w:rPr>
          <w:rFonts w:ascii="Arial" w:hAnsi="Arial"/>
          <w:sz w:val="24"/>
          <w:szCs w:val="24"/>
          <w:lang w:val="en-US"/>
        </w:rPr>
        <w:t xml:space="preserve"> is a function of time </w:t>
      </w:r>
      <m:oMath>
        <m:r>
          <w:rPr>
            <w:rFonts w:ascii="Cambria Math" w:hAnsi="Cambria Math"/>
            <w:sz w:val="24"/>
            <w:szCs w:val="24"/>
            <w:lang w:val="en-US"/>
          </w:rPr>
          <m:t>(u)</m:t>
        </m:r>
      </m:oMath>
      <w:r w:rsidRPr="0055248C">
        <w:rPr>
          <w:rFonts w:ascii="Arial" w:hAnsi="Arial"/>
          <w:sz w:val="24"/>
          <w:szCs w:val="24"/>
          <w:lang w:val="en-US"/>
        </w:rPr>
        <w:t xml:space="preserve"> and scale </w:t>
      </w:r>
      <m:oMath>
        <m:r>
          <w:rPr>
            <w:rFonts w:ascii="Cambria Math" w:hAnsi="Cambria Math"/>
            <w:sz w:val="24"/>
            <w:szCs w:val="24"/>
            <w:lang w:val="en-US"/>
          </w:rPr>
          <m:t>s</m:t>
        </m:r>
      </m:oMath>
      <w:r w:rsidRPr="0055248C">
        <w:rPr>
          <w:rFonts w:ascii="Arial" w:hAnsi="Arial"/>
          <w:sz w:val="24"/>
          <w:szCs w:val="24"/>
          <w:lang w:val="en-US"/>
        </w:rPr>
        <w:t xml:space="preserve"> given by the convolution of </w:t>
      </w:r>
      <m:oMath>
        <m:r>
          <w:rPr>
            <w:rFonts w:ascii="Cambria Math" w:hAnsi="Cambria Math"/>
            <w:sz w:val="24"/>
            <w:szCs w:val="24"/>
            <w:lang w:val="en-US"/>
          </w:rPr>
          <m:t>x</m:t>
        </m:r>
      </m:oMath>
      <w:r w:rsidRPr="0055248C">
        <w:rPr>
          <w:rFonts w:ascii="Arial" w:hAnsi="Arial"/>
          <w:sz w:val="24"/>
          <w:szCs w:val="24"/>
          <w:lang w:val="en-US"/>
        </w:rPr>
        <w:t xml:space="preserve"> with the wavelet family</w:t>
      </w:r>
      <w:r w:rsidRPr="0055248C">
        <w:rPr>
          <w:rFonts w:ascii="Arial" w:hAnsi="Arial"/>
          <w:sz w:val="24"/>
          <w:szCs w:val="24"/>
          <w:lang w:val="en-US"/>
        </w:rPr>
        <w:fldChar w:fldCharType="begin"/>
      </w:r>
      <w:r w:rsidR="00C503F2" w:rsidRPr="0055248C">
        <w:rPr>
          <w:rFonts w:ascii="Arial" w:hAnsi="Arial"/>
          <w:sz w:val="24"/>
          <w:szCs w:val="24"/>
          <w:lang w:val="en-US"/>
        </w:rPr>
        <w:instrText xml:space="preserve"> ADDIN ZOTERO_ITEM CSL_CITATION {"citationID":"Wa0zEQEx","properties":{"formattedCitation":"\\super 3,4\\nosupersub{}","plainCitation":"3,4","noteIndex":0},"citationItems":[{"id":2862,"uris":["http://zotero.org/groups/435166/items/F6C8LYQV"],"itemData":{"id":2862,"type":"article-journal","abstract":"The assessment of the comovement among international stock markets is of key interest, for example, for the international portfolio diversification literature. In this paper, we re-examine such comovement by resorting to a novel approach, wavelet analysis. Wavelet analysis allows one to measure the comovement in the time–frequency space. In this way, one can characterize how international stock returns relate in the time and frequency domains simultaneously, which allows one to provide a richer analysis of the comovement. We focus on Germany, Japan, UK and US and the analysis is done at both the aggregate and sectoral levels.","container-title":"Journal of Empirical Finance","DOI":"10.1016/j.jempfin.2009.02.002","ISSN":"0927-5398","issue":"4","journalAbbreviation":"Journal of Empirical Finance","language":"en","page":"632-639","source":"ScienceDirect","title":"International comovement of stock market returns: A wavelet analysis","title-short":"International comovement of stock market returns","volume":"16","author":[{"family":"Rua","given":"António"},{"family":"Nunes","given":"Luís C."}],"issued":{"date-parts":[["2009",9,1]]}},"label":"page"},{"id":2861,"uris":["http://zotero.org/groups/435166/items/4972S7PM"],"itemData":{"id":2861,"type":"article-journal","abstract":"In this paper, we contribute to the literature on energy market co-movement by studying its dynamics in the time-frequency domain. The novelty of our approach lies in the application of wavelet tools to commodity market data. A major part of economic time series analysis is done in the time or frequency domain separately. Wavelet analysis combines these two fundamental approaches allowing study of the time series in the time-frequency domain. Using this framework, we propose a new, model-free way of estimating time-varying correlations. In the empirical analysis, we connect our approach to the dynamic conditional correlation approach of Engle (2002) on the main components of the energy sector. Namely, we use crude oil, gasoline, heating oil, and natural gas on a nearest-future basis over a period of approximately 16 and 1/2years beginning on November 1, 1993 and ending on July 21, 2010. Using wavelet coherence, we uncover interesting dynamics of correlations between energy commodities in the time-frequency space.","container-title":"Energy Economics","DOI":"10.1016/j.eneco.2011.10.007","ISSN":"0140-9883","issue":"1","journalAbbreviation":"Energy Economics","language":"en","page":"241-247","source":"ScienceDirect","title":"Co-movement of energy commodities revisited: Evidence from wavelet coherence analysis","title-short":"Co-movement of energy commodities revisited","volume":"34","author":[{"family":"Vacha","given":"Lukas"},{"family":"Barunik","given":"Jozef"}],"issued":{"date-parts":[["2012",1,1]]}},"label":"page"}],"schema":"https://github.com/citation-style-language/schema/raw/master/csl-citation.json"} </w:instrText>
      </w:r>
      <w:r w:rsidRPr="0055248C">
        <w:rPr>
          <w:rFonts w:ascii="Arial" w:hAnsi="Arial"/>
          <w:sz w:val="24"/>
          <w:szCs w:val="24"/>
          <w:lang w:val="en-US"/>
        </w:rPr>
        <w:fldChar w:fldCharType="separate"/>
      </w:r>
      <w:r w:rsidR="00C503F2" w:rsidRPr="0055248C">
        <w:rPr>
          <w:rFonts w:ascii="Arial" w:hAnsi="Arial"/>
          <w:sz w:val="24"/>
          <w:szCs w:val="24"/>
          <w:vertAlign w:val="superscript"/>
          <w:lang w:val="en-US"/>
        </w:rPr>
        <w:t>3,4</w:t>
      </w:r>
      <w:r w:rsidRPr="0055248C">
        <w:rPr>
          <w:rFonts w:ascii="Arial" w:hAnsi="Arial"/>
          <w:sz w:val="24"/>
          <w:szCs w:val="24"/>
          <w:lang w:val="en-US"/>
        </w:rPr>
        <w:fldChar w:fldCharType="end"/>
      </w:r>
      <w:r w:rsidRPr="0055248C">
        <w:rPr>
          <w:rFonts w:ascii="Arial" w:hAnsi="Arial"/>
          <w:sz w:val="24"/>
          <w:szCs w:val="24"/>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120"/>
      </w:tblGrid>
      <w:tr w:rsidR="0055248C" w:rsidRPr="00E91FCF" w14:paraId="7CD1C24A" w14:textId="77777777" w:rsidTr="005F097B">
        <w:tc>
          <w:tcPr>
            <w:tcW w:w="7508" w:type="dxa"/>
          </w:tcPr>
          <w:p w14:paraId="6FBD8764" w14:textId="77777777" w:rsidR="00BD0E6A" w:rsidRPr="0055248C" w:rsidRDefault="00E91FCF" w:rsidP="00C503F2">
            <w:pPr>
              <w:spacing w:after="120"/>
              <w:ind w:left="603"/>
              <w:rPr>
                <w:rFonts w:ascii="Arial" w:hAnsi="Arial"/>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x</m:t>
                    </m:r>
                  </m:sub>
                </m:sSub>
                <m:d>
                  <m:dPr>
                    <m:ctrlPr>
                      <w:rPr>
                        <w:rFonts w:ascii="Cambria Math" w:hAnsi="Cambria Math"/>
                        <w:i/>
                        <w:sz w:val="24"/>
                        <w:szCs w:val="24"/>
                      </w:rPr>
                    </m:ctrlPr>
                  </m:dPr>
                  <m:e>
                    <m:r>
                      <w:rPr>
                        <w:rFonts w:ascii="Cambria Math" w:hAnsi="Cambria Math"/>
                        <w:sz w:val="24"/>
                        <w:szCs w:val="24"/>
                      </w:rPr>
                      <m:t>u,s</m:t>
                    </m:r>
                  </m:e>
                </m:d>
                <m:r>
                  <w:rPr>
                    <w:rFonts w:ascii="Cambria Math" w:hAnsi="Cambria Math"/>
                    <w:sz w:val="24"/>
                    <w:szCs w:val="24"/>
                  </w:rPr>
                  <m:t>=</m:t>
                </m:r>
                <m:nary>
                  <m:naryPr>
                    <m:limLoc m:val="subSup"/>
                    <m:ctrlPr>
                      <w:rPr>
                        <w:rFonts w:ascii="Cambria Math" w:hAnsi="Cambria Math"/>
                        <w:i/>
                        <w:sz w:val="24"/>
                        <w:szCs w:val="24"/>
                      </w:rPr>
                    </m:ctrlPr>
                  </m:naryPr>
                  <m:sub>
                    <m:r>
                      <w:rPr>
                        <w:rFonts w:ascii="Cambria Math" w:hAnsi="Cambria Math"/>
                        <w:sz w:val="24"/>
                        <w:szCs w:val="24"/>
                      </w:rPr>
                      <m:t>-∞</m:t>
                    </m:r>
                  </m:sub>
                  <m:sup>
                    <m:r>
                      <w:rPr>
                        <w:rFonts w:ascii="Cambria Math" w:hAnsi="Cambria Math"/>
                        <w:sz w:val="24"/>
                        <w:szCs w:val="24"/>
                      </w:rPr>
                      <m:t>+∞</m:t>
                    </m:r>
                  </m:sup>
                  <m:e>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t</m:t>
                        </m:r>
                      </m:e>
                    </m:d>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s</m:t>
                            </m:r>
                          </m:e>
                        </m:rad>
                      </m:den>
                    </m:f>
                    <m:r>
                      <m:rPr>
                        <m:sty m:val="p"/>
                      </m:rPr>
                      <w:rPr>
                        <w:rFonts w:ascii="Cambria Math" w:hAnsi="Cambria Math"/>
                        <w:sz w:val="24"/>
                        <w:szCs w:val="24"/>
                      </w:rPr>
                      <m:t>Ψ</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t-u</m:t>
                            </m:r>
                          </m:num>
                          <m:den>
                            <m:r>
                              <w:rPr>
                                <w:rFonts w:ascii="Cambria Math" w:hAnsi="Cambria Math"/>
                                <w:sz w:val="24"/>
                                <w:szCs w:val="24"/>
                              </w:rPr>
                              <m:t>s</m:t>
                            </m:r>
                          </m:den>
                        </m:f>
                      </m:e>
                    </m:d>
                    <m:r>
                      <w:rPr>
                        <w:rFonts w:ascii="Cambria Math" w:hAnsi="Cambria Math"/>
                        <w:sz w:val="24"/>
                        <w:szCs w:val="24"/>
                      </w:rPr>
                      <m:t>dt</m:t>
                    </m:r>
                  </m:e>
                </m:nary>
              </m:oMath>
            </m:oMathPara>
          </w:p>
        </w:tc>
        <w:tc>
          <w:tcPr>
            <w:tcW w:w="2120" w:type="dxa"/>
            <w:vAlign w:val="center"/>
          </w:tcPr>
          <w:p w14:paraId="55000522" w14:textId="77777777" w:rsidR="00BD0E6A" w:rsidRPr="0055248C" w:rsidRDefault="00BD0E6A" w:rsidP="00EB4A81">
            <w:pPr>
              <w:jc w:val="right"/>
              <w:rPr>
                <w:rFonts w:ascii="Arial" w:hAnsi="Arial"/>
                <w:sz w:val="24"/>
                <w:szCs w:val="24"/>
              </w:rPr>
            </w:pPr>
            <w:r w:rsidRPr="0055248C">
              <w:rPr>
                <w:rFonts w:ascii="Arial" w:hAnsi="Arial"/>
                <w:sz w:val="24"/>
                <w:szCs w:val="24"/>
              </w:rPr>
              <w:t>(4)</w:t>
            </w:r>
          </w:p>
        </w:tc>
      </w:tr>
    </w:tbl>
    <w:p w14:paraId="16178207" w14:textId="77777777" w:rsidR="00BD0E6A" w:rsidRPr="0055248C" w:rsidRDefault="00BD0E6A" w:rsidP="00C503F2">
      <w:pPr>
        <w:jc w:val="both"/>
        <w:rPr>
          <w:rFonts w:ascii="Arial" w:hAnsi="Arial"/>
          <w:sz w:val="24"/>
          <w:szCs w:val="24"/>
          <w:lang w:val="en-US"/>
        </w:rPr>
      </w:pPr>
      <w:r w:rsidRPr="0055248C">
        <w:rPr>
          <w:rFonts w:ascii="Arial" w:hAnsi="Arial"/>
          <w:sz w:val="24"/>
          <w:szCs w:val="24"/>
          <w:lang w:val="en-US"/>
        </w:rPr>
        <w:t xml:space="preserve">where </w:t>
      </w:r>
      <m:oMath>
        <m:r>
          <w:rPr>
            <w:rFonts w:ascii="Cambria Math" w:hAnsi="Cambria Math"/>
            <w:sz w:val="24"/>
            <w:szCs w:val="24"/>
            <w:lang w:val="en-US"/>
          </w:rPr>
          <m:t>u</m:t>
        </m:r>
      </m:oMath>
      <w:r w:rsidRPr="0055248C">
        <w:rPr>
          <w:rFonts w:ascii="Arial" w:hAnsi="Arial"/>
          <w:sz w:val="24"/>
          <w:szCs w:val="24"/>
          <w:lang w:val="en-US"/>
        </w:rPr>
        <w:t xml:space="preserve"> is the location parameter providing the exact position of the wavelet and </w:t>
      </w:r>
      <m:oMath>
        <m:r>
          <w:rPr>
            <w:rFonts w:ascii="Cambria Math" w:hAnsi="Cambria Math"/>
            <w:sz w:val="24"/>
            <w:szCs w:val="24"/>
            <w:lang w:val="en-US"/>
          </w:rPr>
          <m:t>s</m:t>
        </m:r>
      </m:oMath>
      <w:r w:rsidRPr="0055248C">
        <w:rPr>
          <w:rFonts w:ascii="Arial" w:hAnsi="Arial"/>
          <w:sz w:val="24"/>
          <w:szCs w:val="24"/>
          <w:lang w:val="en-US"/>
        </w:rPr>
        <w:t xml:space="preserve"> is the scale dilatation parameter of the </w:t>
      </w:r>
      <w:proofErr w:type="gramStart"/>
      <w:r w:rsidRPr="0055248C">
        <w:rPr>
          <w:rFonts w:ascii="Arial" w:hAnsi="Arial"/>
          <w:sz w:val="24"/>
          <w:szCs w:val="24"/>
          <w:lang w:val="en-US"/>
        </w:rPr>
        <w:t>wavelet.</w:t>
      </w:r>
      <w:proofErr w:type="gramEnd"/>
      <w:r w:rsidRPr="0055248C">
        <w:rPr>
          <w:rFonts w:ascii="Arial" w:hAnsi="Arial"/>
          <w:sz w:val="24"/>
          <w:szCs w:val="24"/>
          <w:lang w:val="en-US"/>
        </w:rPr>
        <w:t xml:space="preserve"> In particular, </w:t>
      </w:r>
      <m:oMath>
        <m:r>
          <w:rPr>
            <w:rFonts w:ascii="Cambria Math" w:hAnsi="Cambria Math"/>
            <w:sz w:val="24"/>
            <w:szCs w:val="24"/>
            <w:lang w:val="en-US"/>
          </w:rPr>
          <m:t>s</m:t>
        </m:r>
      </m:oMath>
      <w:r w:rsidRPr="0055248C">
        <w:rPr>
          <w:rFonts w:ascii="Arial" w:hAnsi="Arial"/>
          <w:sz w:val="24"/>
          <w:szCs w:val="24"/>
          <w:lang w:val="en-US"/>
        </w:rPr>
        <w:t xml:space="preserve"> defines how the wavelet is stretched or dilated, in fact, higher scale implies more stretched wavelet which is appropriate for detection of lower frequencies.</w:t>
      </w:r>
    </w:p>
    <w:p w14:paraId="1EE404D0" w14:textId="2BEA6321" w:rsidR="00BD0E6A" w:rsidRPr="0055248C" w:rsidRDefault="00BD0E6A" w:rsidP="00C503F2">
      <w:pPr>
        <w:jc w:val="both"/>
        <w:rPr>
          <w:rFonts w:ascii="Arial" w:eastAsiaTheme="minorEastAsia" w:hAnsi="Arial"/>
          <w:sz w:val="24"/>
          <w:szCs w:val="24"/>
          <w:lang w:val="en-US"/>
        </w:rPr>
      </w:pPr>
      <w:r w:rsidRPr="0055248C">
        <w:rPr>
          <w:rFonts w:ascii="Arial" w:hAnsi="Arial"/>
          <w:sz w:val="24"/>
          <w:szCs w:val="24"/>
          <w:lang w:val="en-US"/>
        </w:rPr>
        <w:lastRenderedPageBreak/>
        <w:t xml:space="preserve">From the wavelet transforms </w:t>
      </w:r>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x</m:t>
            </m:r>
          </m:sub>
        </m:sSub>
        <m:d>
          <m:dPr>
            <m:ctrlPr>
              <w:rPr>
                <w:rFonts w:ascii="Cambria Math" w:hAnsi="Cambria Math"/>
                <w:i/>
                <w:sz w:val="24"/>
                <w:szCs w:val="24"/>
                <w:lang w:val="en-US"/>
              </w:rPr>
            </m:ctrlPr>
          </m:dPr>
          <m:e>
            <m:r>
              <w:rPr>
                <w:rFonts w:ascii="Cambria Math" w:hAnsi="Cambria Math"/>
                <w:sz w:val="24"/>
                <w:szCs w:val="24"/>
                <w:lang w:val="en-US"/>
              </w:rPr>
              <m:t>u,s</m:t>
            </m:r>
          </m:e>
        </m:d>
      </m:oMath>
      <w:r w:rsidRPr="0055248C">
        <w:rPr>
          <w:rFonts w:ascii="Arial" w:hAnsi="Arial"/>
          <w:sz w:val="24"/>
          <w:szCs w:val="24"/>
          <w:lang w:val="en-US"/>
        </w:rPr>
        <w:t xml:space="preserve"> and </w:t>
      </w:r>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y</m:t>
            </m:r>
          </m:sub>
        </m:sSub>
        <m:d>
          <m:dPr>
            <m:ctrlPr>
              <w:rPr>
                <w:rFonts w:ascii="Cambria Math" w:hAnsi="Cambria Math"/>
                <w:i/>
                <w:sz w:val="24"/>
                <w:szCs w:val="24"/>
                <w:lang w:val="en-US"/>
              </w:rPr>
            </m:ctrlPr>
          </m:dPr>
          <m:e>
            <m:r>
              <w:rPr>
                <w:rFonts w:ascii="Cambria Math" w:hAnsi="Cambria Math"/>
                <w:sz w:val="24"/>
                <w:szCs w:val="24"/>
                <w:lang w:val="en-US"/>
              </w:rPr>
              <m:t>u,s</m:t>
            </m:r>
          </m:e>
        </m:d>
      </m:oMath>
      <w:r w:rsidRPr="0055248C">
        <w:rPr>
          <w:rFonts w:ascii="Arial" w:eastAsiaTheme="minorEastAsia" w:hAnsi="Arial"/>
          <w:sz w:val="24"/>
          <w:szCs w:val="24"/>
          <w:lang w:val="en-US"/>
        </w:rPr>
        <w:t xml:space="preserve"> </w:t>
      </w:r>
      <w:r w:rsidRPr="0055248C">
        <w:rPr>
          <w:rFonts w:ascii="Arial" w:hAnsi="Arial"/>
          <w:sz w:val="24"/>
          <w:szCs w:val="24"/>
          <w:lang w:val="en-US"/>
        </w:rPr>
        <w:t xml:space="preserve">of two signals </w:t>
      </w:r>
      <m:oMath>
        <m:r>
          <w:rPr>
            <w:rFonts w:ascii="Cambria Math" w:hAnsi="Cambria Math"/>
            <w:sz w:val="24"/>
            <w:szCs w:val="24"/>
            <w:lang w:val="en-US"/>
          </w:rPr>
          <m:t>x</m:t>
        </m:r>
      </m:oMath>
      <w:r w:rsidRPr="0055248C">
        <w:rPr>
          <w:rFonts w:ascii="Arial" w:hAnsi="Arial"/>
          <w:sz w:val="24"/>
          <w:szCs w:val="24"/>
          <w:lang w:val="en-US"/>
        </w:rPr>
        <w:t xml:space="preserve"> and </w:t>
      </w:r>
      <m:oMath>
        <m:r>
          <w:rPr>
            <w:rFonts w:ascii="Cambria Math" w:hAnsi="Cambria Math"/>
            <w:sz w:val="24"/>
            <w:szCs w:val="24"/>
            <w:lang w:val="en-US"/>
          </w:rPr>
          <m:t>y</m:t>
        </m:r>
      </m:oMath>
      <w:r w:rsidRPr="0055248C">
        <w:rPr>
          <w:rFonts w:ascii="Arial" w:hAnsi="Arial"/>
          <w:sz w:val="24"/>
          <w:szCs w:val="24"/>
          <w:lang w:val="en-US"/>
        </w:rPr>
        <w:t xml:space="preserve">, we can define the wavelet cross-spectrum between </w:t>
      </w:r>
      <m:oMath>
        <m:r>
          <w:rPr>
            <w:rFonts w:ascii="Cambria Math" w:hAnsi="Cambria Math"/>
            <w:sz w:val="24"/>
            <w:szCs w:val="24"/>
            <w:lang w:val="en-US"/>
          </w:rPr>
          <m:t>x</m:t>
        </m:r>
      </m:oMath>
      <w:r w:rsidRPr="0055248C">
        <w:rPr>
          <w:rFonts w:ascii="Arial" w:hAnsi="Arial"/>
          <w:sz w:val="24"/>
          <w:szCs w:val="24"/>
          <w:lang w:val="en-US"/>
        </w:rPr>
        <w:t xml:space="preserve"> and </w:t>
      </w:r>
      <m:oMath>
        <m:r>
          <w:rPr>
            <w:rFonts w:ascii="Cambria Math" w:hAnsi="Cambria Math"/>
            <w:sz w:val="24"/>
            <w:szCs w:val="24"/>
            <w:lang w:val="en-US"/>
          </w:rPr>
          <m:t>y</m:t>
        </m:r>
      </m:oMath>
      <w:r w:rsidRPr="0055248C">
        <w:rPr>
          <w:rFonts w:ascii="Arial" w:hAnsi="Arial"/>
          <w:sz w:val="24"/>
          <w:szCs w:val="24"/>
          <w:lang w:val="en-US"/>
        </w:rPr>
        <w:t xml:space="preserve"> as follows</w:t>
      </w:r>
      <w:r w:rsidRPr="0055248C">
        <w:rPr>
          <w:rFonts w:ascii="Arial" w:eastAsiaTheme="minorEastAsia" w:hAnsi="Arial"/>
          <w:sz w:val="24"/>
          <w:szCs w:val="24"/>
          <w:lang w:val="en-US"/>
        </w:rPr>
        <w:fldChar w:fldCharType="begin"/>
      </w:r>
      <w:r w:rsidR="00C503F2" w:rsidRPr="0055248C">
        <w:rPr>
          <w:rFonts w:ascii="Arial" w:eastAsiaTheme="minorEastAsia" w:hAnsi="Arial"/>
          <w:sz w:val="24"/>
          <w:szCs w:val="24"/>
          <w:lang w:val="en-US"/>
        </w:rPr>
        <w:instrText xml:space="preserve"> ADDIN ZOTERO_ITEM CSL_CITATION {"citationID":"atT8j7sD","properties":{"formattedCitation":"\\super 5\\nosupersub{}","plainCitation":"5","noteIndex":0},"citationItems":[{"id":2860,"uris":["http://zotero.org/groups/435166/items/CH3DA9LJ"],"itemData":{"id":2860,"type":"article-journal","container-title":"Bulletin of the American Meteorological Society","DOI":"10.1175/1520-0477(1998)079&lt;0061:APGTWA&gt;2.0.CO;2","ISSN":"0003-0007","issue":"1","journalAbbreviation":"Bull. Amer. Meteor. Soc.","language":"en","note":"publisher: American Meteorological Society","page":"61-78","source":"journals.ametsoc.org","title":"A Practical Guide to Wavelet Analysis","volume":"79","author":[{"family":"Torrence","given":"Christopher"},{"family":"Compo","given":"Gilbert P."}],"issued":{"date-parts":[["1998",1,1]]}}}],"schema":"https://github.com/citation-style-language/schema/raw/master/csl-citation.json"} </w:instrText>
      </w:r>
      <w:r w:rsidRPr="0055248C">
        <w:rPr>
          <w:rFonts w:ascii="Arial" w:eastAsiaTheme="minorEastAsia" w:hAnsi="Arial"/>
          <w:sz w:val="24"/>
          <w:szCs w:val="24"/>
          <w:lang w:val="en-US"/>
        </w:rPr>
        <w:fldChar w:fldCharType="separate"/>
      </w:r>
      <w:r w:rsidR="00C503F2" w:rsidRPr="0055248C">
        <w:rPr>
          <w:rFonts w:ascii="Arial" w:hAnsi="Arial"/>
          <w:sz w:val="24"/>
          <w:szCs w:val="24"/>
          <w:vertAlign w:val="superscript"/>
          <w:lang w:val="en-US"/>
        </w:rPr>
        <w:t>5</w:t>
      </w:r>
      <w:r w:rsidRPr="0055248C">
        <w:rPr>
          <w:rFonts w:ascii="Arial" w:eastAsiaTheme="minorEastAsia" w:hAnsi="Arial"/>
          <w:sz w:val="24"/>
          <w:szCs w:val="24"/>
          <w:lang w:val="en-US"/>
        </w:rPr>
        <w:fldChar w:fldCharType="end"/>
      </w:r>
      <w:r w:rsidRPr="0055248C">
        <w:rPr>
          <w:rFonts w:ascii="Arial" w:eastAsiaTheme="minorEastAsia" w:hAnsi="Arial"/>
          <w:sz w:val="24"/>
          <w:szCs w:val="24"/>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553"/>
      </w:tblGrid>
      <w:tr w:rsidR="0055248C" w:rsidRPr="00E91FCF" w14:paraId="350122E6" w14:textId="77777777" w:rsidTr="005F097B">
        <w:tc>
          <w:tcPr>
            <w:tcW w:w="8075" w:type="dxa"/>
          </w:tcPr>
          <w:p w14:paraId="2C9950DE" w14:textId="77777777" w:rsidR="00BD0E6A" w:rsidRPr="0055248C" w:rsidRDefault="00E91FCF" w:rsidP="00C503F2">
            <w:pPr>
              <w:spacing w:after="120"/>
              <w:ind w:left="601"/>
              <w:rPr>
                <w:rFonts w:ascii="Arial" w:hAnsi="Arial"/>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xy</m:t>
                    </m:r>
                  </m:sub>
                </m:sSub>
                <m:d>
                  <m:dPr>
                    <m:ctrlPr>
                      <w:rPr>
                        <w:rFonts w:ascii="Cambria Math" w:hAnsi="Cambria Math"/>
                        <w:i/>
                        <w:sz w:val="24"/>
                        <w:szCs w:val="24"/>
                      </w:rPr>
                    </m:ctrlPr>
                  </m:dPr>
                  <m:e>
                    <m:r>
                      <w:rPr>
                        <w:rFonts w:ascii="Cambria Math" w:hAnsi="Cambria Math"/>
                        <w:sz w:val="24"/>
                        <w:szCs w:val="24"/>
                      </w:rPr>
                      <m:t>u,s</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x</m:t>
                    </m:r>
                  </m:sub>
                </m:sSub>
                <m:d>
                  <m:dPr>
                    <m:ctrlPr>
                      <w:rPr>
                        <w:rFonts w:ascii="Cambria Math" w:hAnsi="Cambria Math"/>
                        <w:i/>
                        <w:sz w:val="24"/>
                        <w:szCs w:val="24"/>
                      </w:rPr>
                    </m:ctrlPr>
                  </m:dPr>
                  <m:e>
                    <m:r>
                      <w:rPr>
                        <w:rFonts w:ascii="Cambria Math" w:hAnsi="Cambria Math"/>
                        <w:sz w:val="24"/>
                        <w:szCs w:val="24"/>
                      </w:rPr>
                      <m:t>u,s</m:t>
                    </m:r>
                  </m:e>
                </m:d>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y</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u,s</m:t>
                    </m:r>
                  </m:e>
                </m:d>
              </m:oMath>
            </m:oMathPara>
          </w:p>
        </w:tc>
        <w:tc>
          <w:tcPr>
            <w:tcW w:w="1553" w:type="dxa"/>
            <w:vAlign w:val="center"/>
          </w:tcPr>
          <w:p w14:paraId="10C01C0F" w14:textId="77777777" w:rsidR="00BD0E6A" w:rsidRPr="0055248C" w:rsidRDefault="00BD0E6A" w:rsidP="00EB4A81">
            <w:pPr>
              <w:jc w:val="right"/>
              <w:rPr>
                <w:rFonts w:ascii="Arial" w:hAnsi="Arial"/>
                <w:sz w:val="24"/>
                <w:szCs w:val="24"/>
              </w:rPr>
            </w:pPr>
            <w:r w:rsidRPr="0055248C">
              <w:rPr>
                <w:rFonts w:ascii="Arial" w:hAnsi="Arial"/>
                <w:sz w:val="24"/>
                <w:szCs w:val="24"/>
              </w:rPr>
              <w:t>(5)</w:t>
            </w:r>
          </w:p>
        </w:tc>
      </w:tr>
    </w:tbl>
    <w:p w14:paraId="07A494EB" w14:textId="77777777" w:rsidR="00BD0E6A" w:rsidRPr="0055248C" w:rsidRDefault="00BD0E6A" w:rsidP="00C503F2">
      <w:pPr>
        <w:jc w:val="both"/>
        <w:rPr>
          <w:rFonts w:ascii="Arial" w:hAnsi="Arial"/>
          <w:sz w:val="24"/>
          <w:szCs w:val="24"/>
          <w:lang w:val="en-US"/>
        </w:rPr>
      </w:pPr>
      <w:r w:rsidRPr="0055248C">
        <w:rPr>
          <w:rFonts w:ascii="Arial" w:hAnsi="Arial"/>
          <w:sz w:val="24"/>
          <w:szCs w:val="24"/>
          <w:lang w:val="en-US"/>
        </w:rPr>
        <w:t xml:space="preserve">where </w:t>
      </w:r>
      <m:oMath>
        <m:r>
          <w:rPr>
            <w:rFonts w:ascii="Cambria Math" w:hAnsi="Cambria Math"/>
            <w:sz w:val="24"/>
            <w:szCs w:val="24"/>
            <w:lang w:val="en-US"/>
          </w:rPr>
          <m:t>*</m:t>
        </m:r>
      </m:oMath>
      <w:r w:rsidRPr="0055248C">
        <w:rPr>
          <w:rFonts w:ascii="Arial" w:hAnsi="Arial"/>
          <w:sz w:val="24"/>
          <w:szCs w:val="24"/>
          <w:lang w:val="en-US"/>
        </w:rPr>
        <w:t xml:space="preserve"> denotes the complex conjugate, </w:t>
      </w:r>
      <m:oMath>
        <m:r>
          <w:rPr>
            <w:rFonts w:ascii="Cambria Math" w:hAnsi="Cambria Math"/>
            <w:sz w:val="24"/>
            <w:szCs w:val="24"/>
            <w:lang w:val="en-US"/>
          </w:rPr>
          <m:t>u</m:t>
        </m:r>
      </m:oMath>
      <w:r w:rsidRPr="0055248C">
        <w:rPr>
          <w:rFonts w:ascii="Arial" w:hAnsi="Arial"/>
          <w:sz w:val="24"/>
          <w:szCs w:val="24"/>
          <w:lang w:val="en-US"/>
        </w:rPr>
        <w:t xml:space="preserve"> refers to the position index and </w:t>
      </w:r>
      <m:oMath>
        <m:r>
          <w:rPr>
            <w:rFonts w:ascii="Cambria Math" w:hAnsi="Cambria Math"/>
            <w:sz w:val="24"/>
            <w:szCs w:val="24"/>
            <w:lang w:val="en-US"/>
          </w:rPr>
          <m:t>s</m:t>
        </m:r>
      </m:oMath>
      <w:r w:rsidRPr="0055248C">
        <w:rPr>
          <w:rFonts w:ascii="Arial" w:hAnsi="Arial"/>
          <w:sz w:val="24"/>
          <w:szCs w:val="24"/>
          <w:lang w:val="en-US"/>
        </w:rPr>
        <w:t xml:space="preserve"> is the scale.</w:t>
      </w:r>
    </w:p>
    <w:p w14:paraId="4FF1BA29" w14:textId="77777777" w:rsidR="00BD0E6A" w:rsidRPr="0055248C" w:rsidRDefault="00BD0E6A" w:rsidP="00C503F2">
      <w:pPr>
        <w:jc w:val="both"/>
        <w:rPr>
          <w:rFonts w:ascii="Arial" w:hAnsi="Arial"/>
          <w:sz w:val="24"/>
          <w:szCs w:val="24"/>
          <w:lang w:val="en-US"/>
        </w:rPr>
      </w:pPr>
      <w:r w:rsidRPr="0055248C">
        <w:rPr>
          <w:rFonts w:ascii="Arial" w:hAnsi="Arial"/>
          <w:sz w:val="24"/>
          <w:szCs w:val="24"/>
          <w:lang w:val="en-US"/>
        </w:rPr>
        <w:t>The wavelet coherence is defined as the absolute value of the smoothed cross wavelet spectra normalized by the product of the smoothed individual wavelet power spectra of each selected time series. Formally, the squared wavelet coefficient is given as: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28"/>
      </w:tblGrid>
      <w:tr w:rsidR="0055248C" w:rsidRPr="0055248C" w14:paraId="715D7C74" w14:textId="77777777" w:rsidTr="005F097B">
        <w:tc>
          <w:tcPr>
            <w:tcW w:w="8500" w:type="dxa"/>
          </w:tcPr>
          <w:p w14:paraId="077F98FB" w14:textId="52DDBBB3" w:rsidR="00BD0E6A" w:rsidRPr="0055248C" w:rsidRDefault="00E91FCF" w:rsidP="00C503F2">
            <w:pPr>
              <w:spacing w:after="120"/>
              <w:rPr>
                <w:rFonts w:ascii="Arial" w:hAnsi="Arial"/>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
                  <m:dPr>
                    <m:ctrlPr>
                      <w:rPr>
                        <w:rFonts w:ascii="Cambria Math" w:hAnsi="Cambria Math"/>
                        <w:i/>
                        <w:sz w:val="24"/>
                        <w:szCs w:val="24"/>
                      </w:rPr>
                    </m:ctrlPr>
                  </m:dPr>
                  <m:e>
                    <m:r>
                      <w:rPr>
                        <w:rFonts w:ascii="Cambria Math" w:hAnsi="Cambria Math"/>
                        <w:sz w:val="24"/>
                        <w:szCs w:val="24"/>
                      </w:rPr>
                      <m:t>u,s</m:t>
                    </m: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xy</m:t>
                                </m:r>
                              </m:sub>
                            </m:sSub>
                            <m:d>
                              <m:dPr>
                                <m:ctrlPr>
                                  <w:rPr>
                                    <w:rFonts w:ascii="Cambria Math" w:hAnsi="Cambria Math"/>
                                    <w:i/>
                                    <w:sz w:val="24"/>
                                    <w:szCs w:val="24"/>
                                  </w:rPr>
                                </m:ctrlPr>
                              </m:dPr>
                              <m:e>
                                <m:r>
                                  <w:rPr>
                                    <w:rFonts w:ascii="Cambria Math" w:hAnsi="Cambria Math"/>
                                    <w:sz w:val="24"/>
                                    <w:szCs w:val="24"/>
                                  </w:rPr>
                                  <m:t>u,s</m:t>
                                </m:r>
                              </m:e>
                            </m:d>
                            <m:r>
                              <w:rPr>
                                <w:rFonts w:ascii="Cambria Math" w:hAnsi="Cambria Math"/>
                                <w:sz w:val="24"/>
                                <w:szCs w:val="24"/>
                              </w:rPr>
                              <m:t>)</m:t>
                            </m:r>
                          </m:e>
                        </m:d>
                      </m:e>
                      <m:sup>
                        <m:r>
                          <w:rPr>
                            <w:rFonts w:ascii="Cambria Math" w:hAnsi="Cambria Math"/>
                            <w:sz w:val="24"/>
                            <w:szCs w:val="24"/>
                          </w:rPr>
                          <m:t>2</m:t>
                        </m:r>
                      </m:sup>
                    </m:sSup>
                  </m:num>
                  <m:den>
                    <m:r>
                      <w:rPr>
                        <w:rFonts w:ascii="Cambria Math" w:hAnsi="Cambria Math"/>
                        <w:sz w:val="24"/>
                        <w:szCs w:val="24"/>
                      </w:rPr>
                      <m:t>S(</m:t>
                    </m:r>
                    <m:sSup>
                      <m:sSupPr>
                        <m:ctrlPr>
                          <w:rPr>
                            <w:rFonts w:ascii="Cambria Math" w:hAnsi="Cambria Math"/>
                            <w:i/>
                            <w:sz w:val="24"/>
                            <w:szCs w:val="24"/>
                          </w:rPr>
                        </m:ctrlPr>
                      </m:sSupPr>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x</m:t>
                                </m:r>
                              </m:sub>
                            </m:sSub>
                            <m:d>
                              <m:dPr>
                                <m:ctrlPr>
                                  <w:rPr>
                                    <w:rFonts w:ascii="Cambria Math" w:hAnsi="Cambria Math"/>
                                    <w:i/>
                                    <w:sz w:val="24"/>
                                    <w:szCs w:val="24"/>
                                  </w:rPr>
                                </m:ctrlPr>
                              </m:dPr>
                              <m:e>
                                <m:r>
                                  <w:rPr>
                                    <w:rFonts w:ascii="Cambria Math" w:hAnsi="Cambria Math"/>
                                    <w:sz w:val="24"/>
                                    <w:szCs w:val="24"/>
                                  </w:rPr>
                                  <m:t>u,s</m:t>
                                </m:r>
                              </m:e>
                            </m:d>
                          </m:e>
                        </m:d>
                      </m:e>
                      <m:sup>
                        <m:r>
                          <w:rPr>
                            <w:rFonts w:ascii="Cambria Math" w:hAnsi="Cambria Math"/>
                            <w:sz w:val="24"/>
                            <w:szCs w:val="24"/>
                          </w:rPr>
                          <m:t>2</m:t>
                        </m:r>
                      </m:sup>
                    </m:sSup>
                    <m:r>
                      <w:rPr>
                        <w:rFonts w:ascii="Cambria Math" w:hAnsi="Cambria Math"/>
                        <w:sz w:val="24"/>
                        <w:szCs w:val="24"/>
                      </w:rPr>
                      <m:t>)S(</m:t>
                    </m:r>
                    <m:sSup>
                      <m:sSupPr>
                        <m:ctrlPr>
                          <w:rPr>
                            <w:rFonts w:ascii="Cambria Math" w:hAnsi="Cambria Math"/>
                            <w:i/>
                            <w:sz w:val="24"/>
                            <w:szCs w:val="24"/>
                          </w:rPr>
                        </m:ctrlPr>
                      </m:sSupPr>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y</m:t>
                                </m:r>
                              </m:sub>
                            </m:sSub>
                            <m:d>
                              <m:dPr>
                                <m:ctrlPr>
                                  <w:rPr>
                                    <w:rFonts w:ascii="Cambria Math" w:hAnsi="Cambria Math"/>
                                    <w:i/>
                                    <w:sz w:val="24"/>
                                    <w:szCs w:val="24"/>
                                  </w:rPr>
                                </m:ctrlPr>
                              </m:dPr>
                              <m:e>
                                <m:r>
                                  <w:rPr>
                                    <w:rFonts w:ascii="Cambria Math" w:hAnsi="Cambria Math"/>
                                    <w:sz w:val="24"/>
                                    <w:szCs w:val="24"/>
                                  </w:rPr>
                                  <m:t>u,s</m:t>
                                </m:r>
                              </m:e>
                            </m:d>
                          </m:e>
                        </m:d>
                      </m:e>
                      <m:sup>
                        <m:r>
                          <w:rPr>
                            <w:rFonts w:ascii="Cambria Math" w:hAnsi="Cambria Math"/>
                            <w:sz w:val="24"/>
                            <w:szCs w:val="24"/>
                          </w:rPr>
                          <m:t>2</m:t>
                        </m:r>
                      </m:sup>
                    </m:sSup>
                    <m:r>
                      <w:rPr>
                        <w:rFonts w:ascii="Cambria Math" w:hAnsi="Cambria Math"/>
                        <w:sz w:val="24"/>
                        <w:szCs w:val="24"/>
                      </w:rPr>
                      <m:t>)</m:t>
                    </m:r>
                  </m:den>
                </m:f>
              </m:oMath>
            </m:oMathPara>
          </w:p>
        </w:tc>
        <w:tc>
          <w:tcPr>
            <w:tcW w:w="1128" w:type="dxa"/>
            <w:vAlign w:val="center"/>
          </w:tcPr>
          <w:p w14:paraId="451C7FBE" w14:textId="77777777" w:rsidR="00BD0E6A" w:rsidRPr="0055248C" w:rsidRDefault="00BD0E6A" w:rsidP="00EB4A81">
            <w:pPr>
              <w:jc w:val="right"/>
              <w:rPr>
                <w:rFonts w:ascii="Arial" w:hAnsi="Arial"/>
                <w:sz w:val="24"/>
                <w:szCs w:val="24"/>
              </w:rPr>
            </w:pPr>
            <w:r w:rsidRPr="0055248C">
              <w:rPr>
                <w:rFonts w:ascii="Arial" w:hAnsi="Arial"/>
                <w:sz w:val="24"/>
                <w:szCs w:val="24"/>
              </w:rPr>
              <w:t>(6)</w:t>
            </w:r>
          </w:p>
        </w:tc>
      </w:tr>
    </w:tbl>
    <w:p w14:paraId="2A7C6594" w14:textId="77777777" w:rsidR="00BD0E6A" w:rsidRPr="0055248C" w:rsidRDefault="00BD0E6A" w:rsidP="00C503F2">
      <w:pPr>
        <w:jc w:val="both"/>
        <w:rPr>
          <w:rFonts w:ascii="Arial" w:eastAsiaTheme="minorEastAsia" w:hAnsi="Arial"/>
          <w:sz w:val="24"/>
          <w:szCs w:val="24"/>
          <w:lang w:val="en-US"/>
        </w:rPr>
      </w:pPr>
      <w:r w:rsidRPr="0055248C">
        <w:rPr>
          <w:rFonts w:ascii="Arial" w:hAnsi="Arial"/>
          <w:sz w:val="24"/>
          <w:szCs w:val="24"/>
          <w:lang w:val="en-US"/>
        </w:rPr>
        <w:t xml:space="preserve">where </w:t>
      </w:r>
      <m:oMath>
        <m:r>
          <w:rPr>
            <w:rFonts w:ascii="Cambria Math" w:hAnsi="Cambria Math"/>
            <w:sz w:val="24"/>
            <w:szCs w:val="24"/>
            <w:lang w:val="en-US"/>
          </w:rPr>
          <m:t>S</m:t>
        </m:r>
      </m:oMath>
      <w:r w:rsidRPr="0055248C">
        <w:rPr>
          <w:rFonts w:ascii="Arial" w:eastAsiaTheme="minorEastAsia" w:hAnsi="Arial"/>
          <w:sz w:val="24"/>
          <w:szCs w:val="24"/>
          <w:lang w:val="en-US"/>
        </w:rPr>
        <w:t xml:space="preserve"> denotes the smoothing parameter across both time and scale.</w:t>
      </w:r>
    </w:p>
    <w:p w14:paraId="0151A6ED" w14:textId="35E1A101" w:rsidR="00BD0E6A" w:rsidRPr="0055248C" w:rsidRDefault="00BD0E6A" w:rsidP="00C503F2">
      <w:pPr>
        <w:jc w:val="both"/>
        <w:rPr>
          <w:rFonts w:ascii="Arial" w:hAnsi="Arial"/>
          <w:sz w:val="24"/>
          <w:szCs w:val="24"/>
          <w:lang w:val="en-US"/>
        </w:rPr>
      </w:pPr>
      <w:r w:rsidRPr="0055248C">
        <w:rPr>
          <w:rFonts w:ascii="Arial" w:hAnsi="Arial"/>
          <w:sz w:val="24"/>
          <w:szCs w:val="24"/>
          <w:lang w:val="en-US"/>
        </w:rPr>
        <w:t xml:space="preserve">The squared wavelet coherence coefficient is in the range </w:t>
      </w:r>
      <m:oMath>
        <m:r>
          <w:rPr>
            <w:rFonts w:ascii="Cambria Math" w:hAnsi="Cambria Math"/>
            <w:sz w:val="24"/>
            <w:szCs w:val="24"/>
            <w:lang w:val="en-US"/>
          </w:rPr>
          <m:t xml:space="preserve">0 ≤ </m:t>
        </m:r>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2</m:t>
            </m:r>
          </m:sup>
        </m:sSup>
        <m:d>
          <m:dPr>
            <m:ctrlPr>
              <w:rPr>
                <w:rFonts w:ascii="Cambria Math" w:hAnsi="Cambria Math"/>
                <w:i/>
                <w:sz w:val="24"/>
                <w:szCs w:val="24"/>
                <w:lang w:val="en-US"/>
              </w:rPr>
            </m:ctrlPr>
          </m:dPr>
          <m:e>
            <m:r>
              <w:rPr>
                <w:rFonts w:ascii="Cambria Math" w:hAnsi="Cambria Math"/>
                <w:sz w:val="24"/>
                <w:szCs w:val="24"/>
                <w:lang w:val="en-US"/>
              </w:rPr>
              <m:t>u,s</m:t>
            </m:r>
          </m:e>
        </m:d>
        <m:r>
          <w:rPr>
            <w:rFonts w:ascii="Cambria Math" w:hAnsi="Cambria Math"/>
            <w:sz w:val="24"/>
            <w:szCs w:val="24"/>
            <w:lang w:val="en-US"/>
          </w:rPr>
          <m:t xml:space="preserve"> ≤ 1</m:t>
        </m:r>
      </m:oMath>
      <w:r w:rsidRPr="0055248C">
        <w:rPr>
          <w:rFonts w:ascii="Arial" w:hAnsi="Arial"/>
          <w:sz w:val="24"/>
          <w:szCs w:val="24"/>
          <w:lang w:val="en-US"/>
        </w:rPr>
        <w:t xml:space="preserve"> and values close to zero indicate weak correlation while that close to one confirms the presence of high correlation</w:t>
      </w:r>
      <w:r w:rsidRPr="0055248C">
        <w:rPr>
          <w:rFonts w:ascii="Arial" w:hAnsi="Arial"/>
          <w:sz w:val="24"/>
          <w:szCs w:val="24"/>
          <w:lang w:val="en-US"/>
        </w:rPr>
        <w:fldChar w:fldCharType="begin"/>
      </w:r>
      <w:r w:rsidR="00C503F2" w:rsidRPr="0055248C">
        <w:rPr>
          <w:rFonts w:ascii="Arial" w:hAnsi="Arial"/>
          <w:sz w:val="24"/>
          <w:szCs w:val="24"/>
          <w:lang w:val="en-US"/>
        </w:rPr>
        <w:instrText xml:space="preserve"> ADDIN ZOTERO_ITEM CSL_CITATION {"citationID":"DU476R4K","properties":{"formattedCitation":"\\super 6\\nosupersub{}","plainCitation":"6","noteIndex":0},"citationItems":[{"id":2859,"uris":["http://zotero.org/groups/435166/items/TDBANDME"],"itemData":{"id":2859,"type":"article-journal","abstract":"This paper introduces the use of wavelet analysis to follow the temporal variations in the coupling between oscillatory neural signals. Coherence, based on Fourier analysis, has been commonly used as a first approximation to track such coupling under the assumption that neural signals are stationary. Yet, stationary neural processing may be the exception rather than the rule. In this context, the recent application to physical systems of a wavelet-based coherence, which does not depend on the stationarity of the signals, is highly relevant. This paper fully develops the method of wavelet coherence and its statistical properties so that it can be practically applied to continuous neural signals. In realistic simulations, we show that, in contrast to Fourier coherence, wavelet coherence can detect short, significant episodes of coherence between non-stationary neural signals. This method can be directly applied for an 'online' quantification of the instantaneous coherence between two signals.","container-title":"Neurophysiologie Clinique = Clinical Neurophysiology","DOI":"10.1016/s0987-7053(02)00301-5","ISSN":"0987-7053","issue":"3","journalAbbreviation":"Neurophysiol Clin","language":"eng","note":"PMID: 12162182","page":"157-174","source":"PubMed","title":"Estimating the time-course of coherence between single-trial brain signals: an introduction to wavelet coherence","title-short":"Estimating the time-course of coherence between single-trial brain signals","volume":"32","author":[{"family":"Lachaux","given":"Jean-Philippe"},{"family":"Lutz","given":"Antoine"},{"family":"Rudrauf","given":"David"},{"family":"Cosmelli","given":"Diego"},{"family":"Le Van Quyen","given":"Michel"},{"family":"Martinerie","given":"Jacques"},{"family":"Varela","given":"Francisco"}],"issued":{"date-parts":[["2002",6]]}}}],"schema":"https://github.com/citation-style-language/schema/raw/master/csl-citation.json"} </w:instrText>
      </w:r>
      <w:r w:rsidRPr="0055248C">
        <w:rPr>
          <w:rFonts w:ascii="Arial" w:hAnsi="Arial"/>
          <w:sz w:val="24"/>
          <w:szCs w:val="24"/>
          <w:lang w:val="en-US"/>
        </w:rPr>
        <w:fldChar w:fldCharType="separate"/>
      </w:r>
      <w:r w:rsidR="00C503F2" w:rsidRPr="0055248C">
        <w:rPr>
          <w:rFonts w:ascii="Arial" w:hAnsi="Arial"/>
          <w:sz w:val="24"/>
          <w:szCs w:val="24"/>
          <w:vertAlign w:val="superscript"/>
          <w:lang w:val="en-US"/>
        </w:rPr>
        <w:t>6</w:t>
      </w:r>
      <w:r w:rsidRPr="0055248C">
        <w:rPr>
          <w:rFonts w:ascii="Arial" w:hAnsi="Arial"/>
          <w:sz w:val="24"/>
          <w:szCs w:val="24"/>
          <w:lang w:val="en-US"/>
        </w:rPr>
        <w:fldChar w:fldCharType="end"/>
      </w:r>
      <w:r w:rsidRPr="0055248C">
        <w:rPr>
          <w:rFonts w:ascii="Arial" w:hAnsi="Arial"/>
          <w:sz w:val="24"/>
          <w:szCs w:val="24"/>
          <w:lang w:val="en-US"/>
        </w:rPr>
        <w:t>.</w:t>
      </w:r>
    </w:p>
    <w:p w14:paraId="57F72D48" w14:textId="77777777" w:rsidR="00EB4A81" w:rsidRPr="0055248C" w:rsidRDefault="00EB4A81" w:rsidP="00BD0E6A">
      <w:pPr>
        <w:rPr>
          <w:lang w:val="en-US"/>
        </w:rPr>
        <w:sectPr w:rsidR="00EB4A81" w:rsidRPr="0055248C">
          <w:pgSz w:w="11900" w:h="16838"/>
          <w:pgMar w:top="1423" w:right="1126" w:bottom="1440" w:left="1140" w:header="0" w:footer="0" w:gutter="0"/>
          <w:cols w:space="0" w:equalWidth="0">
            <w:col w:w="9640"/>
          </w:cols>
          <w:docGrid w:linePitch="360"/>
        </w:sectPr>
      </w:pPr>
    </w:p>
    <w:p w14:paraId="0B31691C" w14:textId="019A0748" w:rsidR="006E36F9" w:rsidRPr="0055248C" w:rsidRDefault="006E36F9" w:rsidP="00BD0E6A">
      <w:pPr>
        <w:rPr>
          <w:lang w:val="en-US"/>
        </w:rPr>
      </w:pPr>
    </w:p>
    <w:p w14:paraId="33EB88B7" w14:textId="564C3264" w:rsidR="00A15D8B" w:rsidRPr="0055248C" w:rsidRDefault="00A15D8B" w:rsidP="00A15D8B">
      <w:pPr>
        <w:pStyle w:val="Titolo2"/>
        <w:numPr>
          <w:ilvl w:val="0"/>
          <w:numId w:val="0"/>
        </w:numPr>
        <w:ind w:left="576" w:hanging="576"/>
        <w:rPr>
          <w:sz w:val="24"/>
          <w:szCs w:val="24"/>
          <w:lang w:val="en-US"/>
        </w:rPr>
      </w:pPr>
      <w:r w:rsidRPr="0055248C">
        <w:rPr>
          <w:sz w:val="24"/>
          <w:szCs w:val="24"/>
          <w:lang w:val="en-US"/>
        </w:rPr>
        <w:t>ERP characterization</w:t>
      </w:r>
    </w:p>
    <w:p w14:paraId="0D15F9CD" w14:textId="1F1CDA22" w:rsidR="006E36F9" w:rsidRPr="0055248C" w:rsidRDefault="006E36F9" w:rsidP="00BD0E6A">
      <w:pPr>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4"/>
      </w:tblGrid>
      <w:tr w:rsidR="0055248C" w:rsidRPr="0055248C" w14:paraId="214E088C" w14:textId="77777777" w:rsidTr="006E36F9">
        <w:tc>
          <w:tcPr>
            <w:tcW w:w="9624" w:type="dxa"/>
          </w:tcPr>
          <w:p w14:paraId="188AD65A" w14:textId="647DE75B" w:rsidR="006E36F9" w:rsidRPr="0055248C" w:rsidRDefault="006E36F9" w:rsidP="006E36F9">
            <w:pPr>
              <w:jc w:val="center"/>
            </w:pPr>
            <w:r w:rsidRPr="0055248C">
              <w:rPr>
                <w:noProof/>
              </w:rPr>
              <w:drawing>
                <wp:inline distT="0" distB="0" distL="0" distR="0" wp14:anchorId="475740E9" wp14:editId="096506E3">
                  <wp:extent cx="5400000" cy="359607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0" cy="3596070"/>
                          </a:xfrm>
                          <a:prstGeom prst="rect">
                            <a:avLst/>
                          </a:prstGeom>
                          <a:noFill/>
                          <a:ln>
                            <a:noFill/>
                          </a:ln>
                        </pic:spPr>
                      </pic:pic>
                    </a:graphicData>
                  </a:graphic>
                </wp:inline>
              </w:drawing>
            </w:r>
          </w:p>
        </w:tc>
      </w:tr>
      <w:tr w:rsidR="0055248C" w:rsidRPr="0055248C" w14:paraId="3480A2EF" w14:textId="77777777" w:rsidTr="006E36F9">
        <w:tc>
          <w:tcPr>
            <w:tcW w:w="9624" w:type="dxa"/>
          </w:tcPr>
          <w:p w14:paraId="49AAB222" w14:textId="7949FB77" w:rsidR="006E36F9" w:rsidRPr="0055248C" w:rsidRDefault="006E36F9" w:rsidP="006E36F9">
            <w:pPr>
              <w:jc w:val="center"/>
            </w:pPr>
            <w:r w:rsidRPr="0055248C">
              <w:rPr>
                <w:rFonts w:ascii="Arial" w:eastAsia="Arial" w:hAnsi="Arial"/>
                <w:i/>
                <w:iCs/>
                <w:szCs w:val="18"/>
                <w:lang w:eastAsia="it-IT"/>
              </w:rPr>
              <w:t xml:space="preserve">Figure S1 – Grand Average (N=14 dyads) waveforms at </w:t>
            </w:r>
            <w:proofErr w:type="spellStart"/>
            <w:r w:rsidRPr="0055248C">
              <w:rPr>
                <w:rFonts w:ascii="Arial" w:eastAsia="Arial" w:hAnsi="Arial"/>
                <w:i/>
                <w:iCs/>
                <w:szCs w:val="18"/>
                <w:lang w:eastAsia="it-IT"/>
              </w:rPr>
              <w:t>Pz</w:t>
            </w:r>
            <w:proofErr w:type="spellEnd"/>
            <w:r w:rsidRPr="0055248C">
              <w:rPr>
                <w:rFonts w:ascii="Arial" w:eastAsia="Arial" w:hAnsi="Arial"/>
                <w:i/>
                <w:iCs/>
                <w:szCs w:val="18"/>
                <w:lang w:eastAsia="it-IT"/>
              </w:rPr>
              <w:t xml:space="preserve"> location, obtained separately for receivers (panels a and b) and observers (panels c and d) according to different levels of fairness (fair in red, unfair in black and </w:t>
            </w:r>
            <w:proofErr w:type="spellStart"/>
            <w:r w:rsidRPr="0055248C">
              <w:rPr>
                <w:rFonts w:ascii="Arial" w:eastAsia="Arial" w:hAnsi="Arial"/>
                <w:i/>
                <w:iCs/>
                <w:szCs w:val="18"/>
                <w:lang w:eastAsia="it-IT"/>
              </w:rPr>
              <w:t>hyperunfair</w:t>
            </w:r>
            <w:proofErr w:type="spellEnd"/>
            <w:r w:rsidRPr="0055248C">
              <w:rPr>
                <w:rFonts w:ascii="Arial" w:eastAsia="Arial" w:hAnsi="Arial"/>
                <w:i/>
                <w:iCs/>
                <w:szCs w:val="18"/>
                <w:lang w:eastAsia="it-IT"/>
              </w:rPr>
              <w:t xml:space="preserve"> in blue), for the Agent (panels a and c) and PC (panels b and d) conditions. Each waveform is reported with its relative 95% confidence interval.</w:t>
            </w:r>
          </w:p>
        </w:tc>
      </w:tr>
    </w:tbl>
    <w:p w14:paraId="13AAF102" w14:textId="131E9141" w:rsidR="00E85A64" w:rsidRPr="0055248C" w:rsidRDefault="00E85A64" w:rsidP="00EB4A81">
      <w:pPr>
        <w:rPr>
          <w:lang w:val="en-US"/>
        </w:rPr>
      </w:pPr>
    </w:p>
    <w:p w14:paraId="5628E231" w14:textId="0EDFA237" w:rsidR="00C63BAD" w:rsidRPr="0055248C" w:rsidRDefault="00C63BAD" w:rsidP="00C63BAD">
      <w:pPr>
        <w:jc w:val="both"/>
        <w:rPr>
          <w:rFonts w:ascii="Arial" w:hAnsi="Arial"/>
          <w:bCs/>
          <w:sz w:val="24"/>
          <w:szCs w:val="24"/>
          <w:lang w:val="en-US"/>
        </w:rPr>
      </w:pPr>
      <w:r w:rsidRPr="0055248C">
        <w:rPr>
          <w:rFonts w:ascii="Arial" w:hAnsi="Arial"/>
          <w:bCs/>
          <w:sz w:val="24"/>
          <w:szCs w:val="24"/>
          <w:lang w:val="en-US"/>
        </w:rPr>
        <w:t xml:space="preserve">In the main text of the manuscript, we focused only on </w:t>
      </w:r>
      <w:r w:rsidR="00731017" w:rsidRPr="0055248C">
        <w:rPr>
          <w:rFonts w:ascii="Arial" w:hAnsi="Arial"/>
          <w:bCs/>
          <w:sz w:val="24"/>
          <w:szCs w:val="24"/>
          <w:lang w:val="en-US"/>
        </w:rPr>
        <w:t xml:space="preserve">the </w:t>
      </w:r>
      <w:r w:rsidRPr="0055248C">
        <w:rPr>
          <w:rFonts w:ascii="Arial" w:hAnsi="Arial"/>
          <w:bCs/>
          <w:sz w:val="24"/>
          <w:szCs w:val="24"/>
          <w:lang w:val="en-US"/>
        </w:rPr>
        <w:t xml:space="preserve">fair and </w:t>
      </w:r>
      <w:proofErr w:type="spellStart"/>
      <w:r w:rsidRPr="0055248C">
        <w:rPr>
          <w:rFonts w:ascii="Arial" w:hAnsi="Arial"/>
          <w:bCs/>
          <w:sz w:val="24"/>
          <w:szCs w:val="24"/>
          <w:lang w:val="en-US"/>
        </w:rPr>
        <w:t>hyperunfair</w:t>
      </w:r>
      <w:proofErr w:type="spellEnd"/>
      <w:r w:rsidRPr="0055248C">
        <w:rPr>
          <w:rFonts w:ascii="Arial" w:hAnsi="Arial"/>
          <w:bCs/>
          <w:sz w:val="24"/>
          <w:szCs w:val="24"/>
          <w:lang w:val="en-US"/>
        </w:rPr>
        <w:t xml:space="preserve"> conditions. In order to provide the reader with more details, in figure S1 we showed the same waveforms of figure 1 but we </w:t>
      </w:r>
      <w:proofErr w:type="gramStart"/>
      <w:r w:rsidRPr="0055248C">
        <w:rPr>
          <w:rFonts w:ascii="Arial" w:hAnsi="Arial"/>
          <w:bCs/>
          <w:sz w:val="24"/>
          <w:szCs w:val="24"/>
          <w:lang w:val="en-US"/>
        </w:rPr>
        <w:t>included also</w:t>
      </w:r>
      <w:proofErr w:type="gramEnd"/>
      <w:r w:rsidRPr="0055248C">
        <w:rPr>
          <w:rFonts w:ascii="Arial" w:hAnsi="Arial"/>
          <w:bCs/>
          <w:sz w:val="24"/>
          <w:szCs w:val="24"/>
          <w:lang w:val="en-US"/>
        </w:rPr>
        <w:t xml:space="preserve"> the ERP grand average related to unfair condition (in black in the figure). No differences were found between waveforms related to unfair and </w:t>
      </w:r>
      <w:proofErr w:type="spellStart"/>
      <w:r w:rsidRPr="0055248C">
        <w:rPr>
          <w:rFonts w:ascii="Arial" w:hAnsi="Arial"/>
          <w:bCs/>
          <w:sz w:val="24"/>
          <w:szCs w:val="24"/>
          <w:lang w:val="en-US"/>
        </w:rPr>
        <w:t>hyperunfair</w:t>
      </w:r>
      <w:proofErr w:type="spellEnd"/>
      <w:r w:rsidRPr="0055248C">
        <w:rPr>
          <w:rFonts w:ascii="Arial" w:hAnsi="Arial"/>
          <w:bCs/>
          <w:sz w:val="24"/>
          <w:szCs w:val="24"/>
          <w:lang w:val="en-US"/>
        </w:rPr>
        <w:t xml:space="preserve"> conditions for both receiver and observer in both Agent and PC conditions. For this reason, we </w:t>
      </w:r>
      <w:r w:rsidR="00731017" w:rsidRPr="0055248C">
        <w:rPr>
          <w:rFonts w:ascii="Arial" w:hAnsi="Arial"/>
          <w:bCs/>
          <w:sz w:val="24"/>
          <w:szCs w:val="24"/>
          <w:lang w:val="en-US"/>
        </w:rPr>
        <w:t>decided</w:t>
      </w:r>
      <w:r w:rsidRPr="0055248C">
        <w:rPr>
          <w:rFonts w:ascii="Arial" w:hAnsi="Arial"/>
          <w:bCs/>
          <w:sz w:val="24"/>
          <w:szCs w:val="24"/>
          <w:lang w:val="en-US"/>
        </w:rPr>
        <w:t xml:space="preserve"> to carry on all the following analysis excluding </w:t>
      </w:r>
      <w:r w:rsidR="00731017" w:rsidRPr="0055248C">
        <w:rPr>
          <w:rFonts w:ascii="Arial" w:hAnsi="Arial"/>
          <w:bCs/>
          <w:sz w:val="24"/>
          <w:szCs w:val="24"/>
          <w:lang w:val="en-US"/>
        </w:rPr>
        <w:t xml:space="preserve">the </w:t>
      </w:r>
      <w:r w:rsidRPr="0055248C">
        <w:rPr>
          <w:rFonts w:ascii="Arial" w:hAnsi="Arial"/>
          <w:bCs/>
          <w:sz w:val="24"/>
          <w:szCs w:val="24"/>
          <w:lang w:val="en-US"/>
        </w:rPr>
        <w:t>unfair condition.</w:t>
      </w:r>
    </w:p>
    <w:p w14:paraId="0DBE910D" w14:textId="0BB35F09" w:rsidR="00A15D8B" w:rsidRPr="0055248C" w:rsidRDefault="00A15D8B" w:rsidP="00A15D8B">
      <w:pPr>
        <w:rPr>
          <w:lang w:val="en-US"/>
        </w:rPr>
      </w:pPr>
    </w:p>
    <w:p w14:paraId="7B5195E3" w14:textId="77777777" w:rsidR="00A15D8B" w:rsidRPr="0055248C" w:rsidRDefault="00A15D8B" w:rsidP="00A15D8B">
      <w:pPr>
        <w:rPr>
          <w:lang w:val="en-US"/>
        </w:rPr>
      </w:pPr>
    </w:p>
    <w:p w14:paraId="679F45DD" w14:textId="77777777" w:rsidR="00A15D8B" w:rsidRPr="0055248C" w:rsidRDefault="00A15D8B" w:rsidP="00A15D8B">
      <w:pPr>
        <w:rPr>
          <w:lang w:val="en-US"/>
        </w:rPr>
      </w:pPr>
    </w:p>
    <w:p w14:paraId="275AA910" w14:textId="77777777" w:rsidR="00A15D8B" w:rsidRPr="0055248C" w:rsidRDefault="00A15D8B" w:rsidP="00A15D8B">
      <w:pPr>
        <w:rPr>
          <w:lang w:val="en-US"/>
        </w:rPr>
      </w:pPr>
    </w:p>
    <w:p w14:paraId="1C6B29F5" w14:textId="77777777" w:rsidR="00A15D8B" w:rsidRPr="0055248C" w:rsidRDefault="00A15D8B" w:rsidP="00A15D8B">
      <w:pPr>
        <w:rPr>
          <w:lang w:val="en-US"/>
        </w:rPr>
      </w:pPr>
    </w:p>
    <w:p w14:paraId="59982C6D" w14:textId="3DED448A" w:rsidR="00A15D8B" w:rsidRPr="0055248C" w:rsidRDefault="00A15D8B" w:rsidP="00A15D8B">
      <w:pPr>
        <w:rPr>
          <w:lang w:val="en-US"/>
        </w:rPr>
      </w:pPr>
    </w:p>
    <w:p w14:paraId="526B2E09" w14:textId="77777777" w:rsidR="00A15D8B" w:rsidRPr="0055248C" w:rsidRDefault="00A15D8B" w:rsidP="00A15D8B">
      <w:pPr>
        <w:rPr>
          <w:lang w:val="en-US"/>
        </w:rPr>
      </w:pPr>
    </w:p>
    <w:p w14:paraId="4E6F0FF2" w14:textId="56356608" w:rsidR="00A15D8B" w:rsidRPr="0055248C" w:rsidRDefault="00A15D8B" w:rsidP="00A15D8B">
      <w:pPr>
        <w:pStyle w:val="Titolo2"/>
        <w:numPr>
          <w:ilvl w:val="0"/>
          <w:numId w:val="0"/>
        </w:numPr>
        <w:ind w:left="576" w:hanging="576"/>
        <w:rPr>
          <w:sz w:val="24"/>
          <w:szCs w:val="24"/>
          <w:lang w:val="en-US"/>
        </w:rPr>
      </w:pPr>
      <w:r w:rsidRPr="0055248C">
        <w:rPr>
          <w:sz w:val="24"/>
          <w:szCs w:val="24"/>
          <w:lang w:val="en-US"/>
        </w:rPr>
        <w:lastRenderedPageBreak/>
        <w:t>Receiver-observer LPP synchrony at scalp level</w:t>
      </w:r>
    </w:p>
    <w:p w14:paraId="039D8E77" w14:textId="77777777" w:rsidR="00A15D8B" w:rsidRPr="0055248C" w:rsidRDefault="00A15D8B" w:rsidP="00C63BAD">
      <w:pPr>
        <w:jc w:val="both"/>
        <w:rPr>
          <w:rFonts w:ascii="Arial" w:hAnsi="Arial"/>
          <w:bCs/>
          <w:sz w:val="24"/>
          <w:szCs w:val="24"/>
          <w:lang w:val="en-US"/>
        </w:rPr>
      </w:pPr>
    </w:p>
    <w:tbl>
      <w:tblPr>
        <w:tblStyle w:val="Grigliatabella"/>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58"/>
      </w:tblGrid>
      <w:tr w:rsidR="0055248C" w:rsidRPr="0055248C" w14:paraId="13B03423" w14:textId="77777777" w:rsidTr="002358D5">
        <w:tc>
          <w:tcPr>
            <w:tcW w:w="9624" w:type="dxa"/>
          </w:tcPr>
          <w:p w14:paraId="0E0FEAD2" w14:textId="08232418" w:rsidR="002358D5" w:rsidRPr="0055248C" w:rsidRDefault="002358D5" w:rsidP="002358D5">
            <w:pPr>
              <w:keepNext/>
              <w:keepLines/>
              <w:spacing w:before="40" w:line="300" w:lineRule="auto"/>
              <w:jc w:val="center"/>
              <w:outlineLvl w:val="1"/>
              <w:rPr>
                <w:rFonts w:ascii="Arial" w:eastAsia="Arial" w:hAnsi="Arial"/>
                <w:b/>
                <w:sz w:val="24"/>
                <w:szCs w:val="24"/>
                <w:lang w:eastAsia="it-IT"/>
              </w:rPr>
            </w:pPr>
            <w:r w:rsidRPr="0055248C">
              <w:rPr>
                <w:rFonts w:ascii="Arial" w:eastAsia="Arial" w:hAnsi="Arial"/>
                <w:b/>
                <w:noProof/>
                <w:sz w:val="24"/>
                <w:szCs w:val="24"/>
                <w:lang w:eastAsia="it-IT"/>
              </w:rPr>
              <w:drawing>
                <wp:inline distT="0" distB="0" distL="0" distR="0" wp14:anchorId="0034F769" wp14:editId="438ABB67">
                  <wp:extent cx="5400000" cy="202738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00" cy="2027386"/>
                          </a:xfrm>
                          <a:prstGeom prst="rect">
                            <a:avLst/>
                          </a:prstGeom>
                          <a:noFill/>
                          <a:ln>
                            <a:noFill/>
                          </a:ln>
                        </pic:spPr>
                      </pic:pic>
                    </a:graphicData>
                  </a:graphic>
                </wp:inline>
              </w:drawing>
            </w:r>
          </w:p>
        </w:tc>
      </w:tr>
      <w:tr w:rsidR="0055248C" w:rsidRPr="0055248C" w14:paraId="738F5878" w14:textId="77777777" w:rsidTr="002358D5">
        <w:tc>
          <w:tcPr>
            <w:tcW w:w="9624" w:type="dxa"/>
          </w:tcPr>
          <w:p w14:paraId="69CCDEE1" w14:textId="06280ACE" w:rsidR="002358D5" w:rsidRPr="0055248C" w:rsidRDefault="002358D5" w:rsidP="002358D5">
            <w:pPr>
              <w:keepNext/>
              <w:keepLines/>
              <w:spacing w:before="40" w:line="300" w:lineRule="auto"/>
              <w:jc w:val="center"/>
              <w:outlineLvl w:val="1"/>
              <w:rPr>
                <w:rFonts w:ascii="Arial" w:eastAsia="Arial" w:hAnsi="Arial"/>
                <w:b/>
                <w:sz w:val="24"/>
                <w:szCs w:val="24"/>
                <w:lang w:eastAsia="it-IT"/>
              </w:rPr>
            </w:pPr>
            <w:r w:rsidRPr="0055248C">
              <w:rPr>
                <w:rFonts w:ascii="Arial" w:eastAsia="Arial" w:hAnsi="Arial"/>
                <w:i/>
                <w:iCs/>
                <w:szCs w:val="18"/>
                <w:lang w:eastAsia="it-IT"/>
              </w:rPr>
              <w:t xml:space="preserve">Figure S2 – Grand Average of Wavelet Coherence between receiver-observer waveforms at </w:t>
            </w:r>
            <w:proofErr w:type="spellStart"/>
            <w:r w:rsidRPr="0055248C">
              <w:rPr>
                <w:rFonts w:ascii="Arial" w:eastAsia="Arial" w:hAnsi="Arial"/>
                <w:i/>
                <w:iCs/>
                <w:szCs w:val="18"/>
                <w:lang w:eastAsia="it-IT"/>
              </w:rPr>
              <w:t>Pz</w:t>
            </w:r>
            <w:proofErr w:type="spellEnd"/>
            <w:r w:rsidRPr="0055248C">
              <w:rPr>
                <w:rFonts w:ascii="Arial" w:eastAsia="Arial" w:hAnsi="Arial"/>
                <w:i/>
                <w:iCs/>
                <w:szCs w:val="18"/>
                <w:lang w:eastAsia="it-IT"/>
              </w:rPr>
              <w:t xml:space="preserve"> location for different levels of fairness (fair in red and </w:t>
            </w:r>
            <w:proofErr w:type="spellStart"/>
            <w:r w:rsidRPr="0055248C">
              <w:rPr>
                <w:rFonts w:ascii="Arial" w:eastAsia="Arial" w:hAnsi="Arial"/>
                <w:i/>
                <w:iCs/>
                <w:szCs w:val="18"/>
                <w:lang w:eastAsia="it-IT"/>
              </w:rPr>
              <w:t>hyperunfair</w:t>
            </w:r>
            <w:proofErr w:type="spellEnd"/>
            <w:r w:rsidRPr="0055248C">
              <w:rPr>
                <w:rFonts w:ascii="Arial" w:eastAsia="Arial" w:hAnsi="Arial"/>
                <w:i/>
                <w:iCs/>
                <w:szCs w:val="18"/>
                <w:lang w:eastAsia="it-IT"/>
              </w:rPr>
              <w:t xml:space="preserve"> in blue), for the Agent (panel a) and PC (panel b) conditions. Each waveform is reported with its relative 95% confidence interval.</w:t>
            </w:r>
          </w:p>
        </w:tc>
      </w:tr>
    </w:tbl>
    <w:p w14:paraId="53408AFC" w14:textId="18B1F95F" w:rsidR="00E85A64" w:rsidRPr="0055248C" w:rsidRDefault="00E85A64" w:rsidP="0041791A">
      <w:pPr>
        <w:keepNext/>
        <w:keepLines/>
        <w:spacing w:before="40" w:line="300" w:lineRule="auto"/>
        <w:ind w:left="576" w:hanging="576"/>
        <w:jc w:val="both"/>
        <w:outlineLvl w:val="1"/>
        <w:rPr>
          <w:rFonts w:ascii="Arial" w:eastAsia="Arial" w:hAnsi="Arial"/>
          <w:b/>
          <w:sz w:val="24"/>
          <w:szCs w:val="24"/>
          <w:lang w:val="en-US" w:eastAsia="it-IT"/>
        </w:rPr>
      </w:pPr>
    </w:p>
    <w:p w14:paraId="1DDB83B3" w14:textId="77777777" w:rsidR="00EB4A81" w:rsidRPr="0055248C" w:rsidRDefault="00EB4A81" w:rsidP="0041791A">
      <w:pPr>
        <w:keepNext/>
        <w:keepLines/>
        <w:spacing w:before="40" w:line="300" w:lineRule="auto"/>
        <w:ind w:left="576" w:hanging="576"/>
        <w:jc w:val="both"/>
        <w:outlineLvl w:val="1"/>
        <w:rPr>
          <w:rFonts w:ascii="Arial" w:eastAsia="Arial" w:hAnsi="Arial"/>
          <w:b/>
          <w:sz w:val="24"/>
          <w:szCs w:val="24"/>
          <w:lang w:val="en-US" w:eastAsia="it-IT"/>
        </w:rPr>
        <w:sectPr w:rsidR="00EB4A81" w:rsidRPr="0055248C">
          <w:pgSz w:w="11900" w:h="16838"/>
          <w:pgMar w:top="1423" w:right="1126" w:bottom="1440" w:left="1140" w:header="0" w:footer="0" w:gutter="0"/>
          <w:cols w:space="0" w:equalWidth="0">
            <w:col w:w="9640"/>
          </w:cols>
          <w:docGrid w:linePitch="360"/>
        </w:sectPr>
      </w:pPr>
    </w:p>
    <w:p w14:paraId="36EEB7EC" w14:textId="337A2656" w:rsidR="00C503F2" w:rsidRPr="0055248C" w:rsidRDefault="00C503F2" w:rsidP="0041791A">
      <w:pPr>
        <w:keepNext/>
        <w:keepLines/>
        <w:spacing w:before="40" w:line="300" w:lineRule="auto"/>
        <w:ind w:left="576" w:hanging="576"/>
        <w:jc w:val="both"/>
        <w:outlineLvl w:val="1"/>
        <w:rPr>
          <w:rFonts w:ascii="Arial" w:eastAsia="Arial" w:hAnsi="Arial"/>
          <w:b/>
          <w:sz w:val="24"/>
          <w:szCs w:val="24"/>
          <w:lang w:val="en-US" w:eastAsia="it-IT"/>
        </w:rPr>
      </w:pPr>
      <w:r w:rsidRPr="0055248C">
        <w:rPr>
          <w:rFonts w:ascii="Arial" w:eastAsia="Arial" w:hAnsi="Arial"/>
          <w:b/>
          <w:sz w:val="24"/>
          <w:szCs w:val="24"/>
          <w:lang w:val="en-US" w:eastAsia="it-IT"/>
        </w:rPr>
        <w:lastRenderedPageBreak/>
        <w:t>References</w:t>
      </w:r>
    </w:p>
    <w:p w14:paraId="68B07C34" w14:textId="77777777" w:rsidR="00C503F2" w:rsidRPr="0055248C" w:rsidRDefault="00C503F2" w:rsidP="00C503F2">
      <w:pPr>
        <w:pStyle w:val="Bibliografia"/>
        <w:spacing w:after="120" w:line="240" w:lineRule="auto"/>
        <w:ind w:left="266" w:hanging="266"/>
        <w:jc w:val="both"/>
        <w:rPr>
          <w:rFonts w:ascii="Arial" w:hAnsi="Arial"/>
          <w:lang w:val="en-US"/>
        </w:rPr>
      </w:pPr>
      <w:r w:rsidRPr="0055248C">
        <w:rPr>
          <w:rFonts w:ascii="Arial" w:eastAsia="Arial" w:hAnsi="Arial"/>
          <w:b/>
          <w:lang w:val="en-US" w:eastAsia="it-IT"/>
        </w:rPr>
        <w:fldChar w:fldCharType="begin"/>
      </w:r>
      <w:r w:rsidRPr="0055248C">
        <w:rPr>
          <w:rFonts w:ascii="Arial" w:eastAsia="Arial" w:hAnsi="Arial"/>
          <w:b/>
          <w:lang w:val="en-US" w:eastAsia="it-IT"/>
        </w:rPr>
        <w:instrText xml:space="preserve"> ADDIN ZOTERO_BIBL {"uncited":[],"omitted":[],"custom":[]} CSL_BIBLIOGRAPHY </w:instrText>
      </w:r>
      <w:r w:rsidRPr="0055248C">
        <w:rPr>
          <w:rFonts w:ascii="Arial" w:eastAsia="Arial" w:hAnsi="Arial"/>
          <w:b/>
          <w:lang w:val="en-US" w:eastAsia="it-IT"/>
        </w:rPr>
        <w:fldChar w:fldCharType="separate"/>
      </w:r>
      <w:r w:rsidRPr="0055248C">
        <w:rPr>
          <w:rFonts w:ascii="Arial" w:hAnsi="Arial"/>
          <w:sz w:val="24"/>
          <w:lang w:val="en-US"/>
        </w:rPr>
        <w:t>1.</w:t>
      </w:r>
      <w:r w:rsidRPr="0055248C">
        <w:rPr>
          <w:rFonts w:ascii="Arial" w:hAnsi="Arial"/>
          <w:sz w:val="24"/>
          <w:lang w:val="en-US"/>
        </w:rPr>
        <w:tab/>
      </w:r>
      <w:r w:rsidRPr="0055248C">
        <w:rPr>
          <w:rFonts w:ascii="Arial" w:hAnsi="Arial"/>
          <w:lang w:val="en-US"/>
        </w:rPr>
        <w:t xml:space="preserve">Preckel, K., Kanske, P. &amp; Singer, T. On the interaction of social affect and cognition: empathy, compassion and theory of mind. </w:t>
      </w:r>
      <w:r w:rsidRPr="0055248C">
        <w:rPr>
          <w:rFonts w:ascii="Arial" w:hAnsi="Arial"/>
          <w:i/>
          <w:iCs/>
          <w:lang w:val="en-US"/>
        </w:rPr>
        <w:t>Curr. Opin. Behav. Sci.</w:t>
      </w:r>
      <w:r w:rsidRPr="0055248C">
        <w:rPr>
          <w:rFonts w:ascii="Arial" w:hAnsi="Arial"/>
          <w:lang w:val="en-US"/>
        </w:rPr>
        <w:t xml:space="preserve"> </w:t>
      </w:r>
      <w:r w:rsidRPr="0055248C">
        <w:rPr>
          <w:rFonts w:ascii="Arial" w:hAnsi="Arial"/>
          <w:b/>
          <w:bCs/>
          <w:lang w:val="en-US"/>
        </w:rPr>
        <w:t>19</w:t>
      </w:r>
      <w:r w:rsidRPr="0055248C">
        <w:rPr>
          <w:rFonts w:ascii="Arial" w:hAnsi="Arial"/>
          <w:lang w:val="en-US"/>
        </w:rPr>
        <w:t>, 1–6 (2018).</w:t>
      </w:r>
    </w:p>
    <w:p w14:paraId="5599CF86" w14:textId="77777777" w:rsidR="00C503F2" w:rsidRPr="0055248C" w:rsidRDefault="00C503F2" w:rsidP="00C503F2">
      <w:pPr>
        <w:pStyle w:val="Bibliografia"/>
        <w:spacing w:after="120" w:line="240" w:lineRule="auto"/>
        <w:ind w:left="266" w:hanging="266"/>
        <w:jc w:val="both"/>
        <w:rPr>
          <w:rFonts w:ascii="Arial" w:hAnsi="Arial"/>
          <w:lang w:val="en-US"/>
        </w:rPr>
      </w:pPr>
      <w:r w:rsidRPr="0055248C">
        <w:rPr>
          <w:rFonts w:ascii="Arial" w:hAnsi="Arial"/>
          <w:lang w:val="en-US"/>
        </w:rPr>
        <w:t>2.</w:t>
      </w:r>
      <w:r w:rsidRPr="0055248C">
        <w:rPr>
          <w:rFonts w:ascii="Arial" w:hAnsi="Arial"/>
          <w:lang w:val="en-US"/>
        </w:rPr>
        <w:tab/>
        <w:t xml:space="preserve">Morelli, S. A., Sacchet, M. D. &amp; Zaki, J. Common and distinct neural correlates of personal and vicarious reward: A quantitative meta-analysis. </w:t>
      </w:r>
      <w:r w:rsidRPr="0055248C">
        <w:rPr>
          <w:rFonts w:ascii="Arial" w:hAnsi="Arial"/>
          <w:i/>
          <w:iCs/>
          <w:lang w:val="en-US"/>
        </w:rPr>
        <w:t>NeuroImage</w:t>
      </w:r>
      <w:r w:rsidRPr="0055248C">
        <w:rPr>
          <w:rFonts w:ascii="Arial" w:hAnsi="Arial"/>
          <w:lang w:val="en-US"/>
        </w:rPr>
        <w:t xml:space="preserve"> </w:t>
      </w:r>
      <w:r w:rsidRPr="0055248C">
        <w:rPr>
          <w:rFonts w:ascii="Arial" w:hAnsi="Arial"/>
          <w:b/>
          <w:bCs/>
          <w:lang w:val="en-US"/>
        </w:rPr>
        <w:t>112</w:t>
      </w:r>
      <w:r w:rsidRPr="0055248C">
        <w:rPr>
          <w:rFonts w:ascii="Arial" w:hAnsi="Arial"/>
          <w:lang w:val="en-US"/>
        </w:rPr>
        <w:t>, 244–253 (2015).</w:t>
      </w:r>
    </w:p>
    <w:p w14:paraId="08BB3275" w14:textId="77777777" w:rsidR="00C503F2" w:rsidRPr="0055248C" w:rsidRDefault="00C503F2" w:rsidP="00C503F2">
      <w:pPr>
        <w:pStyle w:val="Bibliografia"/>
        <w:spacing w:after="120" w:line="240" w:lineRule="auto"/>
        <w:ind w:left="266" w:hanging="266"/>
        <w:jc w:val="both"/>
        <w:rPr>
          <w:rFonts w:ascii="Arial" w:hAnsi="Arial"/>
          <w:lang w:val="en-US"/>
        </w:rPr>
      </w:pPr>
      <w:r w:rsidRPr="0055248C">
        <w:rPr>
          <w:rFonts w:ascii="Arial" w:hAnsi="Arial"/>
          <w:lang w:val="en-US"/>
        </w:rPr>
        <w:t>3.</w:t>
      </w:r>
      <w:r w:rsidRPr="0055248C">
        <w:rPr>
          <w:rFonts w:ascii="Arial" w:hAnsi="Arial"/>
          <w:lang w:val="en-US"/>
        </w:rPr>
        <w:tab/>
        <w:t xml:space="preserve">Rua, A. &amp; Nunes, L. C. International comovement of stock market returns: A wavelet analysis. </w:t>
      </w:r>
      <w:r w:rsidRPr="0055248C">
        <w:rPr>
          <w:rFonts w:ascii="Arial" w:hAnsi="Arial"/>
          <w:i/>
          <w:iCs/>
          <w:lang w:val="en-US"/>
        </w:rPr>
        <w:t>J. Empir. Finance</w:t>
      </w:r>
      <w:r w:rsidRPr="0055248C">
        <w:rPr>
          <w:rFonts w:ascii="Arial" w:hAnsi="Arial"/>
          <w:lang w:val="en-US"/>
        </w:rPr>
        <w:t xml:space="preserve"> </w:t>
      </w:r>
      <w:r w:rsidRPr="0055248C">
        <w:rPr>
          <w:rFonts w:ascii="Arial" w:hAnsi="Arial"/>
          <w:b/>
          <w:bCs/>
          <w:lang w:val="en-US"/>
        </w:rPr>
        <w:t>16</w:t>
      </w:r>
      <w:r w:rsidRPr="0055248C">
        <w:rPr>
          <w:rFonts w:ascii="Arial" w:hAnsi="Arial"/>
          <w:lang w:val="en-US"/>
        </w:rPr>
        <w:t>, 632–639 (2009).</w:t>
      </w:r>
    </w:p>
    <w:p w14:paraId="108B5FC4" w14:textId="77777777" w:rsidR="00C503F2" w:rsidRPr="0055248C" w:rsidRDefault="00C503F2" w:rsidP="00C503F2">
      <w:pPr>
        <w:pStyle w:val="Bibliografia"/>
        <w:spacing w:after="120" w:line="240" w:lineRule="auto"/>
        <w:ind w:left="266" w:hanging="266"/>
        <w:jc w:val="both"/>
        <w:rPr>
          <w:rFonts w:ascii="Arial" w:hAnsi="Arial"/>
          <w:lang w:val="en-US"/>
        </w:rPr>
      </w:pPr>
      <w:r w:rsidRPr="0055248C">
        <w:rPr>
          <w:rFonts w:ascii="Arial" w:hAnsi="Arial"/>
          <w:lang w:val="en-US"/>
        </w:rPr>
        <w:t>4.</w:t>
      </w:r>
      <w:r w:rsidRPr="0055248C">
        <w:rPr>
          <w:rFonts w:ascii="Arial" w:hAnsi="Arial"/>
          <w:lang w:val="en-US"/>
        </w:rPr>
        <w:tab/>
        <w:t xml:space="preserve">Vacha, L. &amp; Barunik, J. Co-movement of energy commodities revisited: Evidence from wavelet coherence analysis. </w:t>
      </w:r>
      <w:r w:rsidRPr="0055248C">
        <w:rPr>
          <w:rFonts w:ascii="Arial" w:hAnsi="Arial"/>
          <w:i/>
          <w:iCs/>
          <w:lang w:val="en-US"/>
        </w:rPr>
        <w:t>Energy Econ.</w:t>
      </w:r>
      <w:r w:rsidRPr="0055248C">
        <w:rPr>
          <w:rFonts w:ascii="Arial" w:hAnsi="Arial"/>
          <w:lang w:val="en-US"/>
        </w:rPr>
        <w:t xml:space="preserve"> </w:t>
      </w:r>
      <w:r w:rsidRPr="0055248C">
        <w:rPr>
          <w:rFonts w:ascii="Arial" w:hAnsi="Arial"/>
          <w:b/>
          <w:bCs/>
          <w:lang w:val="en-US"/>
        </w:rPr>
        <w:t>34</w:t>
      </w:r>
      <w:r w:rsidRPr="0055248C">
        <w:rPr>
          <w:rFonts w:ascii="Arial" w:hAnsi="Arial"/>
          <w:lang w:val="en-US"/>
        </w:rPr>
        <w:t>, 241–247 (2012).</w:t>
      </w:r>
    </w:p>
    <w:p w14:paraId="4DE58A97" w14:textId="77777777" w:rsidR="00C503F2" w:rsidRPr="0055248C" w:rsidRDefault="00C503F2" w:rsidP="00C503F2">
      <w:pPr>
        <w:pStyle w:val="Bibliografia"/>
        <w:spacing w:after="120" w:line="240" w:lineRule="auto"/>
        <w:ind w:left="266" w:hanging="266"/>
        <w:jc w:val="both"/>
        <w:rPr>
          <w:rFonts w:ascii="Arial" w:hAnsi="Arial"/>
          <w:lang w:val="en-US"/>
        </w:rPr>
      </w:pPr>
      <w:r w:rsidRPr="0055248C">
        <w:rPr>
          <w:rFonts w:ascii="Arial" w:hAnsi="Arial"/>
          <w:lang w:val="en-US"/>
        </w:rPr>
        <w:t>5.</w:t>
      </w:r>
      <w:r w:rsidRPr="0055248C">
        <w:rPr>
          <w:rFonts w:ascii="Arial" w:hAnsi="Arial"/>
          <w:lang w:val="en-US"/>
        </w:rPr>
        <w:tab/>
        <w:t xml:space="preserve">Torrence, C. &amp; Compo, G. P. A Practical Guide to Wavelet Analysis. </w:t>
      </w:r>
      <w:r w:rsidRPr="0055248C">
        <w:rPr>
          <w:rFonts w:ascii="Arial" w:hAnsi="Arial"/>
          <w:i/>
          <w:iCs/>
          <w:lang w:val="en-US"/>
        </w:rPr>
        <w:t>Bull. Am. Meteorol. Soc.</w:t>
      </w:r>
      <w:r w:rsidRPr="0055248C">
        <w:rPr>
          <w:rFonts w:ascii="Arial" w:hAnsi="Arial"/>
          <w:lang w:val="en-US"/>
        </w:rPr>
        <w:t xml:space="preserve"> </w:t>
      </w:r>
      <w:r w:rsidRPr="0055248C">
        <w:rPr>
          <w:rFonts w:ascii="Arial" w:hAnsi="Arial"/>
          <w:b/>
          <w:bCs/>
          <w:lang w:val="en-US"/>
        </w:rPr>
        <w:t>79</w:t>
      </w:r>
      <w:r w:rsidRPr="0055248C">
        <w:rPr>
          <w:rFonts w:ascii="Arial" w:hAnsi="Arial"/>
          <w:lang w:val="en-US"/>
        </w:rPr>
        <w:t>, 61–78 (1998).</w:t>
      </w:r>
    </w:p>
    <w:p w14:paraId="7A029905" w14:textId="77777777" w:rsidR="00C503F2" w:rsidRPr="0055248C" w:rsidRDefault="00C503F2" w:rsidP="00C503F2">
      <w:pPr>
        <w:pStyle w:val="Bibliografia"/>
        <w:spacing w:after="120" w:line="240" w:lineRule="auto"/>
        <w:ind w:left="266" w:hanging="266"/>
        <w:jc w:val="both"/>
        <w:rPr>
          <w:rFonts w:ascii="Arial" w:hAnsi="Arial"/>
        </w:rPr>
      </w:pPr>
      <w:r w:rsidRPr="0055248C">
        <w:rPr>
          <w:rFonts w:ascii="Arial" w:hAnsi="Arial"/>
          <w:lang w:val="en-US"/>
        </w:rPr>
        <w:t>6.</w:t>
      </w:r>
      <w:r w:rsidRPr="0055248C">
        <w:rPr>
          <w:rFonts w:ascii="Arial" w:hAnsi="Arial"/>
          <w:lang w:val="en-US"/>
        </w:rPr>
        <w:tab/>
        <w:t xml:space="preserve">Lachaux, J.-P. </w:t>
      </w:r>
      <w:r w:rsidRPr="0055248C">
        <w:rPr>
          <w:rFonts w:ascii="Arial" w:hAnsi="Arial"/>
          <w:i/>
          <w:iCs/>
          <w:lang w:val="en-US"/>
        </w:rPr>
        <w:t>et al.</w:t>
      </w:r>
      <w:r w:rsidRPr="0055248C">
        <w:rPr>
          <w:rFonts w:ascii="Arial" w:hAnsi="Arial"/>
          <w:lang w:val="en-US"/>
        </w:rPr>
        <w:t xml:space="preserve"> Estimating the time-course of coherence between single-trial brain signals: an introduction to wavelet coherence. </w:t>
      </w:r>
      <w:r w:rsidRPr="0055248C">
        <w:rPr>
          <w:rFonts w:ascii="Arial" w:hAnsi="Arial"/>
          <w:i/>
          <w:iCs/>
        </w:rPr>
        <w:t>Neurophysiol. Clin. Clin. Neurophysiol.</w:t>
      </w:r>
      <w:r w:rsidRPr="0055248C">
        <w:rPr>
          <w:rFonts w:ascii="Arial" w:hAnsi="Arial"/>
        </w:rPr>
        <w:t xml:space="preserve"> </w:t>
      </w:r>
      <w:r w:rsidRPr="0055248C">
        <w:rPr>
          <w:rFonts w:ascii="Arial" w:hAnsi="Arial"/>
          <w:b/>
          <w:bCs/>
        </w:rPr>
        <w:t>32</w:t>
      </w:r>
      <w:r w:rsidRPr="0055248C">
        <w:rPr>
          <w:rFonts w:ascii="Arial" w:hAnsi="Arial"/>
        </w:rPr>
        <w:t>, 157–174 (2002).</w:t>
      </w:r>
    </w:p>
    <w:p w14:paraId="701D7B6B" w14:textId="56E4BA10" w:rsidR="00C503F2" w:rsidRPr="0055248C" w:rsidRDefault="00C503F2" w:rsidP="0041791A">
      <w:pPr>
        <w:keepNext/>
        <w:keepLines/>
        <w:spacing w:before="40" w:line="300" w:lineRule="auto"/>
        <w:ind w:left="576" w:hanging="576"/>
        <w:jc w:val="both"/>
        <w:outlineLvl w:val="1"/>
        <w:rPr>
          <w:rFonts w:ascii="Arial" w:eastAsia="Arial" w:hAnsi="Arial"/>
          <w:b/>
          <w:sz w:val="24"/>
          <w:szCs w:val="24"/>
          <w:lang w:val="en-US" w:eastAsia="it-IT"/>
        </w:rPr>
      </w:pPr>
      <w:r w:rsidRPr="0055248C">
        <w:rPr>
          <w:rFonts w:ascii="Arial" w:eastAsia="Arial" w:hAnsi="Arial"/>
          <w:b/>
          <w:sz w:val="24"/>
          <w:szCs w:val="24"/>
          <w:lang w:val="en-US" w:eastAsia="it-IT"/>
        </w:rPr>
        <w:fldChar w:fldCharType="end"/>
      </w:r>
    </w:p>
    <w:sectPr w:rsidR="00C503F2" w:rsidRPr="0055248C">
      <w:pgSz w:w="11900" w:h="16838"/>
      <w:pgMar w:top="1423" w:right="1126" w:bottom="1440" w:left="1140" w:header="0" w:footer="0" w:gutter="0"/>
      <w:cols w:space="0" w:equalWidth="0">
        <w:col w:w="9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E654C"/>
    <w:multiLevelType w:val="multilevel"/>
    <w:tmpl w:val="7B2A5EE6"/>
    <w:lvl w:ilvl="0">
      <w:start w:val="1"/>
      <w:numFmt w:val="decimal"/>
      <w:pStyle w:val="Titolo1"/>
      <w:lvlText w:val="%1"/>
      <w:lvlJc w:val="left"/>
      <w:pPr>
        <w:ind w:left="432" w:hanging="432"/>
      </w:pPr>
      <w:rPr>
        <w:sz w:val="32"/>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rPr>
        <w:b/>
        <w:bCs/>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1A"/>
    <w:rsid w:val="00032967"/>
    <w:rsid w:val="002358D5"/>
    <w:rsid w:val="002E50DF"/>
    <w:rsid w:val="0041791A"/>
    <w:rsid w:val="004A1C40"/>
    <w:rsid w:val="0055248C"/>
    <w:rsid w:val="006E36F9"/>
    <w:rsid w:val="00731017"/>
    <w:rsid w:val="00801166"/>
    <w:rsid w:val="00864D59"/>
    <w:rsid w:val="00866411"/>
    <w:rsid w:val="008E4788"/>
    <w:rsid w:val="00A15D8B"/>
    <w:rsid w:val="00BD0E6A"/>
    <w:rsid w:val="00C503F2"/>
    <w:rsid w:val="00C63BAD"/>
    <w:rsid w:val="00CC6AB4"/>
    <w:rsid w:val="00D4446B"/>
    <w:rsid w:val="00D9185B"/>
    <w:rsid w:val="00E1259E"/>
    <w:rsid w:val="00E85A64"/>
    <w:rsid w:val="00E91FCF"/>
    <w:rsid w:val="00EB4A81"/>
    <w:rsid w:val="00ED7F92"/>
    <w:rsid w:val="00F047D8"/>
    <w:rsid w:val="00F56C67"/>
    <w:rsid w:val="00FA367C"/>
    <w:rsid w:val="00FA5601"/>
    <w:rsid w:val="00FE1BB8"/>
    <w:rsid w:val="00FF6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5AAC"/>
  <w15:chartTrackingRefBased/>
  <w15:docId w15:val="{56F40902-7428-4A65-82ED-F3AF9CF7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791A"/>
    <w:pPr>
      <w:spacing w:after="0" w:line="360" w:lineRule="auto"/>
    </w:pPr>
    <w:rPr>
      <w:rFonts w:ascii="Calibri" w:eastAsia="Calibri" w:hAnsi="Calibri" w:cs="Arial"/>
      <w:sz w:val="20"/>
      <w:szCs w:val="20"/>
      <w:lang w:eastAsia="zh-TW"/>
    </w:rPr>
  </w:style>
  <w:style w:type="paragraph" w:styleId="Titolo1">
    <w:name w:val="heading 1"/>
    <w:basedOn w:val="Normale"/>
    <w:next w:val="Normale"/>
    <w:link w:val="Titolo1Carattere"/>
    <w:uiPriority w:val="9"/>
    <w:qFormat/>
    <w:rsid w:val="00A15D8B"/>
    <w:pPr>
      <w:keepNext/>
      <w:keepLines/>
      <w:numPr>
        <w:numId w:val="1"/>
      </w:numPr>
      <w:spacing w:before="480" w:after="120"/>
      <w:outlineLvl w:val="0"/>
    </w:pPr>
    <w:rPr>
      <w:rFonts w:ascii="Arial" w:eastAsiaTheme="majorEastAsia" w:hAnsi="Arial" w:cstheme="majorBidi"/>
      <w:b/>
      <w:sz w:val="32"/>
      <w:szCs w:val="32"/>
    </w:rPr>
  </w:style>
  <w:style w:type="paragraph" w:styleId="Titolo2">
    <w:name w:val="heading 2"/>
    <w:basedOn w:val="Normale"/>
    <w:next w:val="Normale"/>
    <w:link w:val="Titolo2Carattere"/>
    <w:uiPriority w:val="9"/>
    <w:unhideWhenUsed/>
    <w:qFormat/>
    <w:rsid w:val="00A15D8B"/>
    <w:pPr>
      <w:keepNext/>
      <w:keepLines/>
      <w:numPr>
        <w:ilvl w:val="1"/>
        <w:numId w:val="1"/>
      </w:numPr>
      <w:spacing w:before="120" w:after="120" w:line="240" w:lineRule="auto"/>
      <w:outlineLvl w:val="1"/>
    </w:pPr>
    <w:rPr>
      <w:rFonts w:ascii="Arial" w:eastAsiaTheme="majorEastAsia" w:hAnsi="Arial" w:cstheme="majorBidi"/>
      <w:b/>
      <w:sz w:val="28"/>
      <w:szCs w:val="26"/>
    </w:rPr>
  </w:style>
  <w:style w:type="paragraph" w:styleId="Titolo3">
    <w:name w:val="heading 3"/>
    <w:basedOn w:val="Normale"/>
    <w:next w:val="Normale"/>
    <w:link w:val="Titolo3Carattere"/>
    <w:uiPriority w:val="9"/>
    <w:unhideWhenUsed/>
    <w:qFormat/>
    <w:rsid w:val="00A15D8B"/>
    <w:pPr>
      <w:keepNext/>
      <w:keepLines/>
      <w:numPr>
        <w:ilvl w:val="2"/>
        <w:numId w:val="1"/>
      </w:numPr>
      <w:spacing w:before="120" w:after="120" w:line="240" w:lineRule="auto"/>
      <w:outlineLvl w:val="2"/>
    </w:pPr>
    <w:rPr>
      <w:rFonts w:ascii="Arial" w:eastAsiaTheme="majorEastAsia" w:hAnsi="Arial" w:cstheme="majorBidi"/>
      <w:b/>
      <w:sz w:val="24"/>
      <w:szCs w:val="24"/>
    </w:rPr>
  </w:style>
  <w:style w:type="paragraph" w:styleId="Titolo4">
    <w:name w:val="heading 4"/>
    <w:basedOn w:val="Normale"/>
    <w:next w:val="Normale"/>
    <w:link w:val="Titolo4Carattere"/>
    <w:uiPriority w:val="9"/>
    <w:semiHidden/>
    <w:unhideWhenUsed/>
    <w:qFormat/>
    <w:rsid w:val="00A15D8B"/>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A15D8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A15D8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A15D8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A15D8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A15D8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1791A"/>
    <w:pPr>
      <w:spacing w:after="0" w:line="240" w:lineRule="auto"/>
      <w:jc w:val="both"/>
    </w:pPr>
    <w:rPr>
      <w:rFonts w:ascii="Arial" w:eastAsia="Arial" w:hAnsi="Arial" w:cs="Arial"/>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D0E6A"/>
    <w:rPr>
      <w:sz w:val="16"/>
      <w:szCs w:val="16"/>
    </w:rPr>
  </w:style>
  <w:style w:type="paragraph" w:styleId="Testocommento">
    <w:name w:val="annotation text"/>
    <w:basedOn w:val="Normale"/>
    <w:link w:val="TestocommentoCarattere"/>
    <w:uiPriority w:val="99"/>
    <w:unhideWhenUsed/>
    <w:rsid w:val="00BD0E6A"/>
    <w:pPr>
      <w:spacing w:after="160" w:line="240" w:lineRule="auto"/>
      <w:contextualSpacing/>
      <w:jc w:val="both"/>
    </w:pPr>
    <w:rPr>
      <w:rFonts w:ascii="Arial" w:eastAsiaTheme="minorHAnsi" w:hAnsi="Arial" w:cstheme="minorBidi"/>
      <w:lang w:eastAsia="en-US"/>
    </w:rPr>
  </w:style>
  <w:style w:type="character" w:customStyle="1" w:styleId="TestocommentoCarattere">
    <w:name w:val="Testo commento Carattere"/>
    <w:basedOn w:val="Carpredefinitoparagrafo"/>
    <w:link w:val="Testocommento"/>
    <w:uiPriority w:val="99"/>
    <w:rsid w:val="00BD0E6A"/>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CC6AB4"/>
    <w:pPr>
      <w:spacing w:after="0"/>
      <w:contextualSpacing w:val="0"/>
      <w:jc w:val="left"/>
    </w:pPr>
    <w:rPr>
      <w:rFonts w:ascii="Calibri" w:eastAsia="Calibri" w:hAnsi="Calibri" w:cs="Arial"/>
      <w:b/>
      <w:bCs/>
      <w:lang w:eastAsia="zh-TW"/>
    </w:rPr>
  </w:style>
  <w:style w:type="character" w:customStyle="1" w:styleId="SoggettocommentoCarattere">
    <w:name w:val="Soggetto commento Carattere"/>
    <w:basedOn w:val="TestocommentoCarattere"/>
    <w:link w:val="Soggettocommento"/>
    <w:uiPriority w:val="99"/>
    <w:semiHidden/>
    <w:rsid w:val="00CC6AB4"/>
    <w:rPr>
      <w:rFonts w:ascii="Calibri" w:eastAsia="Calibri" w:hAnsi="Calibri" w:cs="Arial"/>
      <w:b/>
      <w:bCs/>
      <w:sz w:val="20"/>
      <w:szCs w:val="20"/>
      <w:lang w:eastAsia="zh-TW"/>
    </w:rPr>
  </w:style>
  <w:style w:type="paragraph" w:styleId="Bibliografia">
    <w:name w:val="Bibliography"/>
    <w:basedOn w:val="Normale"/>
    <w:next w:val="Normale"/>
    <w:uiPriority w:val="37"/>
    <w:unhideWhenUsed/>
    <w:rsid w:val="00C503F2"/>
    <w:pPr>
      <w:tabs>
        <w:tab w:val="left" w:pos="264"/>
      </w:tabs>
      <w:spacing w:line="480" w:lineRule="auto"/>
      <w:ind w:left="264" w:hanging="264"/>
    </w:pPr>
  </w:style>
  <w:style w:type="paragraph" w:styleId="Revisione">
    <w:name w:val="Revision"/>
    <w:hidden/>
    <w:uiPriority w:val="99"/>
    <w:semiHidden/>
    <w:rsid w:val="00FF62B6"/>
    <w:pPr>
      <w:spacing w:after="0" w:line="240" w:lineRule="auto"/>
    </w:pPr>
    <w:rPr>
      <w:rFonts w:ascii="Calibri" w:eastAsia="Calibri" w:hAnsi="Calibri" w:cs="Arial"/>
      <w:sz w:val="20"/>
      <w:szCs w:val="20"/>
      <w:lang w:eastAsia="zh-TW"/>
    </w:rPr>
  </w:style>
  <w:style w:type="character" w:styleId="Collegamentoipertestuale">
    <w:name w:val="Hyperlink"/>
    <w:basedOn w:val="Carpredefinitoparagrafo"/>
    <w:uiPriority w:val="99"/>
    <w:unhideWhenUsed/>
    <w:rsid w:val="00032967"/>
    <w:rPr>
      <w:color w:val="0563C1" w:themeColor="hyperlink"/>
      <w:u w:val="single"/>
    </w:rPr>
  </w:style>
  <w:style w:type="character" w:customStyle="1" w:styleId="Titolo1Carattere">
    <w:name w:val="Titolo 1 Carattere"/>
    <w:basedOn w:val="Carpredefinitoparagrafo"/>
    <w:link w:val="Titolo1"/>
    <w:uiPriority w:val="9"/>
    <w:rsid w:val="00A15D8B"/>
    <w:rPr>
      <w:rFonts w:ascii="Arial" w:eastAsiaTheme="majorEastAsia" w:hAnsi="Arial" w:cstheme="majorBidi"/>
      <w:b/>
      <w:sz w:val="32"/>
      <w:szCs w:val="32"/>
      <w:lang w:eastAsia="zh-TW"/>
    </w:rPr>
  </w:style>
  <w:style w:type="character" w:customStyle="1" w:styleId="Titolo2Carattere">
    <w:name w:val="Titolo 2 Carattere"/>
    <w:basedOn w:val="Carpredefinitoparagrafo"/>
    <w:link w:val="Titolo2"/>
    <w:uiPriority w:val="9"/>
    <w:rsid w:val="00A15D8B"/>
    <w:rPr>
      <w:rFonts w:ascii="Arial" w:eastAsiaTheme="majorEastAsia" w:hAnsi="Arial" w:cstheme="majorBidi"/>
      <w:b/>
      <w:sz w:val="28"/>
      <w:szCs w:val="26"/>
      <w:lang w:eastAsia="zh-TW"/>
    </w:rPr>
  </w:style>
  <w:style w:type="character" w:customStyle="1" w:styleId="Titolo3Carattere">
    <w:name w:val="Titolo 3 Carattere"/>
    <w:basedOn w:val="Carpredefinitoparagrafo"/>
    <w:link w:val="Titolo3"/>
    <w:uiPriority w:val="9"/>
    <w:rsid w:val="00A15D8B"/>
    <w:rPr>
      <w:rFonts w:ascii="Arial" w:eastAsiaTheme="majorEastAsia" w:hAnsi="Arial" w:cstheme="majorBidi"/>
      <w:b/>
      <w:sz w:val="24"/>
      <w:szCs w:val="24"/>
      <w:lang w:eastAsia="zh-TW"/>
    </w:rPr>
  </w:style>
  <w:style w:type="character" w:customStyle="1" w:styleId="Titolo4Carattere">
    <w:name w:val="Titolo 4 Carattere"/>
    <w:basedOn w:val="Carpredefinitoparagrafo"/>
    <w:link w:val="Titolo4"/>
    <w:uiPriority w:val="9"/>
    <w:semiHidden/>
    <w:rsid w:val="00A15D8B"/>
    <w:rPr>
      <w:rFonts w:asciiTheme="majorHAnsi" w:eastAsiaTheme="majorEastAsia" w:hAnsiTheme="majorHAnsi" w:cstheme="majorBidi"/>
      <w:i/>
      <w:iCs/>
      <w:color w:val="2F5496" w:themeColor="accent1" w:themeShade="BF"/>
      <w:sz w:val="20"/>
      <w:szCs w:val="20"/>
      <w:lang w:eastAsia="zh-TW"/>
    </w:rPr>
  </w:style>
  <w:style w:type="character" w:customStyle="1" w:styleId="Titolo5Carattere">
    <w:name w:val="Titolo 5 Carattere"/>
    <w:basedOn w:val="Carpredefinitoparagrafo"/>
    <w:link w:val="Titolo5"/>
    <w:uiPriority w:val="9"/>
    <w:semiHidden/>
    <w:rsid w:val="00A15D8B"/>
    <w:rPr>
      <w:rFonts w:asciiTheme="majorHAnsi" w:eastAsiaTheme="majorEastAsia" w:hAnsiTheme="majorHAnsi" w:cstheme="majorBidi"/>
      <w:color w:val="2F5496" w:themeColor="accent1" w:themeShade="BF"/>
      <w:sz w:val="20"/>
      <w:szCs w:val="20"/>
      <w:lang w:eastAsia="zh-TW"/>
    </w:rPr>
  </w:style>
  <w:style w:type="character" w:customStyle="1" w:styleId="Titolo6Carattere">
    <w:name w:val="Titolo 6 Carattere"/>
    <w:basedOn w:val="Carpredefinitoparagrafo"/>
    <w:link w:val="Titolo6"/>
    <w:uiPriority w:val="9"/>
    <w:semiHidden/>
    <w:rsid w:val="00A15D8B"/>
    <w:rPr>
      <w:rFonts w:asciiTheme="majorHAnsi" w:eastAsiaTheme="majorEastAsia" w:hAnsiTheme="majorHAnsi" w:cstheme="majorBidi"/>
      <w:color w:val="1F3763" w:themeColor="accent1" w:themeShade="7F"/>
      <w:sz w:val="20"/>
      <w:szCs w:val="20"/>
      <w:lang w:eastAsia="zh-TW"/>
    </w:rPr>
  </w:style>
  <w:style w:type="character" w:customStyle="1" w:styleId="Titolo7Carattere">
    <w:name w:val="Titolo 7 Carattere"/>
    <w:basedOn w:val="Carpredefinitoparagrafo"/>
    <w:link w:val="Titolo7"/>
    <w:uiPriority w:val="9"/>
    <w:semiHidden/>
    <w:rsid w:val="00A15D8B"/>
    <w:rPr>
      <w:rFonts w:asciiTheme="majorHAnsi" w:eastAsiaTheme="majorEastAsia" w:hAnsiTheme="majorHAnsi" w:cstheme="majorBidi"/>
      <w:i/>
      <w:iCs/>
      <w:color w:val="1F3763" w:themeColor="accent1" w:themeShade="7F"/>
      <w:sz w:val="20"/>
      <w:szCs w:val="20"/>
      <w:lang w:eastAsia="zh-TW"/>
    </w:rPr>
  </w:style>
  <w:style w:type="character" w:customStyle="1" w:styleId="Titolo8Carattere">
    <w:name w:val="Titolo 8 Carattere"/>
    <w:basedOn w:val="Carpredefinitoparagrafo"/>
    <w:link w:val="Titolo8"/>
    <w:uiPriority w:val="9"/>
    <w:semiHidden/>
    <w:rsid w:val="00A15D8B"/>
    <w:rPr>
      <w:rFonts w:asciiTheme="majorHAnsi" w:eastAsiaTheme="majorEastAsia" w:hAnsiTheme="majorHAnsi" w:cstheme="majorBidi"/>
      <w:color w:val="272727" w:themeColor="text1" w:themeTint="D8"/>
      <w:sz w:val="21"/>
      <w:szCs w:val="21"/>
      <w:lang w:eastAsia="zh-TW"/>
    </w:rPr>
  </w:style>
  <w:style w:type="character" w:customStyle="1" w:styleId="Titolo9Carattere">
    <w:name w:val="Titolo 9 Carattere"/>
    <w:basedOn w:val="Carpredefinitoparagrafo"/>
    <w:link w:val="Titolo9"/>
    <w:uiPriority w:val="9"/>
    <w:semiHidden/>
    <w:rsid w:val="00A15D8B"/>
    <w:rPr>
      <w:rFonts w:asciiTheme="majorHAnsi" w:eastAsiaTheme="majorEastAsia" w:hAnsiTheme="majorHAnsi" w:cstheme="majorBidi"/>
      <w:i/>
      <w:iCs/>
      <w:color w:val="272727" w:themeColor="text1" w:themeTint="D8"/>
      <w:sz w:val="21"/>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2864</Words>
  <Characters>16328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Jlenia Toppi</dc:creator>
  <cp:keywords/>
  <dc:description/>
  <cp:lastModifiedBy>Jlenia Toppi</cp:lastModifiedBy>
  <cp:revision>6</cp:revision>
  <dcterms:created xsi:type="dcterms:W3CDTF">2022-04-14T14:36:00Z</dcterms:created>
  <dcterms:modified xsi:type="dcterms:W3CDTF">2022-04-19T09:38:00Z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id="4oRna3Nz"/&gt;&lt;style id="http://www.zotero.org/styles/nature" hasBibliography="1" bibliographyStyleHasBeenSet="1"/&gt;&lt;prefs&gt;&lt;pref name="fieldType" value="Field"/&gt;&lt;pref name="automaticJournalAbbreviatio</vt:lpwstr>
  </property>
  <property fmtid="{D5CDD505-2E9C-101B-9397-08002B2CF9AE}" pid="3" name="ZOTERO_PREF_2">
    <vt:lpwstr>ns" value="true"/&gt;&lt;/prefs&gt;&lt;/data&gt;</vt:lpwstr>
  </property>
</Properties>
</file>